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Contents" w:id="1"/>
      <w:bookmarkEnd w:id="1"/>
      <w:r>
        <w:rPr>
          <w:b w:val="0"/>
        </w:rPr>
      </w:r>
      <w:r>
        <w:rPr>
          <w:color w:val="009483"/>
        </w:rPr>
        <w:t>Inflation Report</w:t>
      </w:r>
    </w:p>
    <w:p>
      <w:pPr>
        <w:spacing w:before="711"/>
        <w:ind w:left="3929" w:right="0" w:firstLine="0"/>
        <w:jc w:val="left"/>
        <w:rPr>
          <w:b/>
          <w:sz w:val="40"/>
        </w:rPr>
      </w:pPr>
      <w:r>
        <w:rPr>
          <w:b/>
          <w:color w:val="009483"/>
          <w:sz w:val="40"/>
        </w:rPr>
        <w:t>November 1997</w:t>
      </w:r>
    </w:p>
    <w:p>
      <w:pPr>
        <w:pStyle w:val="BodyText"/>
        <w:rPr>
          <w:b/>
          <w:sz w:val="44"/>
        </w:rPr>
      </w:pPr>
    </w:p>
    <w:p>
      <w:pPr>
        <w:pStyle w:val="BodyText"/>
        <w:rPr>
          <w:b/>
          <w:sz w:val="44"/>
        </w:rPr>
      </w:pPr>
    </w:p>
    <w:p>
      <w:pPr>
        <w:pStyle w:val="BodyText"/>
        <w:rPr>
          <w:b/>
          <w:sz w:val="44"/>
        </w:rPr>
      </w:pPr>
    </w:p>
    <w:p>
      <w:pPr>
        <w:pStyle w:val="BodyText"/>
        <w:spacing w:before="9"/>
        <w:rPr>
          <w:b/>
          <w:sz w:val="35"/>
        </w:rPr>
      </w:pPr>
    </w:p>
    <w:p>
      <w:pPr>
        <w:pStyle w:val="Heading4"/>
        <w:numPr>
          <w:ilvl w:val="0"/>
          <w:numId w:val="1"/>
        </w:numPr>
        <w:tabs>
          <w:tab w:pos="4309" w:val="left" w:leader="none"/>
          <w:tab w:pos="4310" w:val="left" w:leader="none"/>
          <w:tab w:pos="9209" w:val="right" w:leader="none"/>
        </w:tabs>
        <w:spacing w:line="240" w:lineRule="auto" w:before="0" w:after="0"/>
        <w:ind w:left="4309" w:right="0" w:hanging="381"/>
        <w:jc w:val="left"/>
        <w:rPr>
          <w:b w:val="0"/>
        </w:rPr>
      </w:pPr>
      <w:hyperlink w:history="true" w:anchor="_bookmark0">
        <w:r>
          <w:rPr>
            <w:color w:val="0093C1"/>
          </w:rPr>
          <w:t>Introduction</w:t>
        </w:r>
        <w:r>
          <w:rPr>
            <w:color w:val="0093C1"/>
            <w:spacing w:val="-1"/>
          </w:rPr>
          <w:t> </w:t>
        </w:r>
        <w:r>
          <w:rPr>
            <w:color w:val="0093C1"/>
          </w:rPr>
          <w:t>and summary</w:t>
        </w:r>
      </w:hyperlink>
      <w:r>
        <w:rPr>
          <w:color w:val="0093C1"/>
        </w:rPr>
        <w:tab/>
      </w:r>
      <w:r>
        <w:rPr>
          <w:b w:val="0"/>
          <w:color w:val="231F20"/>
        </w:rPr>
        <w:t>3</w:t>
      </w:r>
    </w:p>
    <w:p>
      <w:pPr>
        <w:pStyle w:val="ListParagraph"/>
        <w:numPr>
          <w:ilvl w:val="0"/>
          <w:numId w:val="1"/>
        </w:numPr>
        <w:tabs>
          <w:tab w:pos="4309" w:val="left" w:leader="none"/>
          <w:tab w:pos="4310" w:val="left" w:leader="none"/>
          <w:tab w:pos="9209" w:val="right" w:leader="none"/>
        </w:tabs>
        <w:spacing w:line="240" w:lineRule="auto" w:before="444" w:after="54"/>
        <w:ind w:left="4309" w:right="0" w:hanging="381"/>
        <w:jc w:val="left"/>
        <w:rPr>
          <w:sz w:val="24"/>
        </w:rPr>
      </w:pPr>
      <w:hyperlink w:history="true" w:anchor="_bookmark1">
        <w:r>
          <w:rPr>
            <w:b/>
            <w:color w:val="0093C1"/>
            <w:spacing w:val="-3"/>
            <w:sz w:val="24"/>
          </w:rPr>
          <w:t>Money, </w:t>
        </w:r>
        <w:r>
          <w:rPr>
            <w:b/>
            <w:color w:val="0093C1"/>
            <w:sz w:val="24"/>
          </w:rPr>
          <w:t>interest rates and</w:t>
        </w:r>
        <w:r>
          <w:rPr>
            <w:b/>
            <w:color w:val="0093C1"/>
            <w:spacing w:val="2"/>
            <w:sz w:val="24"/>
          </w:rPr>
          <w:t> </w:t>
        </w:r>
        <w:r>
          <w:rPr>
            <w:b/>
            <w:color w:val="0093C1"/>
            <w:sz w:val="24"/>
          </w:rPr>
          <w:t>exchange rates</w:t>
        </w:r>
      </w:hyperlink>
      <w:r>
        <w:rPr>
          <w:b/>
          <w:color w:val="0093C1"/>
          <w:sz w:val="24"/>
        </w:rPr>
        <w:tab/>
      </w:r>
      <w:r>
        <w:rPr>
          <w:color w:val="231F20"/>
          <w:sz w:val="24"/>
        </w:rPr>
        <w:t>6</w:t>
      </w:r>
    </w:p>
    <w:tbl>
      <w:tblPr>
        <w:tblW w:w="0" w:type="auto"/>
        <w:jc w:val="left"/>
        <w:tblInd w:w="4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57"/>
        <w:gridCol w:w="389"/>
      </w:tblGrid>
      <w:tr>
        <w:trPr>
          <w:trHeight w:val="292" w:hRule="atLeast"/>
        </w:trPr>
        <w:tc>
          <w:tcPr>
            <w:tcW w:w="557" w:type="dxa"/>
          </w:tcPr>
          <w:p>
            <w:pPr>
              <w:pStyle w:val="TableParagraph"/>
              <w:spacing w:line="266" w:lineRule="exact"/>
              <w:ind w:left="50"/>
              <w:rPr>
                <w:b/>
                <w:sz w:val="24"/>
              </w:rPr>
            </w:pPr>
            <w:r>
              <w:rPr>
                <w:b/>
                <w:color w:val="231F20"/>
                <w:sz w:val="24"/>
              </w:rPr>
              <w:t>2.1</w:t>
            </w:r>
          </w:p>
        </w:tc>
        <w:tc>
          <w:tcPr>
            <w:tcW w:w="4057" w:type="dxa"/>
          </w:tcPr>
          <w:p>
            <w:pPr>
              <w:pStyle w:val="TableParagraph"/>
              <w:spacing w:line="266" w:lineRule="exact"/>
              <w:ind w:left="52"/>
              <w:rPr>
                <w:b/>
                <w:sz w:val="24"/>
              </w:rPr>
            </w:pPr>
            <w:hyperlink w:history="true" w:anchor="_bookmark1">
              <w:r>
                <w:rPr>
                  <w:b/>
                  <w:color w:val="231F20"/>
                  <w:sz w:val="24"/>
                </w:rPr>
                <w:t>Money</w:t>
              </w:r>
            </w:hyperlink>
          </w:p>
        </w:tc>
        <w:tc>
          <w:tcPr>
            <w:tcW w:w="389" w:type="dxa"/>
          </w:tcPr>
          <w:p>
            <w:pPr>
              <w:pStyle w:val="TableParagraph"/>
              <w:spacing w:line="266" w:lineRule="exact"/>
              <w:ind w:left="163"/>
              <w:jc w:val="center"/>
              <w:rPr>
                <w:sz w:val="24"/>
              </w:rPr>
            </w:pPr>
            <w:r>
              <w:rPr>
                <w:color w:val="231F20"/>
                <w:sz w:val="24"/>
              </w:rPr>
              <w:t>6</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5">
              <w:r>
                <w:rPr>
                  <w:color w:val="231F20"/>
                  <w:sz w:val="24"/>
                </w:rPr>
                <w:t>Other financial institutions</w:t>
              </w:r>
            </w:hyperlink>
          </w:p>
        </w:tc>
        <w:tc>
          <w:tcPr>
            <w:tcW w:w="389" w:type="dxa"/>
          </w:tcPr>
          <w:p>
            <w:pPr>
              <w:pStyle w:val="TableParagraph"/>
              <w:spacing w:before="17"/>
              <w:ind w:left="163"/>
              <w:jc w:val="center"/>
              <w:rPr>
                <w:sz w:val="24"/>
              </w:rPr>
            </w:pPr>
            <w:r>
              <w:rPr>
                <w:color w:val="231F20"/>
                <w:sz w:val="24"/>
              </w:rPr>
              <w:t>7</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8">
              <w:r>
                <w:rPr>
                  <w:color w:val="231F20"/>
                  <w:sz w:val="24"/>
                </w:rPr>
                <w:t>Personal sector</w:t>
              </w:r>
            </w:hyperlink>
          </w:p>
        </w:tc>
        <w:tc>
          <w:tcPr>
            <w:tcW w:w="389" w:type="dxa"/>
          </w:tcPr>
          <w:p>
            <w:pPr>
              <w:pStyle w:val="TableParagraph"/>
              <w:spacing w:before="17"/>
              <w:ind w:left="163"/>
              <w:jc w:val="center"/>
              <w:rPr>
                <w:sz w:val="24"/>
              </w:rPr>
            </w:pPr>
            <w:r>
              <w:rPr>
                <w:color w:val="231F20"/>
                <w:sz w:val="24"/>
              </w:rPr>
              <w:t>9</w:t>
            </w:r>
          </w:p>
        </w:tc>
      </w:tr>
      <w:tr>
        <w:trPr>
          <w:trHeight w:val="319" w:hRule="atLeast"/>
        </w:trPr>
        <w:tc>
          <w:tcPr>
            <w:tcW w:w="557" w:type="dxa"/>
          </w:tcPr>
          <w:p>
            <w:pPr>
              <w:pStyle w:val="TableParagraph"/>
              <w:rPr>
                <w:sz w:val="24"/>
              </w:rPr>
            </w:pPr>
          </w:p>
        </w:tc>
        <w:tc>
          <w:tcPr>
            <w:tcW w:w="4057" w:type="dxa"/>
          </w:tcPr>
          <w:p>
            <w:pPr>
              <w:pStyle w:val="TableParagraph"/>
              <w:spacing w:before="17"/>
              <w:ind w:right="96"/>
              <w:jc w:val="right"/>
              <w:rPr>
                <w:sz w:val="24"/>
              </w:rPr>
            </w:pPr>
            <w:hyperlink w:history="true" w:anchor="_bookmark9">
              <w:r>
                <w:rPr>
                  <w:color w:val="231F20"/>
                  <w:sz w:val="24"/>
                </w:rPr>
                <w:t>Industrial and commercial companies</w:t>
              </w:r>
            </w:hyperlink>
          </w:p>
        </w:tc>
        <w:tc>
          <w:tcPr>
            <w:tcW w:w="389" w:type="dxa"/>
          </w:tcPr>
          <w:p>
            <w:pPr>
              <w:pStyle w:val="TableParagraph"/>
              <w:spacing w:before="17"/>
              <w:ind w:left="76" w:right="32"/>
              <w:jc w:val="center"/>
              <w:rPr>
                <w:sz w:val="24"/>
              </w:rPr>
            </w:pPr>
            <w:r>
              <w:rPr>
                <w:color w:val="231F20"/>
                <w:sz w:val="24"/>
              </w:rPr>
              <w:t>10</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9">
              <w:r>
                <w:rPr>
                  <w:color w:val="231F20"/>
                  <w:sz w:val="24"/>
                </w:rPr>
                <w:t>Divisia money</w:t>
              </w:r>
            </w:hyperlink>
          </w:p>
        </w:tc>
        <w:tc>
          <w:tcPr>
            <w:tcW w:w="389" w:type="dxa"/>
          </w:tcPr>
          <w:p>
            <w:pPr>
              <w:pStyle w:val="TableParagraph"/>
              <w:spacing w:before="17"/>
              <w:ind w:left="75" w:right="32"/>
              <w:jc w:val="center"/>
              <w:rPr>
                <w:sz w:val="24"/>
              </w:rPr>
            </w:pPr>
            <w:r>
              <w:rPr>
                <w:color w:val="231F20"/>
                <w:sz w:val="24"/>
              </w:rPr>
              <w:t>10</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0">
              <w:r>
                <w:rPr>
                  <w:color w:val="231F20"/>
                  <w:sz w:val="24"/>
                </w:rPr>
                <w:t>Narrow money</w:t>
              </w:r>
            </w:hyperlink>
          </w:p>
        </w:tc>
        <w:tc>
          <w:tcPr>
            <w:tcW w:w="389" w:type="dxa"/>
          </w:tcPr>
          <w:p>
            <w:pPr>
              <w:pStyle w:val="TableParagraph"/>
              <w:spacing w:before="17"/>
              <w:ind w:left="75" w:right="32"/>
              <w:jc w:val="center"/>
              <w:rPr>
                <w:sz w:val="24"/>
              </w:rPr>
            </w:pPr>
            <w:r>
              <w:rPr>
                <w:color w:val="231F20"/>
                <w:sz w:val="24"/>
              </w:rPr>
              <w:t>11</w:t>
            </w:r>
          </w:p>
        </w:tc>
      </w:tr>
      <w:tr>
        <w:trPr>
          <w:trHeight w:val="319" w:hRule="atLeast"/>
        </w:trPr>
        <w:tc>
          <w:tcPr>
            <w:tcW w:w="557" w:type="dxa"/>
          </w:tcPr>
          <w:p>
            <w:pPr>
              <w:pStyle w:val="TableParagraph"/>
              <w:spacing w:before="17"/>
              <w:ind w:left="50"/>
              <w:rPr>
                <w:b/>
                <w:sz w:val="24"/>
              </w:rPr>
            </w:pPr>
            <w:r>
              <w:rPr>
                <w:b/>
                <w:color w:val="231F20"/>
                <w:sz w:val="24"/>
              </w:rPr>
              <w:t>2.2</w:t>
            </w:r>
          </w:p>
        </w:tc>
        <w:tc>
          <w:tcPr>
            <w:tcW w:w="4057" w:type="dxa"/>
          </w:tcPr>
          <w:p>
            <w:pPr>
              <w:pStyle w:val="TableParagraph"/>
              <w:spacing w:before="17"/>
              <w:ind w:left="53"/>
              <w:rPr>
                <w:b/>
                <w:sz w:val="24"/>
              </w:rPr>
            </w:pPr>
            <w:hyperlink w:history="true" w:anchor="_bookmark10">
              <w:r>
                <w:rPr>
                  <w:b/>
                  <w:color w:val="231F20"/>
                  <w:sz w:val="24"/>
                </w:rPr>
                <w:t>Credit</w:t>
              </w:r>
            </w:hyperlink>
          </w:p>
        </w:tc>
        <w:tc>
          <w:tcPr>
            <w:tcW w:w="389" w:type="dxa"/>
          </w:tcPr>
          <w:p>
            <w:pPr>
              <w:pStyle w:val="TableParagraph"/>
              <w:spacing w:before="17"/>
              <w:ind w:left="75" w:right="32"/>
              <w:jc w:val="center"/>
              <w:rPr>
                <w:sz w:val="24"/>
              </w:rPr>
            </w:pPr>
            <w:r>
              <w:rPr>
                <w:color w:val="231F20"/>
                <w:sz w:val="24"/>
              </w:rPr>
              <w:t>11</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0">
              <w:r>
                <w:rPr>
                  <w:color w:val="231F20"/>
                  <w:sz w:val="24"/>
                </w:rPr>
                <w:t>Other financial institutions</w:t>
              </w:r>
            </w:hyperlink>
          </w:p>
        </w:tc>
        <w:tc>
          <w:tcPr>
            <w:tcW w:w="389" w:type="dxa"/>
          </w:tcPr>
          <w:p>
            <w:pPr>
              <w:pStyle w:val="TableParagraph"/>
              <w:spacing w:before="17"/>
              <w:ind w:left="76" w:right="32"/>
              <w:jc w:val="center"/>
              <w:rPr>
                <w:sz w:val="24"/>
              </w:rPr>
            </w:pPr>
            <w:r>
              <w:rPr>
                <w:color w:val="231F20"/>
                <w:sz w:val="24"/>
              </w:rPr>
              <w:t>11</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1">
              <w:r>
                <w:rPr>
                  <w:color w:val="231F20"/>
                  <w:sz w:val="24"/>
                </w:rPr>
                <w:t>Personal sector</w:t>
              </w:r>
            </w:hyperlink>
          </w:p>
        </w:tc>
        <w:tc>
          <w:tcPr>
            <w:tcW w:w="389" w:type="dxa"/>
          </w:tcPr>
          <w:p>
            <w:pPr>
              <w:pStyle w:val="TableParagraph"/>
              <w:spacing w:before="17"/>
              <w:ind w:left="76" w:right="32"/>
              <w:jc w:val="center"/>
              <w:rPr>
                <w:sz w:val="24"/>
              </w:rPr>
            </w:pPr>
            <w:r>
              <w:rPr>
                <w:color w:val="231F20"/>
                <w:sz w:val="24"/>
              </w:rPr>
              <w:t>12</w:t>
            </w:r>
          </w:p>
        </w:tc>
      </w:tr>
      <w:tr>
        <w:trPr>
          <w:trHeight w:val="319" w:hRule="atLeast"/>
        </w:trPr>
        <w:tc>
          <w:tcPr>
            <w:tcW w:w="557" w:type="dxa"/>
          </w:tcPr>
          <w:p>
            <w:pPr>
              <w:pStyle w:val="TableParagraph"/>
              <w:rPr>
                <w:sz w:val="24"/>
              </w:rPr>
            </w:pPr>
          </w:p>
        </w:tc>
        <w:tc>
          <w:tcPr>
            <w:tcW w:w="4057" w:type="dxa"/>
          </w:tcPr>
          <w:p>
            <w:pPr>
              <w:pStyle w:val="TableParagraph"/>
              <w:spacing w:before="17"/>
              <w:ind w:right="96"/>
              <w:jc w:val="right"/>
              <w:rPr>
                <w:sz w:val="24"/>
              </w:rPr>
            </w:pPr>
            <w:hyperlink w:history="true" w:anchor="_bookmark11">
              <w:r>
                <w:rPr>
                  <w:color w:val="231F20"/>
                  <w:sz w:val="24"/>
                </w:rPr>
                <w:t>Industrial and commercial companies</w:t>
              </w:r>
            </w:hyperlink>
          </w:p>
        </w:tc>
        <w:tc>
          <w:tcPr>
            <w:tcW w:w="389" w:type="dxa"/>
          </w:tcPr>
          <w:p>
            <w:pPr>
              <w:pStyle w:val="TableParagraph"/>
              <w:spacing w:before="17"/>
              <w:ind w:left="76" w:right="32"/>
              <w:jc w:val="center"/>
              <w:rPr>
                <w:sz w:val="24"/>
              </w:rPr>
            </w:pPr>
            <w:r>
              <w:rPr>
                <w:color w:val="231F20"/>
                <w:sz w:val="24"/>
              </w:rPr>
              <w:t>12</w:t>
            </w:r>
          </w:p>
        </w:tc>
      </w:tr>
      <w:tr>
        <w:trPr>
          <w:trHeight w:val="319" w:hRule="atLeast"/>
        </w:trPr>
        <w:tc>
          <w:tcPr>
            <w:tcW w:w="557" w:type="dxa"/>
          </w:tcPr>
          <w:p>
            <w:pPr>
              <w:pStyle w:val="TableParagraph"/>
              <w:spacing w:before="17"/>
              <w:ind w:left="50"/>
              <w:rPr>
                <w:b/>
                <w:sz w:val="24"/>
              </w:rPr>
            </w:pPr>
            <w:r>
              <w:rPr>
                <w:b/>
                <w:color w:val="231F20"/>
                <w:sz w:val="24"/>
              </w:rPr>
              <w:t>2.3</w:t>
            </w:r>
          </w:p>
        </w:tc>
        <w:tc>
          <w:tcPr>
            <w:tcW w:w="4057" w:type="dxa"/>
          </w:tcPr>
          <w:p>
            <w:pPr>
              <w:pStyle w:val="TableParagraph"/>
              <w:spacing w:before="17"/>
              <w:ind w:left="53"/>
              <w:rPr>
                <w:b/>
                <w:sz w:val="24"/>
              </w:rPr>
            </w:pPr>
            <w:hyperlink w:history="true" w:anchor="_bookmark12">
              <w:r>
                <w:rPr>
                  <w:b/>
                  <w:color w:val="231F20"/>
                  <w:sz w:val="24"/>
                </w:rPr>
                <w:t>Interest rates and the exchange rate</w:t>
              </w:r>
            </w:hyperlink>
          </w:p>
        </w:tc>
        <w:tc>
          <w:tcPr>
            <w:tcW w:w="389" w:type="dxa"/>
          </w:tcPr>
          <w:p>
            <w:pPr>
              <w:pStyle w:val="TableParagraph"/>
              <w:spacing w:before="17"/>
              <w:ind w:left="76" w:right="32"/>
              <w:jc w:val="center"/>
              <w:rPr>
                <w:sz w:val="24"/>
              </w:rPr>
            </w:pPr>
            <w:r>
              <w:rPr>
                <w:color w:val="231F20"/>
                <w:sz w:val="24"/>
              </w:rPr>
              <w:t>13</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2">
              <w:r>
                <w:rPr>
                  <w:color w:val="231F20"/>
                  <w:sz w:val="24"/>
                </w:rPr>
                <w:t>Short-term interest rates</w:t>
              </w:r>
            </w:hyperlink>
          </w:p>
        </w:tc>
        <w:tc>
          <w:tcPr>
            <w:tcW w:w="389" w:type="dxa"/>
          </w:tcPr>
          <w:p>
            <w:pPr>
              <w:pStyle w:val="TableParagraph"/>
              <w:spacing w:before="17"/>
              <w:ind w:left="76" w:right="32"/>
              <w:jc w:val="center"/>
              <w:rPr>
                <w:sz w:val="24"/>
              </w:rPr>
            </w:pPr>
            <w:r>
              <w:rPr>
                <w:color w:val="231F20"/>
                <w:sz w:val="24"/>
              </w:rPr>
              <w:t>13</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2">
              <w:r>
                <w:rPr>
                  <w:color w:val="231F20"/>
                  <w:sz w:val="24"/>
                </w:rPr>
                <w:t>Long-term interest rates</w:t>
              </w:r>
            </w:hyperlink>
          </w:p>
        </w:tc>
        <w:tc>
          <w:tcPr>
            <w:tcW w:w="389" w:type="dxa"/>
          </w:tcPr>
          <w:p>
            <w:pPr>
              <w:pStyle w:val="TableParagraph"/>
              <w:spacing w:before="17"/>
              <w:ind w:left="76" w:right="32"/>
              <w:jc w:val="center"/>
              <w:rPr>
                <w:sz w:val="24"/>
              </w:rPr>
            </w:pPr>
            <w:r>
              <w:rPr>
                <w:color w:val="231F20"/>
                <w:sz w:val="24"/>
              </w:rPr>
              <w:t>13</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4">
              <w:r>
                <w:rPr>
                  <w:color w:val="231F20"/>
                  <w:sz w:val="24"/>
                </w:rPr>
                <w:t>Exchange rates</w:t>
              </w:r>
            </w:hyperlink>
          </w:p>
        </w:tc>
        <w:tc>
          <w:tcPr>
            <w:tcW w:w="389" w:type="dxa"/>
          </w:tcPr>
          <w:p>
            <w:pPr>
              <w:pStyle w:val="TableParagraph"/>
              <w:spacing w:before="17"/>
              <w:ind w:left="76" w:right="32"/>
              <w:jc w:val="center"/>
              <w:rPr>
                <w:sz w:val="24"/>
              </w:rPr>
            </w:pPr>
            <w:r>
              <w:rPr>
                <w:color w:val="231F20"/>
                <w:sz w:val="24"/>
              </w:rPr>
              <w:t>14</w:t>
            </w:r>
          </w:p>
        </w:tc>
      </w:tr>
      <w:tr>
        <w:trPr>
          <w:trHeight w:val="310" w:hRule="atLeast"/>
        </w:trPr>
        <w:tc>
          <w:tcPr>
            <w:tcW w:w="557" w:type="dxa"/>
          </w:tcPr>
          <w:p>
            <w:pPr>
              <w:pStyle w:val="TableParagraph"/>
              <w:spacing w:line="274" w:lineRule="exact" w:before="17"/>
              <w:ind w:left="50"/>
              <w:rPr>
                <w:b/>
                <w:sz w:val="24"/>
              </w:rPr>
            </w:pPr>
            <w:r>
              <w:rPr>
                <w:b/>
                <w:color w:val="231F20"/>
                <w:sz w:val="24"/>
              </w:rPr>
              <w:t>2.4</w:t>
            </w:r>
          </w:p>
        </w:tc>
        <w:tc>
          <w:tcPr>
            <w:tcW w:w="4057" w:type="dxa"/>
          </w:tcPr>
          <w:p>
            <w:pPr>
              <w:pStyle w:val="TableParagraph"/>
              <w:spacing w:line="274" w:lineRule="exact" w:before="17"/>
              <w:ind w:left="53"/>
              <w:rPr>
                <w:b/>
                <w:sz w:val="24"/>
              </w:rPr>
            </w:pPr>
            <w:hyperlink w:history="true" w:anchor="_bookmark15">
              <w:r>
                <w:rPr>
                  <w:b/>
                  <w:color w:val="231F20"/>
                  <w:sz w:val="24"/>
                </w:rPr>
                <w:t>Summary</w:t>
              </w:r>
            </w:hyperlink>
          </w:p>
        </w:tc>
        <w:tc>
          <w:tcPr>
            <w:tcW w:w="389" w:type="dxa"/>
          </w:tcPr>
          <w:p>
            <w:pPr>
              <w:pStyle w:val="TableParagraph"/>
              <w:spacing w:line="274" w:lineRule="exact" w:before="17"/>
              <w:ind w:left="76" w:right="32"/>
              <w:jc w:val="center"/>
              <w:rPr>
                <w:sz w:val="24"/>
              </w:rPr>
            </w:pPr>
            <w:r>
              <w:rPr>
                <w:color w:val="231F20"/>
                <w:sz w:val="24"/>
              </w:rPr>
              <w:t>16</w:t>
            </w:r>
          </w:p>
        </w:tc>
      </w:tr>
      <w:tr>
        <w:trPr>
          <w:trHeight w:val="583" w:hRule="atLeast"/>
        </w:trPr>
        <w:tc>
          <w:tcPr>
            <w:tcW w:w="557" w:type="dxa"/>
          </w:tcPr>
          <w:p>
            <w:pPr>
              <w:pStyle w:val="TableParagraph"/>
              <w:spacing w:before="7"/>
              <w:ind w:left="50"/>
              <w:rPr>
                <w:i/>
                <w:sz w:val="24"/>
              </w:rPr>
            </w:pPr>
            <w:r>
              <w:rPr>
                <w:i/>
                <w:color w:val="231F20"/>
                <w:sz w:val="24"/>
              </w:rPr>
              <w:t>Box:</w:t>
            </w:r>
          </w:p>
        </w:tc>
        <w:tc>
          <w:tcPr>
            <w:tcW w:w="4057" w:type="dxa"/>
          </w:tcPr>
          <w:p>
            <w:pPr>
              <w:pStyle w:val="TableParagraph"/>
              <w:spacing w:before="7"/>
              <w:ind w:left="353"/>
              <w:rPr>
                <w:i/>
                <w:sz w:val="24"/>
              </w:rPr>
            </w:pPr>
            <w:hyperlink w:history="true" w:anchor="_bookmark6">
              <w:r>
                <w:rPr>
                  <w:i/>
                  <w:color w:val="231F20"/>
                  <w:sz w:val="24"/>
                </w:rPr>
                <w:t>Monetary monitoring ranges and</w:t>
              </w:r>
            </w:hyperlink>
          </w:p>
          <w:p>
            <w:pPr>
              <w:pStyle w:val="TableParagraph"/>
              <w:spacing w:line="256" w:lineRule="exact" w:before="24"/>
              <w:ind w:left="472"/>
              <w:rPr>
                <w:i/>
                <w:sz w:val="24"/>
              </w:rPr>
            </w:pPr>
            <w:hyperlink w:history="true" w:anchor="_bookmark6">
              <w:r>
                <w:rPr>
                  <w:i/>
                  <w:color w:val="231F20"/>
                  <w:sz w:val="24"/>
                </w:rPr>
                <w:t>the UK monetary framework</w:t>
              </w:r>
            </w:hyperlink>
          </w:p>
        </w:tc>
        <w:tc>
          <w:tcPr>
            <w:tcW w:w="389" w:type="dxa"/>
          </w:tcPr>
          <w:p>
            <w:pPr>
              <w:pStyle w:val="TableParagraph"/>
              <w:spacing w:before="8"/>
              <w:rPr>
                <w:sz w:val="26"/>
              </w:rPr>
            </w:pPr>
          </w:p>
          <w:p>
            <w:pPr>
              <w:pStyle w:val="TableParagraph"/>
              <w:spacing w:line="256" w:lineRule="exact"/>
              <w:ind w:left="162"/>
              <w:jc w:val="center"/>
              <w:rPr>
                <w:sz w:val="24"/>
              </w:rPr>
            </w:pPr>
            <w:r>
              <w:rPr>
                <w:color w:val="231F20"/>
                <w:sz w:val="24"/>
              </w:rPr>
              <w:t>8</w:t>
            </w:r>
          </w:p>
        </w:tc>
      </w:tr>
    </w:tbl>
    <w:p>
      <w:pPr>
        <w:pStyle w:val="BodyText"/>
        <w:spacing w:before="2"/>
        <w:rPr>
          <w:sz w:val="21"/>
        </w:rPr>
      </w:pPr>
    </w:p>
    <w:p>
      <w:pPr>
        <w:pStyle w:val="ListParagraph"/>
        <w:numPr>
          <w:ilvl w:val="0"/>
          <w:numId w:val="1"/>
        </w:numPr>
        <w:tabs>
          <w:tab w:pos="4309" w:val="left" w:leader="none"/>
          <w:tab w:pos="4310" w:val="left" w:leader="none"/>
          <w:tab w:pos="8969" w:val="left" w:leader="none"/>
        </w:tabs>
        <w:spacing w:line="240" w:lineRule="auto" w:before="0" w:after="0"/>
        <w:ind w:left="4309" w:right="0" w:hanging="381"/>
        <w:jc w:val="left"/>
        <w:rPr>
          <w:sz w:val="24"/>
        </w:rPr>
      </w:pPr>
      <w:hyperlink w:history="true" w:anchor="_bookmark16">
        <w:r>
          <w:rPr>
            <w:b/>
            <w:color w:val="0093C1"/>
            <w:sz w:val="24"/>
          </w:rPr>
          <w:t>Demand and output</w:t>
        </w:r>
      </w:hyperlink>
      <w:r>
        <w:rPr>
          <w:b/>
          <w:color w:val="0093C1"/>
          <w:sz w:val="24"/>
        </w:rPr>
        <w:tab/>
      </w:r>
      <w:r>
        <w:rPr>
          <w:color w:val="231F20"/>
          <w:sz w:val="24"/>
        </w:rPr>
        <w:t>18</w:t>
      </w:r>
    </w:p>
    <w:sdt>
      <w:sdtPr>
        <w:docPartObj>
          <w:docPartGallery w:val="Table of Contents"/>
          <w:docPartUnique/>
        </w:docPartObj>
      </w:sdtPr>
      <w:sdtEndPr/>
      <w:sdtContent>
        <w:p>
          <w:pPr>
            <w:pStyle w:val="TOC1"/>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16">
            <w:r>
              <w:rPr>
                <w:color w:val="231F20"/>
              </w:rPr>
              <w:t>Domestic demand</w:t>
            </w:r>
          </w:hyperlink>
          <w:r>
            <w:rPr>
              <w:color w:val="231F20"/>
            </w:rPr>
            <w:tab/>
          </w:r>
          <w:r>
            <w:rPr>
              <w:b w:val="0"/>
              <w:color w:val="231F20"/>
            </w:rPr>
            <w:t>18</w:t>
          </w:r>
        </w:p>
        <w:p>
          <w:pPr>
            <w:pStyle w:val="TOC4"/>
            <w:tabs>
              <w:tab w:pos="9209" w:val="right" w:leader="none"/>
            </w:tabs>
          </w:pPr>
          <w:hyperlink w:history="true" w:anchor="_bookmark16">
            <w:r>
              <w:rPr>
                <w:color w:val="231F20"/>
              </w:rPr>
              <w:t>Consumption</w:t>
            </w:r>
          </w:hyperlink>
          <w:r>
            <w:rPr>
              <w:color w:val="231F20"/>
            </w:rPr>
            <w:tab/>
            <w:t>18</w:t>
          </w:r>
        </w:p>
        <w:p>
          <w:pPr>
            <w:pStyle w:val="TOC4"/>
            <w:tabs>
              <w:tab w:pos="9209" w:val="right" w:leader="none"/>
            </w:tabs>
          </w:pPr>
          <w:hyperlink w:history="true" w:anchor="_bookmark20">
            <w:r>
              <w:rPr>
                <w:color w:val="231F20"/>
              </w:rPr>
              <w:t>Investment</w:t>
            </w:r>
            <w:r>
              <w:rPr>
                <w:color w:val="231F20"/>
                <w:spacing w:val="-1"/>
              </w:rPr>
              <w:t> </w:t>
            </w:r>
            <w:r>
              <w:rPr>
                <w:color w:val="231F20"/>
              </w:rPr>
              <w:t>demand</w:t>
            </w:r>
          </w:hyperlink>
          <w:r>
            <w:rPr>
              <w:color w:val="231F20"/>
            </w:rPr>
            <w:tab/>
            <w:t>21</w:t>
          </w:r>
        </w:p>
        <w:p>
          <w:pPr>
            <w:pStyle w:val="TOC4"/>
            <w:tabs>
              <w:tab w:pos="9209" w:val="right" w:leader="none"/>
            </w:tabs>
          </w:pPr>
          <w:hyperlink w:history="true" w:anchor="_bookmark23">
            <w:r>
              <w:rPr>
                <w:color w:val="231F20"/>
              </w:rPr>
              <w:t>Stockbuilding</w:t>
            </w:r>
          </w:hyperlink>
          <w:r>
            <w:rPr>
              <w:color w:val="231F20"/>
            </w:rPr>
            <w:tab/>
            <w:t>24</w:t>
          </w:r>
        </w:p>
        <w:p>
          <w:pPr>
            <w:pStyle w:val="TOC4"/>
            <w:tabs>
              <w:tab w:pos="9209" w:val="right" w:leader="none"/>
            </w:tabs>
          </w:pPr>
          <w:hyperlink w:history="true" w:anchor="_bookmark24">
            <w:r>
              <w:rPr>
                <w:color w:val="231F20"/>
              </w:rPr>
              <w:t>Public sector demand</w:t>
            </w:r>
          </w:hyperlink>
          <w:r>
            <w:rPr>
              <w:color w:val="231F20"/>
            </w:rPr>
            <w:tab/>
            <w:t>25</w:t>
          </w:r>
        </w:p>
        <w:p>
          <w:pPr>
            <w:pStyle w:val="TOC1"/>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24">
            <w:r>
              <w:rPr>
                <w:color w:val="231F20"/>
              </w:rPr>
              <w:t>Net</w:t>
            </w:r>
            <w:r>
              <w:rPr>
                <w:color w:val="231F20"/>
                <w:spacing w:val="-1"/>
              </w:rPr>
              <w:t> </w:t>
            </w:r>
            <w:r>
              <w:rPr>
                <w:color w:val="231F20"/>
              </w:rPr>
              <w:t>external demand</w:t>
            </w:r>
          </w:hyperlink>
          <w:r>
            <w:rPr>
              <w:color w:val="231F20"/>
            </w:rPr>
            <w:tab/>
          </w:r>
          <w:r>
            <w:rPr>
              <w:b w:val="0"/>
              <w:color w:val="231F20"/>
            </w:rPr>
            <w:t>25</w:t>
          </w:r>
        </w:p>
        <w:p>
          <w:pPr>
            <w:pStyle w:val="TOC3"/>
            <w:numPr>
              <w:ilvl w:val="1"/>
              <w:numId w:val="1"/>
            </w:numPr>
            <w:tabs>
              <w:tab w:pos="4869" w:val="left" w:leader="none"/>
              <w:tab w:pos="4870" w:val="left" w:leader="none"/>
              <w:tab w:pos="9209" w:val="right" w:leader="none"/>
            </w:tabs>
            <w:spacing w:line="240" w:lineRule="auto" w:before="44" w:after="0"/>
            <w:ind w:left="4869" w:right="0" w:hanging="561"/>
            <w:jc w:val="left"/>
            <w:rPr>
              <w:b w:val="0"/>
              <w:i w:val="0"/>
              <w:sz w:val="24"/>
            </w:rPr>
          </w:pPr>
          <w:hyperlink w:history="true" w:anchor="_bookmark25">
            <w:r>
              <w:rPr>
                <w:i w:val="0"/>
                <w:color w:val="231F20"/>
                <w:sz w:val="24"/>
              </w:rPr>
              <w:t>Output</w:t>
            </w:r>
          </w:hyperlink>
          <w:r>
            <w:rPr>
              <w:i w:val="0"/>
              <w:color w:val="231F20"/>
              <w:sz w:val="24"/>
            </w:rPr>
            <w:tab/>
          </w:r>
          <w:r>
            <w:rPr>
              <w:b w:val="0"/>
              <w:i w:val="0"/>
              <w:color w:val="231F20"/>
              <w:sz w:val="24"/>
            </w:rPr>
            <w:t>27</w:t>
          </w:r>
        </w:p>
        <w:p>
          <w:pPr>
            <w:pStyle w:val="TOC1"/>
            <w:numPr>
              <w:ilvl w:val="1"/>
              <w:numId w:val="1"/>
            </w:numPr>
            <w:tabs>
              <w:tab w:pos="4869" w:val="left" w:leader="none"/>
              <w:tab w:pos="4870" w:val="left" w:leader="none"/>
              <w:tab w:pos="9209" w:val="right" w:leader="none"/>
            </w:tabs>
            <w:spacing w:line="240" w:lineRule="auto" w:before="24" w:after="0"/>
            <w:ind w:left="4869" w:right="0" w:hanging="561"/>
            <w:jc w:val="left"/>
            <w:rPr>
              <w:b w:val="0"/>
            </w:rPr>
          </w:pPr>
          <w:hyperlink w:history="true" w:anchor="_bookmark26">
            <w:r>
              <w:rPr>
                <w:color w:val="231F20"/>
              </w:rPr>
              <w:t>Summary</w:t>
            </w:r>
          </w:hyperlink>
          <w:r>
            <w:rPr>
              <w:color w:val="231F20"/>
            </w:rPr>
            <w:tab/>
          </w:r>
          <w:r>
            <w:rPr>
              <w:b w:val="0"/>
              <w:color w:val="231F20"/>
            </w:rPr>
            <w:t>28</w:t>
          </w:r>
        </w:p>
        <w:p>
          <w:pPr>
            <w:pStyle w:val="TOC2"/>
            <w:tabs>
              <w:tab w:pos="5169" w:val="left" w:leader="none"/>
            </w:tabs>
            <w:rPr>
              <w:i/>
            </w:rPr>
          </w:pPr>
          <w:r>
            <w:rPr>
              <w:i/>
              <w:color w:val="231F20"/>
            </w:rPr>
            <w:t>Boxes:</w:t>
            <w:tab/>
          </w:r>
          <w:hyperlink w:history="true" w:anchor="_bookmark18">
            <w:r>
              <w:rPr>
                <w:i/>
                <w:color w:val="231F20"/>
              </w:rPr>
              <w:t>The Bank of England/M</w:t>
            </w:r>
            <w:r>
              <w:rPr>
                <w:i/>
                <w:color w:val="231F20"/>
                <w:sz w:val="20"/>
              </w:rPr>
              <w:t>ORI</w:t>
            </w:r>
            <w:r>
              <w:rPr>
                <w:i/>
                <w:color w:val="231F20"/>
                <w:spacing w:val="8"/>
                <w:sz w:val="20"/>
              </w:rPr>
              <w:t> </w:t>
            </w:r>
            <w:r>
              <w:rPr>
                <w:i/>
                <w:color w:val="231F20"/>
              </w:rPr>
              <w:t>survey</w:t>
            </w:r>
          </w:hyperlink>
        </w:p>
        <w:p>
          <w:pPr>
            <w:pStyle w:val="TOC6"/>
            <w:tabs>
              <w:tab w:pos="9209" w:val="right" w:leader="none"/>
            </w:tabs>
            <w:rPr>
              <w:i w:val="0"/>
            </w:rPr>
          </w:pPr>
          <w:hyperlink w:history="true" w:anchor="_bookmark18">
            <w:r>
              <w:rPr>
                <w:i/>
                <w:color w:val="231F20"/>
              </w:rPr>
              <w:t>and domestic demand</w:t>
            </w:r>
          </w:hyperlink>
          <w:r>
            <w:rPr>
              <w:i/>
              <w:color w:val="231F20"/>
            </w:rPr>
            <w:tab/>
          </w:r>
          <w:r>
            <w:rPr>
              <w:i w:val="0"/>
              <w:color w:val="231F20"/>
            </w:rPr>
            <w:t>20</w:t>
          </w:r>
        </w:p>
        <w:p>
          <w:pPr>
            <w:pStyle w:val="TOC5"/>
            <w:tabs>
              <w:tab w:pos="9209" w:val="right" w:leader="none"/>
            </w:tabs>
            <w:rPr>
              <w:i w:val="0"/>
            </w:rPr>
          </w:pPr>
          <w:hyperlink w:history="true" w:anchor="_bookmark21">
            <w:r>
              <w:rPr>
                <w:i/>
                <w:color w:val="231F20"/>
              </w:rPr>
              <w:t>The UK construction industry</w:t>
            </w:r>
          </w:hyperlink>
          <w:r>
            <w:rPr>
              <w:i/>
              <w:color w:val="231F20"/>
            </w:rPr>
            <w:tab/>
          </w:r>
          <w:r>
            <w:rPr>
              <w:i w:val="0"/>
              <w:color w:val="231F20"/>
            </w:rPr>
            <w:t>23</w:t>
          </w:r>
        </w:p>
      </w:sdtContent>
    </w:sdt>
    <w:p>
      <w:pPr>
        <w:spacing w:after="0"/>
        <w:sectPr>
          <w:type w:val="continuous"/>
          <w:pgSz w:w="11880" w:h="16840"/>
          <w:pgMar w:top="1040" w:bottom="280" w:left="1680" w:right="820"/>
        </w:sectPr>
      </w:pPr>
    </w:p>
    <w:p>
      <w:pPr>
        <w:pStyle w:val="Heading4"/>
        <w:numPr>
          <w:ilvl w:val="0"/>
          <w:numId w:val="1"/>
        </w:numPr>
        <w:tabs>
          <w:tab w:pos="4299" w:val="left" w:leader="none"/>
          <w:tab w:pos="4300" w:val="left" w:leader="none"/>
          <w:tab w:pos="9199" w:val="right" w:leader="none"/>
        </w:tabs>
        <w:spacing w:line="240" w:lineRule="auto" w:before="63" w:after="0"/>
        <w:ind w:left="4299" w:right="0" w:hanging="380"/>
        <w:jc w:val="left"/>
        <w:rPr>
          <w:b w:val="0"/>
        </w:rPr>
      </w:pPr>
      <w:hyperlink w:history="true" w:anchor="_bookmark28">
        <w:r>
          <w:rPr>
            <w:color w:val="0093C1"/>
          </w:rPr>
          <w:t>The</w:t>
        </w:r>
        <w:r>
          <w:rPr>
            <w:color w:val="0093C1"/>
            <w:spacing w:val="-1"/>
          </w:rPr>
          <w:t> </w:t>
        </w:r>
        <w:r>
          <w:rPr>
            <w:color w:val="0093C1"/>
          </w:rPr>
          <w:t>labour market</w:t>
        </w:r>
      </w:hyperlink>
      <w:r>
        <w:rPr>
          <w:color w:val="0093C1"/>
        </w:rPr>
        <w:tab/>
      </w:r>
      <w:r>
        <w:rPr>
          <w:b w:val="0"/>
          <w:color w:val="231F20"/>
        </w:rPr>
        <w:t>30</w:t>
      </w:r>
    </w:p>
    <w:p>
      <w:pPr>
        <w:pStyle w:val="Heading4"/>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8">
        <w:r>
          <w:rPr>
            <w:color w:val="231F20"/>
          </w:rPr>
          <w:t>Nominal</w:t>
        </w:r>
        <w:r>
          <w:rPr>
            <w:color w:val="231F20"/>
            <w:spacing w:val="-1"/>
          </w:rPr>
          <w:t> </w:t>
        </w:r>
        <w:r>
          <w:rPr>
            <w:color w:val="231F20"/>
          </w:rPr>
          <w:t>earnings</w:t>
        </w:r>
      </w:hyperlink>
      <w:r>
        <w:rPr>
          <w:color w:val="231F20"/>
        </w:rPr>
        <w:tab/>
      </w:r>
      <w:r>
        <w:rPr>
          <w:b w:val="0"/>
          <w:color w:val="231F20"/>
        </w:rPr>
        <w:t>30</w:t>
      </w:r>
    </w:p>
    <w:p>
      <w:pPr>
        <w:pStyle w:val="Heading4"/>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30">
        <w:r>
          <w:rPr>
            <w:color w:val="231F20"/>
          </w:rPr>
          <w:t>Real</w:t>
        </w:r>
        <w:r>
          <w:rPr>
            <w:color w:val="231F20"/>
            <w:spacing w:val="-1"/>
          </w:rPr>
          <w:t> </w:t>
        </w:r>
        <w:r>
          <w:rPr>
            <w:color w:val="231F20"/>
          </w:rPr>
          <w:t>earnings</w:t>
        </w:r>
      </w:hyperlink>
      <w:r>
        <w:rPr>
          <w:color w:val="231F20"/>
        </w:rPr>
        <w:tab/>
      </w:r>
      <w:r>
        <w:rPr>
          <w:b w:val="0"/>
          <w:color w:val="231F20"/>
        </w:rPr>
        <w:t>31</w:t>
      </w:r>
    </w:p>
    <w:p>
      <w:pPr>
        <w:pStyle w:val="Heading4"/>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30">
        <w:r>
          <w:rPr>
            <w:color w:val="231F20"/>
          </w:rPr>
          <w:t>Explaining real</w:t>
        </w:r>
        <w:r>
          <w:rPr>
            <w:color w:val="231F20"/>
            <w:spacing w:val="-3"/>
          </w:rPr>
          <w:t> </w:t>
        </w:r>
        <w:r>
          <w:rPr>
            <w:color w:val="231F20"/>
          </w:rPr>
          <w:t>earnings</w:t>
        </w:r>
        <w:r>
          <w:rPr>
            <w:color w:val="231F20"/>
            <w:spacing w:val="-2"/>
          </w:rPr>
          <w:t> </w:t>
        </w:r>
        <w:r>
          <w:rPr>
            <w:color w:val="231F20"/>
          </w:rPr>
          <w:t>behaviour</w:t>
        </w:r>
      </w:hyperlink>
      <w:r>
        <w:rPr>
          <w:color w:val="231F20"/>
        </w:rPr>
        <w:tab/>
      </w:r>
      <w:r>
        <w:rPr>
          <w:b w:val="0"/>
          <w:color w:val="231F20"/>
        </w:rPr>
        <w:t>31</w:t>
      </w:r>
    </w:p>
    <w:p>
      <w:pPr>
        <w:pStyle w:val="Heading5"/>
        <w:tabs>
          <w:tab w:pos="9199" w:val="right" w:leader="none"/>
        </w:tabs>
        <w:spacing w:before="44"/>
        <w:ind w:left="5159"/>
      </w:pPr>
      <w:hyperlink w:history="true" w:anchor="_bookmark30">
        <w:r>
          <w:rPr>
            <w:color w:val="231F20"/>
          </w:rPr>
          <w:t>Labour</w:t>
        </w:r>
        <w:r>
          <w:rPr>
            <w:color w:val="231F20"/>
            <w:spacing w:val="-1"/>
          </w:rPr>
          <w:t> </w:t>
        </w:r>
        <w:r>
          <w:rPr>
            <w:color w:val="231F20"/>
          </w:rPr>
          <w:t>market tightness</w:t>
        </w:r>
      </w:hyperlink>
      <w:r>
        <w:rPr>
          <w:color w:val="231F20"/>
        </w:rPr>
        <w:tab/>
        <w:t>31</w:t>
      </w:r>
    </w:p>
    <w:p>
      <w:pPr>
        <w:pStyle w:val="Heading5"/>
        <w:tabs>
          <w:tab w:pos="9199" w:val="right" w:leader="none"/>
        </w:tabs>
        <w:spacing w:before="44"/>
        <w:ind w:left="5159"/>
      </w:pPr>
      <w:hyperlink w:history="true" w:anchor="_bookmark31">
        <w:r>
          <w:rPr>
            <w:color w:val="231F20"/>
          </w:rPr>
          <w:t>Other factors affecting</w:t>
        </w:r>
        <w:r>
          <w:rPr>
            <w:color w:val="231F20"/>
            <w:spacing w:val="-4"/>
          </w:rPr>
          <w:t> </w:t>
        </w:r>
        <w:r>
          <w:rPr>
            <w:color w:val="231F20"/>
          </w:rPr>
          <w:t>real</w:t>
        </w:r>
        <w:r>
          <w:rPr>
            <w:color w:val="231F20"/>
            <w:spacing w:val="-1"/>
          </w:rPr>
          <w:t> </w:t>
        </w:r>
        <w:r>
          <w:rPr>
            <w:color w:val="231F20"/>
          </w:rPr>
          <w:t>earnings</w:t>
        </w:r>
      </w:hyperlink>
      <w:r>
        <w:rPr>
          <w:color w:val="231F20"/>
        </w:rPr>
        <w:tab/>
        <w:t>35</w:t>
      </w:r>
    </w:p>
    <w:p>
      <w:pPr>
        <w:pStyle w:val="Heading4"/>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31">
        <w:r>
          <w:rPr>
            <w:color w:val="231F20"/>
          </w:rPr>
          <w:t>Summary</w:t>
        </w:r>
      </w:hyperlink>
      <w:r>
        <w:rPr>
          <w:color w:val="231F20"/>
        </w:rPr>
        <w:tab/>
      </w:r>
      <w:r>
        <w:rPr>
          <w:b w:val="0"/>
          <w:color w:val="231F20"/>
        </w:rPr>
        <w:t>35</w:t>
      </w:r>
    </w:p>
    <w:p>
      <w:pPr>
        <w:pStyle w:val="Heading4"/>
        <w:numPr>
          <w:ilvl w:val="0"/>
          <w:numId w:val="1"/>
        </w:numPr>
        <w:tabs>
          <w:tab w:pos="4299" w:val="left" w:leader="none"/>
          <w:tab w:pos="4300" w:val="left" w:leader="none"/>
          <w:tab w:pos="9199" w:val="right" w:leader="none"/>
        </w:tabs>
        <w:spacing w:line="240" w:lineRule="auto" w:before="364" w:after="55"/>
        <w:ind w:left="4299" w:right="0" w:hanging="380"/>
        <w:jc w:val="left"/>
        <w:rPr>
          <w:b w:val="0"/>
        </w:rPr>
      </w:pPr>
      <w:hyperlink w:history="true" w:anchor="_bookmark32">
        <w:r>
          <w:rPr>
            <w:color w:val="0093C1"/>
          </w:rPr>
          <w:t>Costs</w:t>
        </w:r>
        <w:r>
          <w:rPr>
            <w:color w:val="0093C1"/>
            <w:spacing w:val="-1"/>
          </w:rPr>
          <w:t> </w:t>
        </w:r>
        <w:r>
          <w:rPr>
            <w:color w:val="0093C1"/>
          </w:rPr>
          <w:t>and prices</w:t>
        </w:r>
      </w:hyperlink>
      <w:r>
        <w:rPr>
          <w:color w:val="0093C1"/>
        </w:rPr>
        <w:tab/>
      </w:r>
      <w:r>
        <w:rPr>
          <w:b w:val="0"/>
          <w:color w:val="231F20"/>
        </w:rPr>
        <w:t>36</w:t>
      </w:r>
    </w:p>
    <w:tbl>
      <w:tblPr>
        <w:tblW w:w="0" w:type="auto"/>
        <w:jc w:val="left"/>
        <w:tblInd w:w="4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9"/>
        <w:gridCol w:w="523"/>
      </w:tblGrid>
      <w:tr>
        <w:trPr>
          <w:trHeight w:val="292" w:hRule="atLeast"/>
        </w:trPr>
        <w:tc>
          <w:tcPr>
            <w:tcW w:w="4479" w:type="dxa"/>
          </w:tcPr>
          <w:p>
            <w:pPr>
              <w:pStyle w:val="TableParagraph"/>
              <w:tabs>
                <w:tab w:pos="611" w:val="left" w:leader="none"/>
              </w:tabs>
              <w:spacing w:line="266" w:lineRule="exact"/>
              <w:ind w:left="51"/>
              <w:rPr>
                <w:b/>
                <w:sz w:val="24"/>
              </w:rPr>
            </w:pPr>
            <w:r>
              <w:rPr>
                <w:b/>
                <w:color w:val="231F20"/>
                <w:sz w:val="24"/>
              </w:rPr>
              <w:t>5.1</w:t>
              <w:tab/>
            </w:r>
            <w:hyperlink w:history="true" w:anchor="_bookmark32">
              <w:r>
                <w:rPr>
                  <w:b/>
                  <w:color w:val="231F20"/>
                  <w:sz w:val="24"/>
                </w:rPr>
                <w:t>Import prices and the exchange</w:t>
              </w:r>
              <w:r>
                <w:rPr>
                  <w:b/>
                  <w:color w:val="231F20"/>
                  <w:spacing w:val="-3"/>
                  <w:sz w:val="24"/>
                </w:rPr>
                <w:t> </w:t>
              </w:r>
              <w:r>
                <w:rPr>
                  <w:b/>
                  <w:color w:val="231F20"/>
                  <w:sz w:val="24"/>
                </w:rPr>
                <w:t>rate</w:t>
              </w:r>
            </w:hyperlink>
          </w:p>
        </w:tc>
        <w:tc>
          <w:tcPr>
            <w:tcW w:w="523" w:type="dxa"/>
          </w:tcPr>
          <w:p>
            <w:pPr>
              <w:pStyle w:val="TableParagraph"/>
              <w:spacing w:line="266" w:lineRule="exact"/>
              <w:ind w:left="211" w:right="29"/>
              <w:jc w:val="center"/>
              <w:rPr>
                <w:sz w:val="24"/>
              </w:rPr>
            </w:pPr>
            <w:r>
              <w:rPr>
                <w:color w:val="231F20"/>
                <w:sz w:val="24"/>
              </w:rPr>
              <w:t>36</w:t>
            </w:r>
          </w:p>
        </w:tc>
      </w:tr>
      <w:tr>
        <w:trPr>
          <w:trHeight w:val="319" w:hRule="atLeast"/>
        </w:trPr>
        <w:tc>
          <w:tcPr>
            <w:tcW w:w="4479" w:type="dxa"/>
          </w:tcPr>
          <w:p>
            <w:pPr>
              <w:pStyle w:val="TableParagraph"/>
              <w:tabs>
                <w:tab w:pos="611" w:val="left" w:leader="none"/>
              </w:tabs>
              <w:spacing w:before="17"/>
              <w:ind w:left="51"/>
              <w:rPr>
                <w:b/>
                <w:sz w:val="24"/>
              </w:rPr>
            </w:pPr>
            <w:r>
              <w:rPr>
                <w:b/>
                <w:color w:val="231F20"/>
                <w:sz w:val="24"/>
              </w:rPr>
              <w:t>5.2</w:t>
              <w:tab/>
            </w:r>
            <w:hyperlink w:history="true" w:anchor="_bookmark34">
              <w:r>
                <w:rPr>
                  <w:b/>
                  <w:color w:val="231F20"/>
                  <w:sz w:val="24"/>
                </w:rPr>
                <w:t>Raw material and commodity</w:t>
              </w:r>
              <w:r>
                <w:rPr>
                  <w:b/>
                  <w:color w:val="231F20"/>
                  <w:spacing w:val="-3"/>
                  <w:sz w:val="24"/>
                </w:rPr>
                <w:t> </w:t>
              </w:r>
              <w:r>
                <w:rPr>
                  <w:b/>
                  <w:color w:val="231F20"/>
                  <w:sz w:val="24"/>
                </w:rPr>
                <w:t>prices</w:t>
              </w:r>
            </w:hyperlink>
          </w:p>
        </w:tc>
        <w:tc>
          <w:tcPr>
            <w:tcW w:w="523" w:type="dxa"/>
          </w:tcPr>
          <w:p>
            <w:pPr>
              <w:pStyle w:val="TableParagraph"/>
              <w:spacing w:before="17"/>
              <w:ind w:left="211" w:right="29"/>
              <w:jc w:val="center"/>
              <w:rPr>
                <w:sz w:val="24"/>
              </w:rPr>
            </w:pPr>
            <w:r>
              <w:rPr>
                <w:color w:val="231F20"/>
                <w:sz w:val="24"/>
              </w:rPr>
              <w:t>37</w:t>
            </w:r>
          </w:p>
        </w:tc>
      </w:tr>
      <w:tr>
        <w:trPr>
          <w:trHeight w:val="319" w:hRule="atLeast"/>
        </w:trPr>
        <w:tc>
          <w:tcPr>
            <w:tcW w:w="4479" w:type="dxa"/>
          </w:tcPr>
          <w:p>
            <w:pPr>
              <w:pStyle w:val="TableParagraph"/>
              <w:tabs>
                <w:tab w:pos="611" w:val="left" w:leader="none"/>
              </w:tabs>
              <w:spacing w:before="17"/>
              <w:ind w:left="51"/>
              <w:rPr>
                <w:b/>
                <w:sz w:val="24"/>
              </w:rPr>
            </w:pPr>
            <w:r>
              <w:rPr>
                <w:b/>
                <w:color w:val="231F20"/>
                <w:sz w:val="24"/>
              </w:rPr>
              <w:t>5.3</w:t>
              <w:tab/>
            </w:r>
            <w:hyperlink w:history="true" w:anchor="_bookmark35">
              <w:r>
                <w:rPr>
                  <w:b/>
                  <w:color w:val="231F20"/>
                  <w:sz w:val="24"/>
                </w:rPr>
                <w:t>Costs and prices in the service</w:t>
              </w:r>
              <w:r>
                <w:rPr>
                  <w:b/>
                  <w:color w:val="231F20"/>
                  <w:spacing w:val="-4"/>
                  <w:sz w:val="24"/>
                </w:rPr>
                <w:t> </w:t>
              </w:r>
              <w:r>
                <w:rPr>
                  <w:b/>
                  <w:color w:val="231F20"/>
                  <w:sz w:val="24"/>
                </w:rPr>
                <w:t>sector</w:t>
              </w:r>
            </w:hyperlink>
          </w:p>
        </w:tc>
        <w:tc>
          <w:tcPr>
            <w:tcW w:w="523" w:type="dxa"/>
          </w:tcPr>
          <w:p>
            <w:pPr>
              <w:pStyle w:val="TableParagraph"/>
              <w:spacing w:before="17"/>
              <w:ind w:left="211" w:right="30"/>
              <w:jc w:val="center"/>
              <w:rPr>
                <w:sz w:val="24"/>
              </w:rPr>
            </w:pPr>
            <w:r>
              <w:rPr>
                <w:color w:val="231F20"/>
                <w:sz w:val="24"/>
              </w:rPr>
              <w:t>38</w:t>
            </w:r>
          </w:p>
        </w:tc>
      </w:tr>
      <w:tr>
        <w:trPr>
          <w:trHeight w:val="319" w:hRule="atLeast"/>
        </w:trPr>
        <w:tc>
          <w:tcPr>
            <w:tcW w:w="4479" w:type="dxa"/>
          </w:tcPr>
          <w:p>
            <w:pPr>
              <w:pStyle w:val="TableParagraph"/>
              <w:tabs>
                <w:tab w:pos="611" w:val="left" w:leader="none"/>
              </w:tabs>
              <w:spacing w:before="17"/>
              <w:ind w:left="51"/>
              <w:rPr>
                <w:b/>
                <w:sz w:val="24"/>
              </w:rPr>
            </w:pPr>
            <w:r>
              <w:rPr>
                <w:b/>
                <w:color w:val="231F20"/>
                <w:sz w:val="24"/>
              </w:rPr>
              <w:t>5.4</w:t>
              <w:tab/>
            </w:r>
            <w:hyperlink w:history="true" w:anchor="_bookmark35">
              <w:r>
                <w:rPr>
                  <w:b/>
                  <w:color w:val="231F20"/>
                  <w:sz w:val="24"/>
                </w:rPr>
                <w:t>Costs and prices in</w:t>
              </w:r>
              <w:r>
                <w:rPr>
                  <w:b/>
                  <w:color w:val="231F20"/>
                  <w:spacing w:val="-2"/>
                  <w:sz w:val="24"/>
                </w:rPr>
                <w:t> </w:t>
              </w:r>
              <w:r>
                <w:rPr>
                  <w:b/>
                  <w:color w:val="231F20"/>
                  <w:sz w:val="24"/>
                </w:rPr>
                <w:t>manufacturing</w:t>
              </w:r>
            </w:hyperlink>
          </w:p>
        </w:tc>
        <w:tc>
          <w:tcPr>
            <w:tcW w:w="523" w:type="dxa"/>
          </w:tcPr>
          <w:p>
            <w:pPr>
              <w:pStyle w:val="TableParagraph"/>
              <w:spacing w:before="17"/>
              <w:ind w:left="211" w:right="30"/>
              <w:jc w:val="center"/>
              <w:rPr>
                <w:sz w:val="24"/>
              </w:rPr>
            </w:pPr>
            <w:r>
              <w:rPr>
                <w:color w:val="231F20"/>
                <w:sz w:val="24"/>
              </w:rPr>
              <w:t>38</w:t>
            </w:r>
          </w:p>
        </w:tc>
      </w:tr>
      <w:tr>
        <w:trPr>
          <w:trHeight w:val="319" w:hRule="atLeast"/>
        </w:trPr>
        <w:tc>
          <w:tcPr>
            <w:tcW w:w="4479" w:type="dxa"/>
          </w:tcPr>
          <w:p>
            <w:pPr>
              <w:pStyle w:val="TableParagraph"/>
              <w:spacing w:before="17"/>
              <w:ind w:left="911"/>
              <w:rPr>
                <w:sz w:val="24"/>
              </w:rPr>
            </w:pPr>
            <w:hyperlink w:history="true" w:anchor="_bookmark36">
              <w:r>
                <w:rPr>
                  <w:color w:val="231F20"/>
                  <w:sz w:val="24"/>
                </w:rPr>
                <w:t>Pricing in the manufacturing sector</w:t>
              </w:r>
            </w:hyperlink>
          </w:p>
        </w:tc>
        <w:tc>
          <w:tcPr>
            <w:tcW w:w="523" w:type="dxa"/>
          </w:tcPr>
          <w:p>
            <w:pPr>
              <w:pStyle w:val="TableParagraph"/>
              <w:spacing w:before="17"/>
              <w:ind w:left="211" w:right="30"/>
              <w:jc w:val="center"/>
              <w:rPr>
                <w:sz w:val="24"/>
              </w:rPr>
            </w:pPr>
            <w:r>
              <w:rPr>
                <w:color w:val="231F20"/>
                <w:sz w:val="24"/>
              </w:rPr>
              <w:t>39</w:t>
            </w:r>
          </w:p>
        </w:tc>
      </w:tr>
      <w:tr>
        <w:trPr>
          <w:trHeight w:val="319" w:hRule="atLeast"/>
        </w:trPr>
        <w:tc>
          <w:tcPr>
            <w:tcW w:w="4479" w:type="dxa"/>
          </w:tcPr>
          <w:p>
            <w:pPr>
              <w:pStyle w:val="TableParagraph"/>
              <w:tabs>
                <w:tab w:pos="610" w:val="left" w:leader="none"/>
              </w:tabs>
              <w:spacing w:before="17"/>
              <w:ind w:left="50"/>
              <w:rPr>
                <w:b/>
                <w:sz w:val="24"/>
              </w:rPr>
            </w:pPr>
            <w:r>
              <w:rPr>
                <w:b/>
                <w:color w:val="231F20"/>
                <w:sz w:val="24"/>
              </w:rPr>
              <w:t>5.5</w:t>
              <w:tab/>
            </w:r>
            <w:hyperlink w:history="true" w:anchor="_bookmark36">
              <w:r>
                <w:rPr>
                  <w:b/>
                  <w:color w:val="231F20"/>
                  <w:sz w:val="24"/>
                </w:rPr>
                <w:t>Retail</w:t>
              </w:r>
              <w:r>
                <w:rPr>
                  <w:b/>
                  <w:color w:val="231F20"/>
                  <w:spacing w:val="-1"/>
                  <w:sz w:val="24"/>
                </w:rPr>
                <w:t> </w:t>
              </w:r>
              <w:r>
                <w:rPr>
                  <w:b/>
                  <w:color w:val="231F20"/>
                  <w:sz w:val="24"/>
                </w:rPr>
                <w:t>prices</w:t>
              </w:r>
            </w:hyperlink>
          </w:p>
        </w:tc>
        <w:tc>
          <w:tcPr>
            <w:tcW w:w="523" w:type="dxa"/>
          </w:tcPr>
          <w:p>
            <w:pPr>
              <w:pStyle w:val="TableParagraph"/>
              <w:spacing w:before="17"/>
              <w:ind w:left="210" w:right="30"/>
              <w:jc w:val="center"/>
              <w:rPr>
                <w:sz w:val="24"/>
              </w:rPr>
            </w:pPr>
            <w:r>
              <w:rPr>
                <w:color w:val="231F20"/>
                <w:sz w:val="24"/>
              </w:rPr>
              <w:t>39</w:t>
            </w:r>
          </w:p>
        </w:tc>
      </w:tr>
      <w:tr>
        <w:trPr>
          <w:trHeight w:val="319" w:hRule="atLeast"/>
        </w:trPr>
        <w:tc>
          <w:tcPr>
            <w:tcW w:w="4479" w:type="dxa"/>
          </w:tcPr>
          <w:p>
            <w:pPr>
              <w:pStyle w:val="TableParagraph"/>
              <w:tabs>
                <w:tab w:pos="610" w:val="left" w:leader="none"/>
              </w:tabs>
              <w:spacing w:before="17"/>
              <w:ind w:left="50"/>
              <w:rPr>
                <w:b/>
                <w:sz w:val="24"/>
              </w:rPr>
            </w:pPr>
            <w:r>
              <w:rPr>
                <w:b/>
                <w:color w:val="231F20"/>
                <w:sz w:val="24"/>
              </w:rPr>
              <w:t>5.6</w:t>
              <w:tab/>
            </w:r>
            <w:hyperlink w:history="true" w:anchor="_bookmark37">
              <w:r>
                <w:rPr>
                  <w:b/>
                  <w:color w:val="231F20"/>
                  <w:sz w:val="24"/>
                </w:rPr>
                <w:t>Other price</w:t>
              </w:r>
              <w:r>
                <w:rPr>
                  <w:b/>
                  <w:color w:val="231F20"/>
                  <w:spacing w:val="-1"/>
                  <w:sz w:val="24"/>
                </w:rPr>
                <w:t> </w:t>
              </w:r>
              <w:r>
                <w:rPr>
                  <w:b/>
                  <w:color w:val="231F20"/>
                  <w:sz w:val="24"/>
                </w:rPr>
                <w:t>indices</w:t>
              </w:r>
            </w:hyperlink>
          </w:p>
        </w:tc>
        <w:tc>
          <w:tcPr>
            <w:tcW w:w="523" w:type="dxa"/>
          </w:tcPr>
          <w:p>
            <w:pPr>
              <w:pStyle w:val="TableParagraph"/>
              <w:spacing w:before="17"/>
              <w:ind w:left="210" w:right="30"/>
              <w:jc w:val="center"/>
              <w:rPr>
                <w:sz w:val="24"/>
              </w:rPr>
            </w:pPr>
            <w:r>
              <w:rPr>
                <w:color w:val="231F20"/>
                <w:sz w:val="24"/>
              </w:rPr>
              <w:t>40</w:t>
            </w:r>
          </w:p>
        </w:tc>
      </w:tr>
      <w:tr>
        <w:trPr>
          <w:trHeight w:val="319" w:hRule="atLeast"/>
        </w:trPr>
        <w:tc>
          <w:tcPr>
            <w:tcW w:w="4479" w:type="dxa"/>
          </w:tcPr>
          <w:p>
            <w:pPr>
              <w:pStyle w:val="TableParagraph"/>
              <w:tabs>
                <w:tab w:pos="610" w:val="left" w:leader="none"/>
              </w:tabs>
              <w:spacing w:before="17"/>
              <w:ind w:left="50"/>
              <w:rPr>
                <w:b/>
                <w:sz w:val="24"/>
              </w:rPr>
            </w:pPr>
            <w:r>
              <w:rPr>
                <w:b/>
                <w:color w:val="231F20"/>
                <w:sz w:val="24"/>
              </w:rPr>
              <w:t>5.7</w:t>
              <w:tab/>
            </w:r>
            <w:hyperlink w:history="true" w:anchor="_bookmark38">
              <w:r>
                <w:rPr>
                  <w:b/>
                  <w:color w:val="231F20"/>
                  <w:sz w:val="24"/>
                </w:rPr>
                <w:t>GDP deflator and final</w:t>
              </w:r>
              <w:r>
                <w:rPr>
                  <w:b/>
                  <w:color w:val="231F20"/>
                  <w:spacing w:val="-8"/>
                  <w:sz w:val="24"/>
                </w:rPr>
                <w:t> </w:t>
              </w:r>
              <w:r>
                <w:rPr>
                  <w:b/>
                  <w:color w:val="231F20"/>
                  <w:sz w:val="24"/>
                </w:rPr>
                <w:t>expenditure</w:t>
              </w:r>
            </w:hyperlink>
          </w:p>
        </w:tc>
        <w:tc>
          <w:tcPr>
            <w:tcW w:w="523" w:type="dxa"/>
          </w:tcPr>
          <w:p>
            <w:pPr>
              <w:pStyle w:val="TableParagraph"/>
              <w:rPr>
                <w:sz w:val="22"/>
              </w:rPr>
            </w:pPr>
          </w:p>
        </w:tc>
      </w:tr>
      <w:tr>
        <w:trPr>
          <w:trHeight w:val="319" w:hRule="atLeast"/>
        </w:trPr>
        <w:tc>
          <w:tcPr>
            <w:tcW w:w="4479" w:type="dxa"/>
          </w:tcPr>
          <w:p>
            <w:pPr>
              <w:pStyle w:val="TableParagraph"/>
              <w:spacing w:before="17"/>
              <w:ind w:left="610"/>
              <w:rPr>
                <w:b/>
                <w:sz w:val="24"/>
              </w:rPr>
            </w:pPr>
            <w:hyperlink w:history="true" w:anchor="_bookmark38">
              <w:r>
                <w:rPr>
                  <w:b/>
                  <w:color w:val="231F20"/>
                  <w:sz w:val="24"/>
                </w:rPr>
                <w:t>price index</w:t>
              </w:r>
            </w:hyperlink>
          </w:p>
        </w:tc>
        <w:tc>
          <w:tcPr>
            <w:tcW w:w="523" w:type="dxa"/>
          </w:tcPr>
          <w:p>
            <w:pPr>
              <w:pStyle w:val="TableParagraph"/>
              <w:spacing w:before="17"/>
              <w:ind w:left="209" w:right="30"/>
              <w:jc w:val="center"/>
              <w:rPr>
                <w:sz w:val="24"/>
              </w:rPr>
            </w:pPr>
            <w:r>
              <w:rPr>
                <w:color w:val="231F20"/>
                <w:sz w:val="24"/>
              </w:rPr>
              <w:t>41</w:t>
            </w:r>
          </w:p>
        </w:tc>
      </w:tr>
      <w:tr>
        <w:trPr>
          <w:trHeight w:val="292" w:hRule="atLeast"/>
        </w:trPr>
        <w:tc>
          <w:tcPr>
            <w:tcW w:w="4479" w:type="dxa"/>
          </w:tcPr>
          <w:p>
            <w:pPr>
              <w:pStyle w:val="TableParagraph"/>
              <w:tabs>
                <w:tab w:pos="609" w:val="left" w:leader="none"/>
              </w:tabs>
              <w:spacing w:line="256" w:lineRule="exact" w:before="17"/>
              <w:ind w:left="50"/>
              <w:rPr>
                <w:b/>
                <w:sz w:val="24"/>
              </w:rPr>
            </w:pPr>
            <w:r>
              <w:rPr>
                <w:b/>
                <w:color w:val="231F20"/>
                <w:sz w:val="24"/>
              </w:rPr>
              <w:t>5.8</w:t>
              <w:tab/>
            </w:r>
            <w:hyperlink w:history="true" w:anchor="_bookmark38">
              <w:r>
                <w:rPr>
                  <w:b/>
                  <w:color w:val="231F20"/>
                  <w:sz w:val="24"/>
                </w:rPr>
                <w:t>Summary</w:t>
              </w:r>
            </w:hyperlink>
          </w:p>
        </w:tc>
        <w:tc>
          <w:tcPr>
            <w:tcW w:w="523" w:type="dxa"/>
          </w:tcPr>
          <w:p>
            <w:pPr>
              <w:pStyle w:val="TableParagraph"/>
              <w:spacing w:line="256" w:lineRule="exact" w:before="17"/>
              <w:ind w:left="89" w:right="30"/>
              <w:jc w:val="center"/>
              <w:rPr>
                <w:sz w:val="24"/>
              </w:rPr>
            </w:pPr>
            <w:r>
              <w:rPr>
                <w:color w:val="231F20"/>
                <w:sz w:val="24"/>
              </w:rPr>
              <w:t>41d</w:t>
            </w:r>
          </w:p>
        </w:tc>
      </w:tr>
    </w:tbl>
    <w:p>
      <w:pPr>
        <w:pStyle w:val="BodyText"/>
        <w:spacing w:before="8"/>
        <w:rPr>
          <w:sz w:val="31"/>
        </w:rPr>
      </w:pPr>
    </w:p>
    <w:p>
      <w:pPr>
        <w:pStyle w:val="ListParagraph"/>
        <w:numPr>
          <w:ilvl w:val="0"/>
          <w:numId w:val="1"/>
        </w:numPr>
        <w:tabs>
          <w:tab w:pos="4297" w:val="left" w:leader="none"/>
          <w:tab w:pos="4298" w:val="left" w:leader="none"/>
          <w:tab w:pos="8960" w:val="left" w:leader="none"/>
        </w:tabs>
        <w:spacing w:line="240" w:lineRule="auto" w:before="0" w:after="0"/>
        <w:ind w:left="4298" w:right="0" w:hanging="380"/>
        <w:jc w:val="left"/>
        <w:rPr>
          <w:sz w:val="24"/>
        </w:rPr>
      </w:pPr>
      <w:hyperlink w:history="true" w:anchor="_bookmark39">
        <w:r>
          <w:rPr>
            <w:b/>
            <w:color w:val="0093C1"/>
            <w:sz w:val="24"/>
          </w:rPr>
          <w:t>Monetary policy since the</w:t>
        </w:r>
        <w:r>
          <w:rPr>
            <w:b/>
            <w:color w:val="0093C1"/>
            <w:spacing w:val="1"/>
            <w:sz w:val="24"/>
          </w:rPr>
          <w:t> </w:t>
        </w:r>
        <w:r>
          <w:rPr>
            <w:b/>
            <w:color w:val="0093C1"/>
            <w:spacing w:val="-3"/>
            <w:sz w:val="24"/>
          </w:rPr>
          <w:t>August</w:t>
        </w:r>
        <w:r>
          <w:rPr>
            <w:b/>
            <w:color w:val="0093C1"/>
            <w:spacing w:val="2"/>
            <w:sz w:val="24"/>
          </w:rPr>
          <w:t> </w:t>
        </w:r>
        <w:r>
          <w:rPr>
            <w:b/>
            <w:i/>
            <w:color w:val="0093C1"/>
            <w:sz w:val="24"/>
          </w:rPr>
          <w:t>Report</w:t>
        </w:r>
      </w:hyperlink>
      <w:r>
        <w:rPr>
          <w:b/>
          <w:i/>
          <w:color w:val="0093C1"/>
          <w:sz w:val="24"/>
        </w:rPr>
        <w:tab/>
      </w:r>
      <w:r>
        <w:rPr>
          <w:color w:val="231F20"/>
          <w:sz w:val="24"/>
        </w:rPr>
        <w:t>42</w:t>
      </w:r>
    </w:p>
    <w:p>
      <w:pPr>
        <w:pStyle w:val="Heading4"/>
        <w:numPr>
          <w:ilvl w:val="0"/>
          <w:numId w:val="1"/>
        </w:numPr>
        <w:tabs>
          <w:tab w:pos="4299" w:val="left" w:leader="none"/>
          <w:tab w:pos="4301" w:val="left" w:leader="none"/>
          <w:tab w:pos="9199" w:val="right" w:leader="none"/>
        </w:tabs>
        <w:spacing w:line="240" w:lineRule="auto" w:before="365" w:after="54"/>
        <w:ind w:left="4300" w:right="0" w:hanging="381"/>
        <w:jc w:val="left"/>
        <w:rPr>
          <w:b w:val="0"/>
        </w:rPr>
      </w:pPr>
      <w:hyperlink w:history="true" w:anchor="_bookmark40">
        <w:r>
          <w:rPr>
            <w:color w:val="0093C1"/>
          </w:rPr>
          <w:t>Prospects</w:t>
        </w:r>
        <w:r>
          <w:rPr>
            <w:color w:val="0093C1"/>
            <w:spacing w:val="-1"/>
          </w:rPr>
          <w:t> </w:t>
        </w:r>
        <w:r>
          <w:rPr>
            <w:color w:val="0093C1"/>
            <w:spacing w:val="-3"/>
          </w:rPr>
          <w:t>for</w:t>
        </w:r>
        <w:r>
          <w:rPr>
            <w:color w:val="0093C1"/>
          </w:rPr>
          <w:t> inflation</w:t>
        </w:r>
      </w:hyperlink>
      <w:r>
        <w:rPr>
          <w:color w:val="0093C1"/>
        </w:rPr>
        <w:tab/>
      </w:r>
      <w:r>
        <w:rPr>
          <w:b w:val="0"/>
          <w:color w:val="231F20"/>
        </w:rPr>
        <w:t>46</w:t>
      </w:r>
    </w:p>
    <w:tbl>
      <w:tblPr>
        <w:tblW w:w="0" w:type="auto"/>
        <w:jc w:val="left"/>
        <w:tblInd w:w="3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4137"/>
        <w:gridCol w:w="386"/>
      </w:tblGrid>
      <w:tr>
        <w:trPr>
          <w:trHeight w:val="292" w:hRule="atLeast"/>
        </w:trPr>
        <w:tc>
          <w:tcPr>
            <w:tcW w:w="856" w:type="dxa"/>
          </w:tcPr>
          <w:p>
            <w:pPr>
              <w:pStyle w:val="TableParagraph"/>
              <w:spacing w:line="266" w:lineRule="exact"/>
              <w:ind w:right="124"/>
              <w:jc w:val="right"/>
              <w:rPr>
                <w:b/>
                <w:sz w:val="24"/>
              </w:rPr>
            </w:pPr>
            <w:r>
              <w:rPr>
                <w:b/>
                <w:color w:val="231F20"/>
                <w:sz w:val="24"/>
              </w:rPr>
              <w:t>7.1</w:t>
            </w:r>
          </w:p>
        </w:tc>
        <w:tc>
          <w:tcPr>
            <w:tcW w:w="4137" w:type="dxa"/>
          </w:tcPr>
          <w:p>
            <w:pPr>
              <w:pStyle w:val="TableParagraph"/>
              <w:spacing w:line="266" w:lineRule="exact"/>
              <w:ind w:left="133"/>
              <w:rPr>
                <w:b/>
                <w:sz w:val="24"/>
              </w:rPr>
            </w:pPr>
            <w:hyperlink w:history="true" w:anchor="_bookmark40">
              <w:r>
                <w:rPr>
                  <w:b/>
                  <w:color w:val="231F20"/>
                  <w:sz w:val="24"/>
                </w:rPr>
                <w:t>The medium-term inflation projection</w:t>
              </w:r>
            </w:hyperlink>
          </w:p>
        </w:tc>
        <w:tc>
          <w:tcPr>
            <w:tcW w:w="386" w:type="dxa"/>
          </w:tcPr>
          <w:p>
            <w:pPr>
              <w:pStyle w:val="TableParagraph"/>
              <w:spacing w:line="266" w:lineRule="exact"/>
              <w:ind w:left="76" w:right="28"/>
              <w:jc w:val="center"/>
              <w:rPr>
                <w:sz w:val="24"/>
              </w:rPr>
            </w:pPr>
            <w:r>
              <w:rPr>
                <w:color w:val="231F20"/>
                <w:sz w:val="24"/>
              </w:rPr>
              <w:t>46</w:t>
            </w:r>
          </w:p>
        </w:tc>
      </w:tr>
      <w:tr>
        <w:trPr>
          <w:trHeight w:val="319" w:hRule="atLeast"/>
        </w:trPr>
        <w:tc>
          <w:tcPr>
            <w:tcW w:w="856" w:type="dxa"/>
          </w:tcPr>
          <w:p>
            <w:pPr>
              <w:pStyle w:val="TableParagraph"/>
              <w:spacing w:before="17"/>
              <w:ind w:right="124"/>
              <w:jc w:val="right"/>
              <w:rPr>
                <w:b/>
                <w:sz w:val="24"/>
              </w:rPr>
            </w:pPr>
            <w:r>
              <w:rPr>
                <w:b/>
                <w:color w:val="231F20"/>
                <w:sz w:val="24"/>
              </w:rPr>
              <w:t>7.2</w:t>
            </w:r>
          </w:p>
        </w:tc>
        <w:tc>
          <w:tcPr>
            <w:tcW w:w="4137" w:type="dxa"/>
          </w:tcPr>
          <w:p>
            <w:pPr>
              <w:pStyle w:val="TableParagraph"/>
              <w:spacing w:before="17"/>
              <w:ind w:left="133"/>
              <w:rPr>
                <w:b/>
                <w:sz w:val="24"/>
              </w:rPr>
            </w:pPr>
            <w:hyperlink w:history="true" w:anchor="_bookmark42">
              <w:r>
                <w:rPr>
                  <w:b/>
                  <w:color w:val="231F20"/>
                  <w:sz w:val="24"/>
                </w:rPr>
                <w:t>Other forecasters</w:t>
              </w:r>
            </w:hyperlink>
          </w:p>
        </w:tc>
        <w:tc>
          <w:tcPr>
            <w:tcW w:w="386" w:type="dxa"/>
          </w:tcPr>
          <w:p>
            <w:pPr>
              <w:pStyle w:val="TableParagraph"/>
              <w:spacing w:before="17"/>
              <w:ind w:left="76" w:right="28"/>
              <w:jc w:val="center"/>
              <w:rPr>
                <w:sz w:val="24"/>
              </w:rPr>
            </w:pPr>
            <w:r>
              <w:rPr>
                <w:color w:val="231F20"/>
                <w:sz w:val="24"/>
              </w:rPr>
              <w:t>51</w:t>
            </w:r>
          </w:p>
        </w:tc>
      </w:tr>
      <w:tr>
        <w:trPr>
          <w:trHeight w:val="480" w:hRule="atLeast"/>
        </w:trPr>
        <w:tc>
          <w:tcPr>
            <w:tcW w:w="856" w:type="dxa"/>
          </w:tcPr>
          <w:p>
            <w:pPr>
              <w:pStyle w:val="TableParagraph"/>
              <w:spacing w:before="17"/>
              <w:ind w:right="124"/>
              <w:jc w:val="right"/>
              <w:rPr>
                <w:b/>
                <w:sz w:val="24"/>
              </w:rPr>
            </w:pPr>
            <w:r>
              <w:rPr>
                <w:b/>
                <w:color w:val="231F20"/>
                <w:sz w:val="24"/>
              </w:rPr>
              <w:t>7.3</w:t>
            </w:r>
          </w:p>
        </w:tc>
        <w:tc>
          <w:tcPr>
            <w:tcW w:w="4137" w:type="dxa"/>
          </w:tcPr>
          <w:p>
            <w:pPr>
              <w:pStyle w:val="TableParagraph"/>
              <w:spacing w:before="17"/>
              <w:ind w:left="133"/>
              <w:rPr>
                <w:b/>
                <w:sz w:val="24"/>
              </w:rPr>
            </w:pPr>
            <w:hyperlink w:history="true" w:anchor="_bookmark43">
              <w:r>
                <w:rPr>
                  <w:b/>
                  <w:color w:val="231F20"/>
                  <w:sz w:val="24"/>
                </w:rPr>
                <w:t>Conclusions</w:t>
              </w:r>
            </w:hyperlink>
          </w:p>
        </w:tc>
        <w:tc>
          <w:tcPr>
            <w:tcW w:w="386" w:type="dxa"/>
          </w:tcPr>
          <w:p>
            <w:pPr>
              <w:pStyle w:val="TableParagraph"/>
              <w:spacing w:before="17"/>
              <w:ind w:left="76" w:right="28"/>
              <w:jc w:val="center"/>
              <w:rPr>
                <w:sz w:val="24"/>
              </w:rPr>
            </w:pPr>
            <w:r>
              <w:rPr>
                <w:color w:val="231F20"/>
                <w:sz w:val="24"/>
              </w:rPr>
              <w:t>52</w:t>
            </w:r>
          </w:p>
        </w:tc>
      </w:tr>
      <w:tr>
        <w:trPr>
          <w:trHeight w:val="799" w:hRule="atLeast"/>
        </w:trPr>
        <w:tc>
          <w:tcPr>
            <w:tcW w:w="856" w:type="dxa"/>
          </w:tcPr>
          <w:p>
            <w:pPr>
              <w:pStyle w:val="TableParagraph"/>
              <w:spacing w:before="177"/>
              <w:ind w:right="57"/>
              <w:jc w:val="right"/>
              <w:rPr>
                <w:b/>
                <w:sz w:val="24"/>
              </w:rPr>
            </w:pPr>
            <w:r>
              <w:rPr>
                <w:b/>
                <w:color w:val="0093C1"/>
                <w:sz w:val="24"/>
              </w:rPr>
              <w:t>Annex:</w:t>
            </w:r>
          </w:p>
        </w:tc>
        <w:tc>
          <w:tcPr>
            <w:tcW w:w="4137" w:type="dxa"/>
          </w:tcPr>
          <w:p>
            <w:pPr>
              <w:pStyle w:val="TableParagraph"/>
              <w:spacing w:line="320" w:lineRule="atLeast" w:before="133"/>
              <w:ind w:left="174" w:hanging="114"/>
              <w:rPr>
                <w:b/>
                <w:sz w:val="24"/>
              </w:rPr>
            </w:pPr>
            <w:hyperlink w:history="true" w:anchor="_bookmark44">
              <w:r>
                <w:rPr>
                  <w:b/>
                  <w:color w:val="0093C1"/>
                  <w:sz w:val="24"/>
                </w:rPr>
                <w:t>Minutes of the Monetary Policy Committee</w:t>
              </w:r>
            </w:hyperlink>
          </w:p>
        </w:tc>
        <w:tc>
          <w:tcPr>
            <w:tcW w:w="386" w:type="dxa"/>
          </w:tcPr>
          <w:p>
            <w:pPr>
              <w:pStyle w:val="TableParagraph"/>
              <w:rPr>
                <w:sz w:val="26"/>
              </w:rPr>
            </w:pPr>
          </w:p>
          <w:p>
            <w:pPr>
              <w:pStyle w:val="TableParagraph"/>
              <w:spacing w:before="198"/>
              <w:ind w:left="76" w:right="28"/>
              <w:jc w:val="center"/>
              <w:rPr>
                <w:sz w:val="24"/>
              </w:rPr>
            </w:pPr>
            <w:r>
              <w:rPr>
                <w:color w:val="231F20"/>
                <w:sz w:val="24"/>
              </w:rPr>
              <w:t>55</w:t>
            </w:r>
          </w:p>
        </w:tc>
      </w:tr>
      <w:tr>
        <w:trPr>
          <w:trHeight w:val="319" w:hRule="atLeast"/>
        </w:trPr>
        <w:tc>
          <w:tcPr>
            <w:tcW w:w="856" w:type="dxa"/>
          </w:tcPr>
          <w:p>
            <w:pPr>
              <w:pStyle w:val="TableParagraph"/>
              <w:rPr>
                <w:sz w:val="22"/>
              </w:rPr>
            </w:pPr>
          </w:p>
        </w:tc>
        <w:tc>
          <w:tcPr>
            <w:tcW w:w="4137" w:type="dxa"/>
          </w:tcPr>
          <w:p>
            <w:pPr>
              <w:pStyle w:val="TableParagraph"/>
              <w:spacing w:before="17"/>
              <w:ind w:left="134"/>
              <w:rPr>
                <w:b/>
                <w:sz w:val="24"/>
              </w:rPr>
            </w:pPr>
            <w:hyperlink w:history="true" w:anchor="_bookmark46">
              <w:r>
                <w:rPr>
                  <w:b/>
                  <w:color w:val="231F20"/>
                  <w:sz w:val="24"/>
                </w:rPr>
                <w:t>August meeting</w:t>
              </w:r>
            </w:hyperlink>
          </w:p>
        </w:tc>
        <w:tc>
          <w:tcPr>
            <w:tcW w:w="386" w:type="dxa"/>
          </w:tcPr>
          <w:p>
            <w:pPr>
              <w:pStyle w:val="TableParagraph"/>
              <w:spacing w:before="17"/>
              <w:ind w:left="76" w:right="28"/>
              <w:jc w:val="center"/>
              <w:rPr>
                <w:sz w:val="24"/>
              </w:rPr>
            </w:pPr>
            <w:r>
              <w:rPr>
                <w:color w:val="231F20"/>
                <w:sz w:val="24"/>
              </w:rPr>
              <w:t>57</w:t>
            </w:r>
          </w:p>
        </w:tc>
      </w:tr>
      <w:tr>
        <w:trPr>
          <w:trHeight w:val="319" w:hRule="atLeast"/>
        </w:trPr>
        <w:tc>
          <w:tcPr>
            <w:tcW w:w="856" w:type="dxa"/>
          </w:tcPr>
          <w:p>
            <w:pPr>
              <w:pStyle w:val="TableParagraph"/>
              <w:rPr>
                <w:sz w:val="22"/>
              </w:rPr>
            </w:pPr>
          </w:p>
        </w:tc>
        <w:tc>
          <w:tcPr>
            <w:tcW w:w="4137" w:type="dxa"/>
          </w:tcPr>
          <w:p>
            <w:pPr>
              <w:pStyle w:val="TableParagraph"/>
              <w:spacing w:before="17"/>
              <w:ind w:left="134"/>
              <w:rPr>
                <w:b/>
                <w:sz w:val="24"/>
              </w:rPr>
            </w:pPr>
            <w:hyperlink w:history="true" w:anchor="_bookmark47">
              <w:r>
                <w:rPr>
                  <w:b/>
                  <w:color w:val="231F20"/>
                  <w:sz w:val="24"/>
                </w:rPr>
                <w:t>September meeting</w:t>
              </w:r>
            </w:hyperlink>
          </w:p>
        </w:tc>
        <w:tc>
          <w:tcPr>
            <w:tcW w:w="386" w:type="dxa"/>
          </w:tcPr>
          <w:p>
            <w:pPr>
              <w:pStyle w:val="TableParagraph"/>
              <w:spacing w:before="17"/>
              <w:ind w:left="76" w:right="28"/>
              <w:jc w:val="center"/>
              <w:rPr>
                <w:sz w:val="24"/>
              </w:rPr>
            </w:pPr>
            <w:r>
              <w:rPr>
                <w:color w:val="231F20"/>
                <w:sz w:val="24"/>
              </w:rPr>
              <w:t>63</w:t>
            </w:r>
          </w:p>
        </w:tc>
      </w:tr>
      <w:tr>
        <w:trPr>
          <w:trHeight w:val="319" w:hRule="atLeast"/>
        </w:trPr>
        <w:tc>
          <w:tcPr>
            <w:tcW w:w="856" w:type="dxa"/>
          </w:tcPr>
          <w:p>
            <w:pPr>
              <w:pStyle w:val="TableParagraph"/>
              <w:rPr>
                <w:sz w:val="22"/>
              </w:rPr>
            </w:pPr>
          </w:p>
        </w:tc>
        <w:tc>
          <w:tcPr>
            <w:tcW w:w="4137" w:type="dxa"/>
          </w:tcPr>
          <w:p>
            <w:pPr>
              <w:pStyle w:val="TableParagraph"/>
              <w:spacing w:before="17"/>
              <w:ind w:left="134"/>
              <w:rPr>
                <w:b/>
                <w:sz w:val="24"/>
              </w:rPr>
            </w:pPr>
            <w:hyperlink w:history="true" w:anchor="_bookmark48">
              <w:r>
                <w:rPr>
                  <w:b/>
                  <w:color w:val="231F20"/>
                  <w:sz w:val="24"/>
                </w:rPr>
                <w:t>September Press Notice</w:t>
              </w:r>
            </w:hyperlink>
          </w:p>
        </w:tc>
        <w:tc>
          <w:tcPr>
            <w:tcW w:w="386" w:type="dxa"/>
          </w:tcPr>
          <w:p>
            <w:pPr>
              <w:pStyle w:val="TableParagraph"/>
              <w:spacing w:before="17"/>
              <w:ind w:left="77" w:right="28"/>
              <w:jc w:val="center"/>
              <w:rPr>
                <w:sz w:val="24"/>
              </w:rPr>
            </w:pPr>
            <w:r>
              <w:rPr>
                <w:color w:val="231F20"/>
                <w:sz w:val="24"/>
              </w:rPr>
              <w:t>69</w:t>
            </w:r>
          </w:p>
        </w:tc>
      </w:tr>
      <w:tr>
        <w:trPr>
          <w:trHeight w:val="319" w:hRule="atLeast"/>
        </w:trPr>
        <w:tc>
          <w:tcPr>
            <w:tcW w:w="856" w:type="dxa"/>
          </w:tcPr>
          <w:p>
            <w:pPr>
              <w:pStyle w:val="TableParagraph"/>
              <w:rPr>
                <w:sz w:val="22"/>
              </w:rPr>
            </w:pPr>
          </w:p>
        </w:tc>
        <w:tc>
          <w:tcPr>
            <w:tcW w:w="4137" w:type="dxa"/>
          </w:tcPr>
          <w:p>
            <w:pPr>
              <w:pStyle w:val="TableParagraph"/>
              <w:spacing w:before="17"/>
              <w:ind w:left="134"/>
              <w:rPr>
                <w:b/>
                <w:sz w:val="24"/>
              </w:rPr>
            </w:pPr>
            <w:hyperlink w:history="true" w:anchor="_bookmark49">
              <w:r>
                <w:rPr>
                  <w:b/>
                  <w:color w:val="231F20"/>
                  <w:sz w:val="24"/>
                </w:rPr>
                <w:t>October meeting</w:t>
              </w:r>
            </w:hyperlink>
          </w:p>
        </w:tc>
        <w:tc>
          <w:tcPr>
            <w:tcW w:w="386" w:type="dxa"/>
          </w:tcPr>
          <w:p>
            <w:pPr>
              <w:pStyle w:val="TableParagraph"/>
              <w:spacing w:before="17"/>
              <w:ind w:left="77" w:right="28"/>
              <w:jc w:val="center"/>
              <w:rPr>
                <w:sz w:val="24"/>
              </w:rPr>
            </w:pPr>
            <w:r>
              <w:rPr>
                <w:color w:val="231F20"/>
                <w:sz w:val="24"/>
              </w:rPr>
              <w:t>70</w:t>
            </w:r>
          </w:p>
        </w:tc>
      </w:tr>
      <w:tr>
        <w:trPr>
          <w:trHeight w:val="319" w:hRule="atLeast"/>
        </w:trPr>
        <w:tc>
          <w:tcPr>
            <w:tcW w:w="856" w:type="dxa"/>
          </w:tcPr>
          <w:p>
            <w:pPr>
              <w:pStyle w:val="TableParagraph"/>
              <w:rPr>
                <w:sz w:val="22"/>
              </w:rPr>
            </w:pPr>
          </w:p>
        </w:tc>
        <w:tc>
          <w:tcPr>
            <w:tcW w:w="4137" w:type="dxa"/>
          </w:tcPr>
          <w:p>
            <w:pPr>
              <w:pStyle w:val="TableParagraph"/>
              <w:spacing w:before="17"/>
              <w:ind w:left="134"/>
              <w:rPr>
                <w:b/>
                <w:sz w:val="24"/>
              </w:rPr>
            </w:pPr>
            <w:hyperlink w:history="true" w:anchor="_bookmark50">
              <w:r>
                <w:rPr>
                  <w:b/>
                  <w:color w:val="231F20"/>
                  <w:sz w:val="24"/>
                </w:rPr>
                <w:t>October Press Notice</w:t>
              </w:r>
            </w:hyperlink>
          </w:p>
        </w:tc>
        <w:tc>
          <w:tcPr>
            <w:tcW w:w="386" w:type="dxa"/>
          </w:tcPr>
          <w:p>
            <w:pPr>
              <w:pStyle w:val="TableParagraph"/>
              <w:spacing w:before="17"/>
              <w:ind w:left="77" w:right="28"/>
              <w:jc w:val="center"/>
              <w:rPr>
                <w:sz w:val="24"/>
              </w:rPr>
            </w:pPr>
            <w:r>
              <w:rPr>
                <w:color w:val="231F20"/>
                <w:sz w:val="24"/>
              </w:rPr>
              <w:t>77</w:t>
            </w:r>
          </w:p>
        </w:tc>
      </w:tr>
      <w:tr>
        <w:trPr>
          <w:trHeight w:val="292" w:hRule="atLeast"/>
        </w:trPr>
        <w:tc>
          <w:tcPr>
            <w:tcW w:w="856" w:type="dxa"/>
          </w:tcPr>
          <w:p>
            <w:pPr>
              <w:pStyle w:val="TableParagraph"/>
              <w:rPr>
                <w:sz w:val="20"/>
              </w:rPr>
            </w:pPr>
          </w:p>
        </w:tc>
        <w:tc>
          <w:tcPr>
            <w:tcW w:w="4137" w:type="dxa"/>
          </w:tcPr>
          <w:p>
            <w:pPr>
              <w:pStyle w:val="TableParagraph"/>
              <w:spacing w:line="256" w:lineRule="exact" w:before="17"/>
              <w:ind w:left="134"/>
              <w:rPr>
                <w:b/>
                <w:sz w:val="24"/>
              </w:rPr>
            </w:pPr>
            <w:hyperlink w:history="true" w:anchor="_bookmark51">
              <w:r>
                <w:rPr>
                  <w:b/>
                  <w:color w:val="231F20"/>
                  <w:sz w:val="24"/>
                </w:rPr>
                <w:t>November Press Notice</w:t>
              </w:r>
            </w:hyperlink>
          </w:p>
        </w:tc>
        <w:tc>
          <w:tcPr>
            <w:tcW w:w="386" w:type="dxa"/>
          </w:tcPr>
          <w:p>
            <w:pPr>
              <w:pStyle w:val="TableParagraph"/>
              <w:spacing w:line="256" w:lineRule="exact" w:before="17"/>
              <w:ind w:left="77" w:right="28"/>
              <w:jc w:val="center"/>
              <w:rPr>
                <w:sz w:val="24"/>
              </w:rPr>
            </w:pPr>
            <w:r>
              <w:rPr>
                <w:color w:val="231F20"/>
                <w:sz w:val="24"/>
              </w:rPr>
              <w:t>78</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182" w:lineRule="exact" w:before="227"/>
        <w:ind w:left="3920" w:right="0" w:firstLine="0"/>
        <w:jc w:val="left"/>
        <w:rPr>
          <w:sz w:val="16"/>
        </w:rPr>
      </w:pPr>
      <w:r>
        <w:rPr>
          <w:color w:val="231F20"/>
          <w:sz w:val="16"/>
        </w:rPr>
        <w:t>Printed by Park Communications Ltd</w:t>
      </w:r>
    </w:p>
    <w:p>
      <w:pPr>
        <w:spacing w:line="235" w:lineRule="auto" w:before="1"/>
        <w:ind w:left="3920" w:right="3834" w:firstLine="0"/>
        <w:jc w:val="left"/>
        <w:rPr>
          <w:sz w:val="16"/>
        </w:rPr>
      </w:pPr>
      <w:r>
        <w:rPr>
          <w:color w:val="231F20"/>
          <w:sz w:val="16"/>
        </w:rPr>
        <w:t>© Bank of England 1997 ISBN 1 85730 111 0</w:t>
      </w:r>
    </w:p>
    <w:p>
      <w:pPr>
        <w:spacing w:line="180" w:lineRule="exact" w:before="0"/>
        <w:ind w:left="3920" w:right="0" w:firstLine="0"/>
        <w:jc w:val="left"/>
        <w:rPr>
          <w:sz w:val="16"/>
        </w:rPr>
      </w:pPr>
      <w:r>
        <w:rPr>
          <w:color w:val="231F20"/>
          <w:sz w:val="16"/>
        </w:rPr>
        <w:t>ISSN 1353–6737</w:t>
      </w:r>
    </w:p>
    <w:p>
      <w:pPr>
        <w:spacing w:after="0" w:line="180" w:lineRule="exact"/>
        <w:jc w:val="left"/>
        <w:rPr>
          <w:sz w:val="16"/>
        </w:rPr>
        <w:sectPr>
          <w:pgSz w:w="11880" w:h="16840"/>
          <w:pgMar w:top="1440" w:bottom="280" w:left="1680" w:right="820"/>
        </w:sectPr>
      </w:pPr>
    </w:p>
    <w:p>
      <w:pPr>
        <w:pStyle w:val="BodyText"/>
        <w:spacing w:line="20" w:lineRule="exact"/>
        <w:ind w:left="11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type id="_x0000_t202" o:spt="202" coordsize="21600,21600" path="m,l,21600r21600,l21600,xe">
            <v:stroke joinstyle="miter"/>
            <v:path gradientshapeok="t" o:connecttype="rect"/>
          </v:shapetype>
          <v:shape style="position:absolute;margin-left:39.810001pt;margin-top:12.000977pt;width:517pt;height:46pt;mso-position-horizontal-relative:page;mso-position-vertical-relative:paragraph;z-index:-15728128;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Introduction and summary" w:id="2"/>
                  <w:bookmarkEnd w:id="2"/>
                  <w:r>
                    <w:rPr/>
                  </w:r>
                  <w:bookmarkStart w:name="_bookmark0" w:id="3"/>
                  <w:bookmarkEnd w:id="3"/>
                  <w:r>
                    <w:rPr/>
                  </w:r>
                  <w:r>
                    <w:rPr>
                      <w:b/>
                      <w:color w:val="009483"/>
                      <w:sz w:val="48"/>
                    </w:rPr>
                    <w:t>Introduction</w:t>
                  </w:r>
                  <w:r>
                    <w:rPr>
                      <w:b/>
                      <w:color w:val="009483"/>
                      <w:spacing w:val="-1"/>
                      <w:sz w:val="48"/>
                    </w:rPr>
                    <w:t> </w:t>
                  </w:r>
                  <w:r>
                    <w:rPr>
                      <w:b/>
                      <w:color w:val="009483"/>
                      <w:sz w:val="48"/>
                    </w:rPr>
                    <w:t>and summary</w:t>
                    <w:tab/>
                  </w:r>
                  <w:r>
                    <w:rPr>
                      <w:b/>
                      <w:color w:val="009483"/>
                      <w:sz w:val="72"/>
                    </w:rPr>
                    <w:t>1</w:t>
                  </w:r>
                </w:p>
              </w:txbxContent>
            </v:textbox>
            <v:fill type="solid"/>
            <w10:wrap type="topAndBottom"/>
          </v:shape>
        </w:pict>
      </w:r>
    </w:p>
    <w:p>
      <w:pPr>
        <w:pStyle w:val="BodyText"/>
        <w:rPr>
          <w:sz w:val="20"/>
        </w:rPr>
      </w:pPr>
    </w:p>
    <w:p>
      <w:pPr>
        <w:pStyle w:val="BodyText"/>
        <w:rPr>
          <w:sz w:val="20"/>
        </w:rPr>
      </w:pPr>
    </w:p>
    <w:p>
      <w:pPr>
        <w:pStyle w:val="BodyText"/>
        <w:spacing w:before="4"/>
        <w:rPr>
          <w:sz w:val="16"/>
        </w:rPr>
      </w:pPr>
    </w:p>
    <w:p>
      <w:pPr>
        <w:pStyle w:val="Heading5"/>
        <w:spacing w:line="242" w:lineRule="auto" w:before="90"/>
        <w:ind w:left="4979" w:right="156"/>
      </w:pPr>
      <w:r>
        <w:rPr>
          <w:color w:val="231F20"/>
        </w:rPr>
        <w:t>The operational target for monetary policy is an underlying inflation rate, measured by the twelve-month increase in retail prices excluding mortgage interest payments (RPIX), of 2</w:t>
      </w:r>
      <w:r>
        <w:rPr>
          <w:color w:val="231F20"/>
          <w:position w:val="8"/>
          <w:sz w:val="12"/>
        </w:rPr>
        <w:t>1</w:t>
      </w:r>
      <w:r>
        <w:rPr>
          <w:color w:val="231F20"/>
        </w:rPr>
        <w:t>/</w:t>
      </w:r>
      <w:r>
        <w:rPr>
          <w:color w:val="231F20"/>
          <w:sz w:val="12"/>
        </w:rPr>
        <w:t>2</w:t>
      </w:r>
      <w:r>
        <w:rPr>
          <w:color w:val="231F20"/>
        </w:rPr>
        <w:t>%. Because of the lags in the effects of monetary policy on the economy, the Monetary Policy Committee (MPC) sets interest rates with respect to the prospects for inflation over the next two years or so. This section summarises the rest of the </w:t>
      </w:r>
      <w:r>
        <w:rPr>
          <w:i/>
          <w:color w:val="231F20"/>
        </w:rPr>
        <w:t>Report</w:t>
      </w:r>
      <w:r>
        <w:rPr>
          <w:color w:val="231F20"/>
        </w:rPr>
        <w:t>, which analyses the current state of the economy in order to assess the prospects for inflation.</w:t>
      </w:r>
    </w:p>
    <w:p>
      <w:pPr>
        <w:pStyle w:val="BodyText"/>
        <w:spacing w:before="5"/>
        <w:rPr>
          <w:sz w:val="25"/>
        </w:rPr>
      </w:pPr>
    </w:p>
    <w:p>
      <w:pPr>
        <w:spacing w:line="242" w:lineRule="auto" w:before="1"/>
        <w:ind w:left="4980" w:right="174" w:firstLine="0"/>
        <w:jc w:val="left"/>
        <w:rPr>
          <w:sz w:val="24"/>
        </w:rPr>
      </w:pPr>
      <w:hyperlink w:history="true" w:anchor="_bookmark2">
        <w:r>
          <w:rPr>
            <w:color w:val="231F20"/>
            <w:sz w:val="24"/>
          </w:rPr>
          <w:t>Section 2</w:t>
        </w:r>
      </w:hyperlink>
      <w:r>
        <w:rPr>
          <w:color w:val="231F20"/>
          <w:sz w:val="24"/>
        </w:rPr>
        <w:t> begins with an assessment of the latest monetary trends. Broad money appears to be continuing to grow too quickly to be compatible with the inflation target in the medium term, unless there is a further decline in its </w:t>
      </w:r>
      <w:r>
        <w:rPr>
          <w:color w:val="231F20"/>
          <w:spacing w:val="-3"/>
          <w:sz w:val="24"/>
        </w:rPr>
        <w:t>velocity. </w:t>
      </w:r>
      <w:hyperlink w:history="true" w:anchor="_bookmark6">
        <w:r>
          <w:rPr>
            <w:color w:val="231F20"/>
            <w:sz w:val="24"/>
          </w:rPr>
          <w:t>The box</w:t>
        </w:r>
      </w:hyperlink>
      <w:r>
        <w:rPr>
          <w:color w:val="231F20"/>
          <w:sz w:val="24"/>
        </w:rPr>
        <w:t> on page 8 discusses monitoring ranges for money growth. Although the MPC has decided not to reinstate such ranges, money remains central in its view of the determinants of inflation in the long run. This section also analyses recent movements in interest rates and the exchange rate. Sterling has risen significantly in nominal </w:t>
      </w:r>
      <w:r>
        <w:rPr>
          <w:color w:val="231F20"/>
          <w:spacing w:val="-4"/>
          <w:sz w:val="24"/>
        </w:rPr>
        <w:t>effective </w:t>
      </w:r>
      <w:r>
        <w:rPr>
          <w:color w:val="231F20"/>
          <w:sz w:val="24"/>
        </w:rPr>
        <w:t>terms since last year, but over the 15 working days</w:t>
      </w:r>
      <w:r>
        <w:rPr>
          <w:color w:val="231F20"/>
          <w:spacing w:val="-18"/>
          <w:sz w:val="24"/>
        </w:rPr>
        <w:t> </w:t>
      </w:r>
      <w:r>
        <w:rPr>
          <w:color w:val="231F20"/>
          <w:sz w:val="24"/>
        </w:rPr>
        <w:t>to</w:t>
      </w:r>
    </w:p>
    <w:p>
      <w:pPr>
        <w:spacing w:line="242" w:lineRule="auto" w:before="16"/>
        <w:ind w:left="4980" w:right="0" w:firstLine="0"/>
        <w:jc w:val="left"/>
        <w:rPr>
          <w:sz w:val="24"/>
        </w:rPr>
      </w:pPr>
      <w:r>
        <w:rPr>
          <w:color w:val="231F20"/>
          <w:sz w:val="24"/>
        </w:rPr>
        <w:t>5 November, sterling was 3% lower than that used as the starting point in the August </w:t>
      </w:r>
      <w:r>
        <w:rPr>
          <w:i/>
          <w:color w:val="231F20"/>
          <w:sz w:val="24"/>
        </w:rPr>
        <w:t>Inflation Report </w:t>
      </w:r>
      <w:r>
        <w:rPr>
          <w:color w:val="231F20"/>
          <w:sz w:val="24"/>
        </w:rPr>
        <w:t>projection.</w:t>
      </w:r>
    </w:p>
    <w:p>
      <w:pPr>
        <w:pStyle w:val="BodyText"/>
        <w:spacing w:before="6"/>
        <w:rPr>
          <w:sz w:val="24"/>
        </w:rPr>
      </w:pPr>
    </w:p>
    <w:p>
      <w:pPr>
        <w:spacing w:line="242" w:lineRule="auto" w:before="0"/>
        <w:ind w:left="4980" w:right="140" w:firstLine="0"/>
        <w:jc w:val="left"/>
        <w:rPr>
          <w:sz w:val="24"/>
        </w:rPr>
      </w:pPr>
      <w:hyperlink w:history="true" w:anchor="_bookmark16">
        <w:r>
          <w:rPr>
            <w:color w:val="231F20"/>
            <w:sz w:val="24"/>
          </w:rPr>
          <w:t>Section 3</w:t>
        </w:r>
      </w:hyperlink>
      <w:r>
        <w:rPr>
          <w:color w:val="231F20"/>
          <w:sz w:val="24"/>
        </w:rPr>
        <w:t> considers demand and output: real GDP grew by 1% in the third quarter and by 3.9% on a year earlier. There is some evidence in both the Q3 GDP data and surveys that the pace of activity in the service sector may be slowing. The impetus for the current fast </w:t>
      </w:r>
      <w:r>
        <w:rPr>
          <w:color w:val="231F20"/>
          <w:spacing w:val="-4"/>
          <w:sz w:val="24"/>
        </w:rPr>
        <w:t>growth </w:t>
      </w:r>
      <w:r>
        <w:rPr>
          <w:color w:val="231F20"/>
          <w:sz w:val="24"/>
        </w:rPr>
        <w:t>is from domestic demand, especially consumption. The </w:t>
      </w:r>
      <w:hyperlink w:history="true" w:anchor="_bookmark18">
        <w:r>
          <w:rPr>
            <w:color w:val="231F20"/>
            <w:sz w:val="24"/>
          </w:rPr>
          <w:t>box</w:t>
        </w:r>
      </w:hyperlink>
      <w:r>
        <w:rPr>
          <w:color w:val="231F20"/>
          <w:sz w:val="24"/>
        </w:rPr>
        <w:t> on page 20 discusses the results of the recent Bank/M</w:t>
      </w:r>
      <w:r>
        <w:rPr>
          <w:color w:val="231F20"/>
          <w:sz w:val="20"/>
        </w:rPr>
        <w:t>ORI </w:t>
      </w:r>
      <w:r>
        <w:rPr>
          <w:color w:val="231F20"/>
          <w:sz w:val="24"/>
        </w:rPr>
        <w:t>survey on windfall gains, which suggest </w:t>
      </w:r>
      <w:r>
        <w:rPr>
          <w:color w:val="231F20"/>
          <w:spacing w:val="-3"/>
          <w:sz w:val="24"/>
        </w:rPr>
        <w:t>that </w:t>
      </w:r>
      <w:r>
        <w:rPr>
          <w:color w:val="231F20"/>
          <w:sz w:val="24"/>
        </w:rPr>
        <w:t>most of the boost to consumption growth will </w:t>
      </w:r>
      <w:r>
        <w:rPr>
          <w:color w:val="231F20"/>
          <w:spacing w:val="-3"/>
          <w:sz w:val="24"/>
        </w:rPr>
        <w:t>have </w:t>
      </w:r>
      <w:r>
        <w:rPr>
          <w:color w:val="231F20"/>
          <w:sz w:val="24"/>
        </w:rPr>
        <w:t>occurred by the end of this </w:t>
      </w:r>
      <w:r>
        <w:rPr>
          <w:color w:val="231F20"/>
          <w:spacing w:val="-3"/>
          <w:sz w:val="24"/>
        </w:rPr>
        <w:t>year. </w:t>
      </w:r>
      <w:r>
        <w:rPr>
          <w:color w:val="231F20"/>
          <w:sz w:val="24"/>
        </w:rPr>
        <w:t>This section also examines possible reasons why net exports </w:t>
      </w:r>
      <w:r>
        <w:rPr>
          <w:color w:val="231F20"/>
          <w:spacing w:val="-3"/>
          <w:sz w:val="24"/>
        </w:rPr>
        <w:t>have </w:t>
      </w:r>
      <w:r>
        <w:rPr>
          <w:color w:val="231F20"/>
          <w:sz w:val="24"/>
        </w:rPr>
        <w:t>not fallen as much as expected in the light of sterling’s appreciation since August last </w:t>
      </w:r>
      <w:r>
        <w:rPr>
          <w:color w:val="231F20"/>
          <w:spacing w:val="-3"/>
          <w:sz w:val="24"/>
        </w:rPr>
        <w:t>year.</w:t>
      </w:r>
    </w:p>
    <w:p>
      <w:pPr>
        <w:pStyle w:val="BodyText"/>
        <w:spacing w:before="8"/>
        <w:rPr>
          <w:sz w:val="25"/>
        </w:rPr>
      </w:pPr>
    </w:p>
    <w:p>
      <w:pPr>
        <w:spacing w:line="242" w:lineRule="auto" w:before="1"/>
        <w:ind w:left="4980" w:right="156" w:firstLine="0"/>
        <w:jc w:val="left"/>
        <w:rPr>
          <w:sz w:val="24"/>
        </w:rPr>
      </w:pPr>
      <w:hyperlink w:history="true" w:anchor="_bookmark28">
        <w:r>
          <w:rPr>
            <w:color w:val="231F20"/>
            <w:sz w:val="24"/>
          </w:rPr>
          <w:t>Section 4</w:t>
        </w:r>
      </w:hyperlink>
      <w:r>
        <w:rPr>
          <w:color w:val="231F20"/>
          <w:sz w:val="24"/>
        </w:rPr>
        <w:t> assesses evidence from the labour market. Employment is growing strongly and unemployment continues to fall, according to the recent Labour Force Survey. Despite this tightening of the labour market, annual nominal earnings growth, adjusting for the</w:t>
      </w:r>
    </w:p>
    <w:p>
      <w:pPr>
        <w:spacing w:after="0" w:line="242" w:lineRule="auto"/>
        <w:jc w:val="left"/>
        <w:rPr>
          <w:sz w:val="24"/>
        </w:rPr>
        <w:sectPr>
          <w:pgSz w:w="11900" w:h="16840"/>
          <w:pgMar w:top="760" w:bottom="280" w:left="660" w:right="660"/>
        </w:sectPr>
      </w:pPr>
    </w:p>
    <w:p>
      <w:pPr>
        <w:tabs>
          <w:tab w:pos="10444" w:val="left" w:leader="none"/>
        </w:tabs>
        <w:spacing w:before="82"/>
        <w:ind w:left="105" w:right="0" w:firstLine="0"/>
        <w:jc w:val="left"/>
        <w:rPr>
          <w:sz w:val="16"/>
        </w:rPr>
      </w:pPr>
      <w:r>
        <w:rPr>
          <w:color w:val="231F20"/>
          <w:spacing w:val="-20"/>
          <w:sz w:val="16"/>
          <w:u w:val="single" w:color="231F20"/>
        </w:rPr>
        <w:t> </w:t>
      </w:r>
      <w:r>
        <w:rPr>
          <w:color w:val="231F20"/>
          <w:sz w:val="16"/>
          <w:u w:val="single" w:color="231F20"/>
        </w:rPr>
        <w:t>Inflation Report:  November 1997</w:t>
        <w:tab/>
      </w:r>
    </w:p>
    <w:p>
      <w:pPr>
        <w:pStyle w:val="BodyText"/>
        <w:rPr>
          <w:sz w:val="20"/>
        </w:rPr>
      </w:pPr>
    </w:p>
    <w:p>
      <w:pPr>
        <w:pStyle w:val="Heading5"/>
        <w:spacing w:line="242" w:lineRule="auto" w:before="227"/>
        <w:ind w:left="4945" w:right="164" w:hanging="1"/>
      </w:pPr>
      <w:r>
        <w:rPr>
          <w:color w:val="231F20"/>
        </w:rPr>
        <w:t>temporary effects of bonuses, remains at just under 4</w:t>
      </w:r>
      <w:r>
        <w:rPr>
          <w:color w:val="231F20"/>
          <w:position w:val="8"/>
          <w:sz w:val="12"/>
        </w:rPr>
        <w:t>1</w:t>
      </w:r>
      <w:r>
        <w:rPr>
          <w:color w:val="231F20"/>
        </w:rPr>
        <w:t>/</w:t>
      </w:r>
      <w:r>
        <w:rPr>
          <w:color w:val="231F20"/>
          <w:sz w:val="12"/>
        </w:rPr>
        <w:t>2</w:t>
      </w:r>
      <w:hyperlink w:history="true" w:anchor="_bookmark32">
        <w:r>
          <w:rPr>
            <w:color w:val="231F20"/>
          </w:rPr>
          <w:t>%. Section 5</w:t>
        </w:r>
      </w:hyperlink>
      <w:r>
        <w:rPr>
          <w:color w:val="231F20"/>
        </w:rPr>
        <w:t> considers manufacturing costs and prices, which are subdued but </w:t>
      </w:r>
      <w:r>
        <w:rPr>
          <w:color w:val="231F20"/>
          <w:spacing w:val="-3"/>
        </w:rPr>
        <w:t>have </w:t>
      </w:r>
      <w:r>
        <w:rPr>
          <w:color w:val="231F20"/>
        </w:rPr>
        <w:t>stopped falling. Import prices and retail prices </w:t>
      </w:r>
      <w:r>
        <w:rPr>
          <w:color w:val="231F20"/>
          <w:spacing w:val="-3"/>
        </w:rPr>
        <w:t>have </w:t>
      </w:r>
      <w:r>
        <w:rPr>
          <w:color w:val="231F20"/>
        </w:rPr>
        <w:t>not fallen as much </w:t>
      </w:r>
      <w:r>
        <w:rPr>
          <w:color w:val="231F20"/>
          <w:spacing w:val="-6"/>
        </w:rPr>
        <w:t>as </w:t>
      </w:r>
      <w:r>
        <w:rPr>
          <w:color w:val="231F20"/>
        </w:rPr>
        <w:t>expected, given sterling’s appreciation since last </w:t>
      </w:r>
      <w:r>
        <w:rPr>
          <w:color w:val="231F20"/>
          <w:spacing w:val="-3"/>
        </w:rPr>
        <w:t>year.</w:t>
      </w:r>
    </w:p>
    <w:p>
      <w:pPr>
        <w:pStyle w:val="BodyText"/>
        <w:spacing w:before="11"/>
        <w:rPr>
          <w:sz w:val="24"/>
        </w:rPr>
      </w:pPr>
    </w:p>
    <w:p>
      <w:pPr>
        <w:spacing w:line="242" w:lineRule="auto" w:before="0"/>
        <w:ind w:left="4945" w:right="182" w:hanging="1"/>
        <w:jc w:val="left"/>
        <w:rPr>
          <w:sz w:val="24"/>
        </w:rPr>
      </w:pPr>
      <w:hyperlink w:history="true" w:anchor="_bookmark39">
        <w:r>
          <w:rPr>
            <w:color w:val="231F20"/>
            <w:sz w:val="24"/>
          </w:rPr>
          <w:t>Section 6</w:t>
        </w:r>
      </w:hyperlink>
      <w:r>
        <w:rPr>
          <w:color w:val="231F20"/>
          <w:sz w:val="24"/>
        </w:rPr>
        <w:t> provides a summary of the economic news since the August </w:t>
      </w:r>
      <w:r>
        <w:rPr>
          <w:i/>
          <w:color w:val="231F20"/>
          <w:sz w:val="24"/>
        </w:rPr>
        <w:t>Report </w:t>
      </w:r>
      <w:r>
        <w:rPr>
          <w:color w:val="231F20"/>
          <w:sz w:val="24"/>
        </w:rPr>
        <w:t>and a short account of the decisions made by the MPC since August. The MPC concluded at the August meeting that policy had reached a position at which it should be possible to pause to assess the direction in which the risks to inflation were likely to materialise. At the September and October MPC meetings, the Committee maintained this view and left interest rates unchanged. At the November meeting, the MPC agreed to raise the Bank’s repo rate by</w:t>
      </w:r>
    </w:p>
    <w:p>
      <w:pPr>
        <w:spacing w:line="242" w:lineRule="auto" w:before="13"/>
        <w:ind w:left="4945" w:right="263" w:firstLine="0"/>
        <w:jc w:val="left"/>
        <w:rPr>
          <w:sz w:val="24"/>
        </w:rPr>
      </w:pPr>
      <w:r>
        <w:rPr>
          <w:color w:val="231F20"/>
          <w:sz w:val="24"/>
        </w:rPr>
        <w:t>0.25 percentage points to 7.25%. The minutes of the August, September and October meetings are published </w:t>
      </w:r>
      <w:hyperlink w:history="true" w:anchor="_bookmark45">
        <w:r>
          <w:rPr>
            <w:color w:val="231F20"/>
            <w:sz w:val="24"/>
          </w:rPr>
          <w:t>as an Annex</w:t>
        </w:r>
      </w:hyperlink>
      <w:r>
        <w:rPr>
          <w:color w:val="231F20"/>
          <w:sz w:val="24"/>
        </w:rPr>
        <w:t> to this </w:t>
      </w:r>
      <w:r>
        <w:rPr>
          <w:i/>
          <w:color w:val="231F20"/>
          <w:sz w:val="24"/>
        </w:rPr>
        <w:t>Report</w:t>
      </w:r>
      <w:r>
        <w:rPr>
          <w:color w:val="231F20"/>
          <w:sz w:val="24"/>
        </w:rPr>
        <w:t>. The analysis and conclusions in this </w:t>
      </w:r>
      <w:r>
        <w:rPr>
          <w:i/>
          <w:color w:val="231F20"/>
          <w:sz w:val="24"/>
        </w:rPr>
        <w:t>Report </w:t>
      </w:r>
      <w:r>
        <w:rPr>
          <w:color w:val="231F20"/>
          <w:sz w:val="24"/>
        </w:rPr>
        <w:t>reflect the outcome of the November MPC meeting.</w:t>
      </w:r>
    </w:p>
    <w:p>
      <w:pPr>
        <w:pStyle w:val="BodyText"/>
        <w:spacing w:before="11"/>
        <w:rPr>
          <w:sz w:val="24"/>
        </w:rPr>
      </w:pPr>
    </w:p>
    <w:p>
      <w:pPr>
        <w:spacing w:line="242" w:lineRule="auto" w:before="0"/>
        <w:ind w:left="4945" w:right="141" w:firstLine="0"/>
        <w:jc w:val="left"/>
        <w:rPr>
          <w:sz w:val="24"/>
        </w:rPr>
      </w:pPr>
      <w:hyperlink w:history="true" w:anchor="_bookmark40">
        <w:r>
          <w:rPr>
            <w:color w:val="231F20"/>
            <w:sz w:val="24"/>
          </w:rPr>
          <w:t>Section 7</w:t>
        </w:r>
      </w:hyperlink>
      <w:r>
        <w:rPr>
          <w:color w:val="231F20"/>
          <w:sz w:val="24"/>
        </w:rPr>
        <w:t> assesses the prospects for inflation during the next two years or so. Output has grown at an annual rate of about 4% for some time, driven by the strength of domestic demand, and most measures of the labour market suggest considerable tightening. Nevertheless, earnings growth has been broadly flat during 1997. The issue is whether, in the tighter labour market, there will be upward pressure on earnings during the course of </w:t>
      </w:r>
      <w:r>
        <w:rPr>
          <w:color w:val="231F20"/>
          <w:spacing w:val="-5"/>
          <w:sz w:val="24"/>
        </w:rPr>
        <w:t>next </w:t>
      </w:r>
      <w:r>
        <w:rPr>
          <w:color w:val="231F20"/>
          <w:spacing w:val="-3"/>
          <w:sz w:val="24"/>
        </w:rPr>
        <w:t>year. </w:t>
      </w:r>
      <w:r>
        <w:rPr>
          <w:color w:val="231F20"/>
          <w:sz w:val="24"/>
        </w:rPr>
        <w:t>There is survey evidence of growing skill shortages, and the </w:t>
      </w:r>
      <w:r>
        <w:rPr>
          <w:color w:val="231F20"/>
          <w:spacing w:val="-3"/>
          <w:sz w:val="24"/>
        </w:rPr>
        <w:t>Bank’s </w:t>
      </w:r>
      <w:r>
        <w:rPr>
          <w:color w:val="231F20"/>
          <w:sz w:val="24"/>
        </w:rPr>
        <w:t>regional Agencies report concern about the effect of this on the prospects for pay settlements in the coming pay round. As yet, </w:t>
      </w:r>
      <w:r>
        <w:rPr>
          <w:color w:val="231F20"/>
          <w:spacing w:val="-4"/>
          <w:sz w:val="24"/>
        </w:rPr>
        <w:t>however, </w:t>
      </w:r>
      <w:r>
        <w:rPr>
          <w:color w:val="231F20"/>
          <w:sz w:val="24"/>
        </w:rPr>
        <w:t>that concern has not shown up in either settlements or earnings figures. But if earnings growth were to rise, then unless some of the increase in costs was absorbed </w:t>
      </w:r>
      <w:r>
        <w:rPr>
          <w:color w:val="231F20"/>
          <w:spacing w:val="-7"/>
          <w:sz w:val="24"/>
        </w:rPr>
        <w:t>in </w:t>
      </w:r>
      <w:r>
        <w:rPr>
          <w:color w:val="231F20"/>
          <w:sz w:val="24"/>
        </w:rPr>
        <w:t>lower margins, that would pose a clear threat to the inflation</w:t>
      </w:r>
      <w:r>
        <w:rPr>
          <w:color w:val="231F20"/>
          <w:spacing w:val="-1"/>
          <w:sz w:val="24"/>
        </w:rPr>
        <w:t> </w:t>
      </w:r>
      <w:r>
        <w:rPr>
          <w:color w:val="231F20"/>
          <w:sz w:val="24"/>
        </w:rPr>
        <w:t>target.</w:t>
      </w:r>
    </w:p>
    <w:p>
      <w:pPr>
        <w:pStyle w:val="BodyText"/>
        <w:spacing w:before="9"/>
        <w:rPr>
          <w:sz w:val="29"/>
        </w:rPr>
      </w:pPr>
    </w:p>
    <w:p>
      <w:pPr>
        <w:spacing w:line="242" w:lineRule="auto" w:before="0"/>
        <w:ind w:left="4946" w:right="140" w:firstLine="0"/>
        <w:jc w:val="left"/>
        <w:rPr>
          <w:sz w:val="24"/>
        </w:rPr>
      </w:pPr>
      <w:r>
        <w:rPr>
          <w:color w:val="231F20"/>
          <w:sz w:val="24"/>
        </w:rPr>
        <w:t>Despite sterling’s appreciation of some 20% since August 1996, there has been little reduction in the volume of exports. But the higher exchange rate is likely to affect export volumes during the coming year.</w:t>
      </w:r>
    </w:p>
    <w:p>
      <w:pPr>
        <w:spacing w:line="242" w:lineRule="auto" w:before="6"/>
        <w:ind w:left="4946" w:right="460" w:firstLine="0"/>
        <w:jc w:val="left"/>
        <w:rPr>
          <w:sz w:val="24"/>
        </w:rPr>
      </w:pPr>
      <w:r>
        <w:rPr>
          <w:color w:val="231F20"/>
          <w:sz w:val="24"/>
        </w:rPr>
        <w:t>Weaker net exports, combined with the monetary and fiscal policy tightening earlier this year, and the tailing-off of the effect on consumption of windfall gains, mean that output growth is likely to slow to</w:t>
      </w:r>
    </w:p>
    <w:p>
      <w:pPr>
        <w:spacing w:line="242" w:lineRule="auto" w:before="5"/>
        <w:ind w:left="4946" w:right="156" w:firstLine="0"/>
        <w:jc w:val="left"/>
        <w:rPr>
          <w:sz w:val="24"/>
        </w:rPr>
      </w:pPr>
      <w:r>
        <w:rPr>
          <w:color w:val="231F20"/>
          <w:sz w:val="24"/>
        </w:rPr>
        <w:t>slightly below trend for a short period. There have been few signs to date of the effect of sterling’s appreciation on exports, which indicates how difficult it is to identify</w:t>
      </w:r>
    </w:p>
    <w:p>
      <w:pPr>
        <w:spacing w:after="0" w:line="242" w:lineRule="auto"/>
        <w:jc w:val="left"/>
        <w:rPr>
          <w:sz w:val="24"/>
        </w:rPr>
        <w:sectPr>
          <w:pgSz w:w="11900" w:h="16840"/>
          <w:pgMar w:top="500" w:bottom="280" w:left="660" w:right="660"/>
        </w:sectPr>
      </w:pPr>
    </w:p>
    <w:p>
      <w:pPr>
        <w:pStyle w:val="BodyText"/>
        <w:rPr>
          <w:sz w:val="20"/>
        </w:rPr>
      </w:pPr>
    </w:p>
    <w:p>
      <w:pPr>
        <w:spacing w:line="242" w:lineRule="auto" w:before="207"/>
        <w:ind w:left="4960" w:right="156" w:hanging="1"/>
        <w:jc w:val="left"/>
        <w:rPr>
          <w:sz w:val="24"/>
        </w:rPr>
      </w:pPr>
      <w:r>
        <w:rPr>
          <w:color w:val="231F20"/>
          <w:sz w:val="24"/>
        </w:rPr>
        <w:t>the timing and magnitude of any reduction in output growth.</w:t>
      </w:r>
    </w:p>
    <w:p>
      <w:pPr>
        <w:pStyle w:val="BodyText"/>
        <w:spacing w:before="6"/>
        <w:rPr>
          <w:sz w:val="24"/>
        </w:rPr>
      </w:pPr>
    </w:p>
    <w:p>
      <w:pPr>
        <w:spacing w:line="242" w:lineRule="auto" w:before="1"/>
        <w:ind w:left="4959" w:right="148" w:firstLine="0"/>
        <w:jc w:val="left"/>
        <w:rPr>
          <w:b/>
          <w:sz w:val="24"/>
        </w:rPr>
      </w:pPr>
      <w:r>
        <w:rPr>
          <w:b/>
          <w:color w:val="231F20"/>
          <w:sz w:val="24"/>
        </w:rPr>
        <w:t>Both inflation and output growth </w:t>
      </w:r>
      <w:r>
        <w:rPr>
          <w:b/>
          <w:color w:val="231F20"/>
          <w:spacing w:val="-3"/>
          <w:sz w:val="24"/>
        </w:rPr>
        <w:t>have </w:t>
      </w:r>
      <w:r>
        <w:rPr>
          <w:b/>
          <w:color w:val="231F20"/>
          <w:sz w:val="24"/>
        </w:rPr>
        <w:t>turned out to be about </w:t>
      </w:r>
      <w:r>
        <w:rPr>
          <w:b/>
          <w:color w:val="231F20"/>
          <w:position w:val="8"/>
          <w:sz w:val="12"/>
        </w:rPr>
        <w:t>1</w:t>
      </w:r>
      <w:r>
        <w:rPr>
          <w:b/>
          <w:color w:val="231F20"/>
          <w:sz w:val="24"/>
        </w:rPr>
        <w:t>/</w:t>
      </w:r>
      <w:r>
        <w:rPr>
          <w:b/>
          <w:color w:val="231F20"/>
          <w:sz w:val="12"/>
        </w:rPr>
        <w:t>2 </w:t>
      </w:r>
      <w:r>
        <w:rPr>
          <w:b/>
          <w:color w:val="231F20"/>
          <w:sz w:val="24"/>
        </w:rPr>
        <w:t>percentage point higher than the central projection in August. Profit margins on domestic sales </w:t>
      </w:r>
      <w:r>
        <w:rPr>
          <w:b/>
          <w:color w:val="231F20"/>
          <w:spacing w:val="-3"/>
          <w:sz w:val="24"/>
        </w:rPr>
        <w:t>have </w:t>
      </w:r>
      <w:r>
        <w:rPr>
          <w:b/>
          <w:color w:val="231F20"/>
          <w:sz w:val="24"/>
        </w:rPr>
        <w:t>risen to offset lower import prices, thus reducing the impact of the higher exchange rate on the domestic price level. The impact of the exchange rate on net trade has been surprisingly muted so </w:t>
      </w:r>
      <w:r>
        <w:rPr>
          <w:b/>
          <w:color w:val="231F20"/>
          <w:spacing w:val="-6"/>
          <w:sz w:val="24"/>
        </w:rPr>
        <w:t>far, </w:t>
      </w:r>
      <w:r>
        <w:rPr>
          <w:b/>
          <w:color w:val="231F20"/>
          <w:sz w:val="24"/>
        </w:rPr>
        <w:t>and the anticipated reduction in the rate of output growth has not materialised. Although the most likely interpretation is that the impact on net trade has been deferred and that output growth will slow during 1998, there is uncertainty about the extent to which the pressure of demand relative to supply can continue without leading to a rise in inflation.  But the continued rapid growth in broad </w:t>
      </w:r>
      <w:r>
        <w:rPr>
          <w:b/>
          <w:color w:val="231F20"/>
          <w:spacing w:val="-3"/>
          <w:sz w:val="24"/>
        </w:rPr>
        <w:t>money, </w:t>
      </w:r>
      <w:r>
        <w:rPr>
          <w:b/>
          <w:color w:val="231F20"/>
          <w:sz w:val="24"/>
        </w:rPr>
        <w:t>domestic demand and output, meant that the balance of risks to inflation remained on the upside.  For these reasons, the Committee decided in November </w:t>
      </w:r>
      <w:r>
        <w:rPr>
          <w:b/>
          <w:color w:val="231F20"/>
          <w:spacing w:val="-7"/>
          <w:sz w:val="24"/>
        </w:rPr>
        <w:t>to </w:t>
      </w:r>
      <w:r>
        <w:rPr>
          <w:b/>
          <w:color w:val="231F20"/>
          <w:sz w:val="24"/>
        </w:rPr>
        <w:t>raise interest rates by a further </w:t>
      </w:r>
      <w:r>
        <w:rPr>
          <w:b/>
          <w:color w:val="231F20"/>
          <w:position w:val="8"/>
          <w:sz w:val="12"/>
        </w:rPr>
        <w:t>1</w:t>
      </w:r>
      <w:r>
        <w:rPr>
          <w:b/>
          <w:color w:val="231F20"/>
          <w:sz w:val="24"/>
        </w:rPr>
        <w:t>/</w:t>
      </w:r>
      <w:r>
        <w:rPr>
          <w:b/>
          <w:color w:val="231F20"/>
          <w:sz w:val="12"/>
        </w:rPr>
        <w:t>4 </w:t>
      </w:r>
      <w:r>
        <w:rPr>
          <w:b/>
          <w:color w:val="231F20"/>
          <w:sz w:val="24"/>
        </w:rPr>
        <w:t>percentage point in order to meet the inflation</w:t>
      </w:r>
      <w:r>
        <w:rPr>
          <w:b/>
          <w:color w:val="231F20"/>
          <w:spacing w:val="-1"/>
          <w:sz w:val="24"/>
        </w:rPr>
        <w:t> </w:t>
      </w:r>
      <w:r>
        <w:rPr>
          <w:b/>
          <w:color w:val="231F20"/>
          <w:sz w:val="24"/>
        </w:rPr>
        <w:t>target.</w:t>
      </w:r>
    </w:p>
    <w:p>
      <w:pPr>
        <w:spacing w:after="0" w:line="242" w:lineRule="auto"/>
        <w:jc w:val="left"/>
        <w:rPr>
          <w:sz w:val="24"/>
        </w:rPr>
        <w:sectPr>
          <w:headerReference w:type="default" r:id="rId5"/>
          <w:pgSz w:w="11900" w:h="16840"/>
          <w:pgMar w:header="566" w:footer="0" w:top="760" w:bottom="280" w:left="660" w:right="660"/>
        </w:sectPr>
      </w:pPr>
    </w:p>
    <w:p>
      <w:pPr>
        <w:pStyle w:val="BodyText"/>
        <w:spacing w:line="20" w:lineRule="exact"/>
        <w:ind w:left="12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b/>
          <w:sz w:val="20"/>
        </w:rPr>
      </w:pPr>
    </w:p>
    <w:p>
      <w:pPr>
        <w:pStyle w:val="BodyText"/>
        <w:spacing w:before="9"/>
        <w:rPr>
          <w:b/>
        </w:rPr>
      </w:pPr>
      <w:r>
        <w:rPr/>
        <w:pict>
          <v:shape style="position:absolute;margin-left:39.119999pt;margin-top:12.000977pt;width:517pt;height:47.5pt;mso-position-horizontal-relative:page;mso-position-vertical-relative:paragraph;z-index:-15727104;mso-wrap-distance-left:0;mso-wrap-distance-right:0" type="#_x0000_t202" filled="true" fillcolor="#b5dad6" stroked="false">
            <v:textbox inset="0,0,0,0">
              <w:txbxContent>
                <w:p>
                  <w:pPr>
                    <w:tabs>
                      <w:tab w:pos="1764" w:val="left" w:leader="none"/>
                    </w:tabs>
                    <w:spacing w:before="51"/>
                    <w:ind w:left="260" w:right="0" w:firstLine="0"/>
                    <w:jc w:val="left"/>
                    <w:rPr>
                      <w:b/>
                      <w:sz w:val="48"/>
                    </w:rPr>
                  </w:pPr>
                  <w:bookmarkStart w:name="Money, interest rates and exchange rates" w:id="4"/>
                  <w:bookmarkEnd w:id="4"/>
                  <w:r>
                    <w:rPr/>
                  </w:r>
                  <w:bookmarkStart w:name="Money" w:id="5"/>
                  <w:bookmarkEnd w:id="5"/>
                  <w:r>
                    <w:rPr/>
                  </w:r>
                  <w:bookmarkStart w:name="_bookmark1" w:id="6"/>
                  <w:bookmarkEnd w:id="6"/>
                  <w:r>
                    <w:rPr/>
                  </w:r>
                  <w:bookmarkStart w:name="_bookmark2" w:id="7"/>
                  <w:bookmarkEnd w:id="7"/>
                  <w:r>
                    <w:rPr/>
                  </w:r>
                  <w:bookmarkStart w:name="_bookmark3" w:id="8"/>
                  <w:bookmarkEnd w:id="8"/>
                  <w:r>
                    <w:rPr/>
                  </w:r>
                  <w:bookmarkStart w:name="_bookmark4" w:id="9"/>
                  <w:bookmarkEnd w:id="9"/>
                  <w:r>
                    <w:rPr/>
                  </w:r>
                  <w:r>
                    <w:rPr>
                      <w:b/>
                      <w:color w:val="009483"/>
                      <w:sz w:val="72"/>
                    </w:rPr>
                    <w:t>2</w:t>
                    <w:tab/>
                  </w:r>
                  <w:r>
                    <w:rPr>
                      <w:b/>
                      <w:color w:val="009483"/>
                      <w:spacing w:val="-5"/>
                      <w:sz w:val="48"/>
                    </w:rPr>
                    <w:t>Money, </w:t>
                  </w:r>
                  <w:r>
                    <w:rPr>
                      <w:b/>
                      <w:color w:val="009483"/>
                      <w:sz w:val="48"/>
                    </w:rPr>
                    <w:t>interest rates and exchange rates</w:t>
                  </w:r>
                </w:p>
              </w:txbxContent>
            </v:textbox>
            <v:fill type="solid"/>
            <w10:wrap type="topAndBottom"/>
          </v:shape>
        </w:pict>
      </w:r>
    </w:p>
    <w:p>
      <w:pPr>
        <w:pStyle w:val="BodyText"/>
        <w:rPr>
          <w:b/>
          <w:sz w:val="20"/>
        </w:rPr>
      </w:pPr>
    </w:p>
    <w:p>
      <w:pPr>
        <w:pStyle w:val="BodyText"/>
        <w:rPr>
          <w:b/>
          <w:sz w:val="20"/>
        </w:rPr>
      </w:pPr>
    </w:p>
    <w:p>
      <w:pPr>
        <w:spacing w:after="0"/>
        <w:rPr>
          <w:sz w:val="20"/>
        </w:rPr>
        <w:sectPr>
          <w:headerReference w:type="even" r:id="rId6"/>
          <w:footerReference w:type="even" r:id="rId7"/>
          <w:footerReference w:type="default" r:id="rId8"/>
          <w:pgSz w:w="11880" w:h="16840"/>
          <w:pgMar w:header="0" w:footer="597" w:top="760" w:bottom="780" w:left="640" w:right="640"/>
          <w:pgNumType w:start="6"/>
        </w:sectPr>
      </w:pPr>
    </w:p>
    <w:p>
      <w:pPr>
        <w:pStyle w:val="BodyText"/>
        <w:spacing w:before="3"/>
        <w:rPr>
          <w:b/>
          <w:sz w:val="20"/>
        </w:rPr>
      </w:pPr>
    </w:p>
    <w:p>
      <w:pPr>
        <w:pStyle w:val="Heading9"/>
        <w:spacing w:before="0"/>
        <w:ind w:left="160"/>
      </w:pPr>
      <w:r>
        <w:rPr>
          <w:color w:val="0093C1"/>
        </w:rPr>
        <w:t>Chart 2.1</w:t>
      </w:r>
    </w:p>
    <w:p>
      <w:pPr>
        <w:spacing w:before="10"/>
        <w:ind w:left="160" w:right="0" w:firstLine="0"/>
        <w:jc w:val="left"/>
        <w:rPr>
          <w:b/>
          <w:sz w:val="20"/>
        </w:rPr>
      </w:pPr>
      <w:r>
        <w:rPr>
          <w:b/>
          <w:color w:val="0093C1"/>
          <w:sz w:val="20"/>
        </w:rPr>
        <w:t>Growth of M4 and M4 lending</w:t>
      </w:r>
    </w:p>
    <w:p>
      <w:pPr>
        <w:spacing w:before="71"/>
        <w:ind w:left="1809" w:right="0" w:firstLine="0"/>
        <w:jc w:val="left"/>
        <w:rPr>
          <w:sz w:val="12"/>
        </w:rPr>
      </w:pPr>
      <w:r>
        <w:rPr/>
        <w:pict>
          <v:line style="position:absolute;mso-position-horizontal-relative:page;mso-position-vertical-relative:paragraph;z-index:15734272" from="48.459999pt,12.901546pt" to="43.459999pt,12.901546pt" stroked="true" strokeweight=".5pt" strokecolor="#000000">
            <v:stroke dashstyle="solid"/>
            <w10:wrap type="none"/>
          </v:line>
        </w:pict>
      </w:r>
      <w:r>
        <w:rPr/>
        <w:pict>
          <v:line style="position:absolute;mso-position-horizontal-relative:page;mso-position-vertical-relative:paragraph;z-index:-21001728" from="208.460007pt,12.901546pt" to="203.460007pt,12.901546pt" stroked="true" strokeweight=".5pt" strokecolor="#000000">
            <v:stroke dashstyle="solid"/>
            <w10:wrap type="none"/>
          </v:line>
        </w:pict>
      </w:r>
      <w:r>
        <w:rPr>
          <w:sz w:val="12"/>
        </w:rPr>
        <w:t>Percentage changes on a year earlier</w:t>
      </w:r>
      <w:r>
        <w:rPr>
          <w:spacing w:val="-9"/>
          <w:sz w:val="12"/>
        </w:rPr>
        <w:t> </w:t>
      </w:r>
      <w:r>
        <w:rPr>
          <w:position w:val="-8"/>
          <w:sz w:val="12"/>
        </w:rPr>
        <w:t>14</w:t>
      </w:r>
    </w:p>
    <w:p>
      <w:pPr>
        <w:pStyle w:val="BodyText"/>
        <w:spacing w:before="10"/>
        <w:rPr>
          <w:sz w:val="25"/>
        </w:rPr>
      </w:pPr>
    </w:p>
    <w:p>
      <w:pPr>
        <w:spacing w:before="0"/>
        <w:ind w:left="0" w:right="38" w:firstLine="0"/>
        <w:jc w:val="right"/>
        <w:rPr>
          <w:sz w:val="12"/>
        </w:rPr>
      </w:pPr>
      <w:r>
        <w:rPr/>
        <w:pict>
          <v:group style="position:absolute;margin-left:43.459999pt;margin-top:3.851545pt;width:165pt;height:97.75pt;mso-position-horizontal-relative:page;mso-position-vertical-relative:paragraph;z-index:15732224" coordorigin="869,77" coordsize="3300,1955">
            <v:shape style="position:absolute;left:869;top:1382;width:100;height:420" coordorigin="869,1382" coordsize="100,420" path="m969,1802l869,1802m969,1382l869,1382e" filled="false" stroked="true" strokeweight=".5pt" strokecolor="#000000">
              <v:path arrowok="t"/>
              <v:stroke dashstyle="solid"/>
            </v:shape>
            <v:shape style="position:absolute;left:1009;top:382;width:2520;height:1640" coordorigin="1009,382" coordsize="2520,1640" path="m1009,1422l1089,1462,1149,1502,1189,1562,1229,1562,1269,1502,1309,1562,1369,1622,1409,1502,1449,1722,1489,1862,1549,1942,1589,1962,1629,1962,1669,1982,1709,1942,1769,2022,1889,1962,1929,1902,1989,1742,2029,1682,2069,1562,2149,1442,2209,1442,2249,1522,2289,1502,2329,1622,2369,1642,2429,1582,2469,1742,2509,1682,2609,1682,2649,1642,2689,1482m2689,1482l2729,1422,2769,1242,2829,1182,2869,902,2909,822,2949,862,3009,702,3049,662,3089,562,3129,422,3169,522,3229,562,3269,522,3309,542,3349,522,3389,682,3449,602,3489,502,3529,382e" filled="false" stroked="true" strokeweight="1pt" strokecolor="#ed1b2d">
              <v:path arrowok="t"/>
              <v:stroke dashstyle="solid"/>
            </v:shape>
            <v:shape style="position:absolute;left:4069;top:82;width:100;height:440" coordorigin="4069,82" coordsize="100,440" path="m4169,522l4069,522m4169,82l4069,82e" filled="false" stroked="true" strokeweight=".5pt" strokecolor="#000000">
              <v:path arrowok="t"/>
              <v:stroke dashstyle="solid"/>
            </v:shape>
            <v:shape style="position:absolute;left:3529;top:102;width:500;height:500" coordorigin="3529,102" coordsize="500,500" path="m3529,382l3569,322,3609,602,3669,522,3709,262,3749,282,3789,422,3849,222,3929,102,3969,162,4029,142e" filled="false" stroked="true" strokeweight="1pt" strokecolor="#ed1b2d">
              <v:path arrowok="t"/>
              <v:stroke dashstyle="solid"/>
            </v:shape>
            <v:shape style="position:absolute;left:1009;top:622;width:2520;height:1380" coordorigin="1009,622" coordsize="2520,1380" path="m1009,1362l1089,1562,1149,1522,1189,1562,1229,1502,1269,1502,1309,1562,1369,1642,1409,1522,1449,1722,1489,1782,1589,1782,1629,1802,1669,1902,1709,1902,1809,2002,1849,1982m1849,1982l1889,1942,1929,2002,1989,1982,2029,1922,2069,1982,2109,2002,2149,1942,2209,1982,2249,2002,2289,1922,2329,1902,2429,1802,2469,1842,2509,1642,2549,1582,2609,1442,2649,1382,2689,1202m2689,1202l2729,1062,2769,942,2829,1042,2869,862,2909,902,2949,862,3009,762,3049,882,3089,782,3129,742,3169,642,3229,762,3309,802,3349,662,3389,762,3449,642,3489,662,3529,622e" filled="false" stroked="true" strokeweight="1pt" strokecolor="#faab54">
              <v:path arrowok="t"/>
              <v:stroke dashstyle="solid"/>
            </v:shape>
            <v:line style="position:absolute" from="4169,942" to="4069,942" stroked="true" strokeweight=".5pt" strokecolor="#000000">
              <v:stroke dashstyle="solid"/>
            </v:line>
            <v:shape style="position:absolute;left:3529;top:522;width:500;height:340" coordorigin="3529,522" coordsize="500,340" path="m3529,622l3569,522,3609,862,3669,742,3709,682,3749,742,3789,762,3849,642,3889,642,3929,742,3969,822,4029,802e" filled="false" stroked="true" strokeweight="1pt" strokecolor="#faab54">
              <v:path arrowok="t"/>
              <v:stroke dashstyle="solid"/>
            </v:shape>
            <v:shape style="position:absolute;left:2019;top:1295;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pict>
          <v:line style="position:absolute;mso-position-horizontal-relative:page;mso-position-vertical-relative:paragraph;z-index:15733760" from="48.459999pt,4.101545pt" to="43.459999pt,4.101545pt" stroked="true" strokeweight=".5pt" strokecolor="#000000">
            <v:stroke dashstyle="solid"/>
            <w10:wrap type="none"/>
          </v:line>
        </w:pict>
      </w:r>
      <w:r>
        <w:rPr>
          <w:sz w:val="12"/>
        </w:rPr>
        <w:t>12</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33248" from="48.459999pt,5.101545pt" to="43.459999pt,5.101545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32736" from="48.459999pt,4.101545pt" to="43.459999pt,4.101545pt" stroked="true" strokeweight=".5pt" strokecolor="#000000">
            <v:stroke dashstyle="solid"/>
            <w10:wrap type="none"/>
          </v:line>
        </w:pict>
      </w:r>
      <w:r>
        <w:rPr>
          <w:sz w:val="12"/>
        </w:rPr>
        <w:t>8</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35808" from="208.460007pt,5.101545pt" to="203.460007pt,5.101545pt" stroked="true" strokeweight=".5pt" strokecolor="#000000">
            <v:stroke dashstyle="solid"/>
            <w10:wrap type="none"/>
          </v:line>
        </w:pict>
      </w:r>
      <w:r>
        <w:rPr>
          <w:sz w:val="12"/>
        </w:rPr>
        <w:t>6</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35296" from="208.460007pt,4.101545pt" to="203.460007pt,4.101545pt" stroked="true" strokeweight=".5pt" strokecolor="#000000">
            <v:stroke dashstyle="solid"/>
            <w10:wrap type="none"/>
          </v:line>
        </w:pict>
      </w:r>
      <w:r>
        <w:rPr>
          <w:sz w:val="12"/>
        </w:rPr>
        <w:t>4</w:t>
      </w:r>
    </w:p>
    <w:p>
      <w:pPr>
        <w:pStyle w:val="BodyText"/>
        <w:spacing w:before="11"/>
        <w:rPr>
          <w:sz w:val="14"/>
        </w:rPr>
      </w:pPr>
    </w:p>
    <w:p>
      <w:pPr>
        <w:spacing w:line="124" w:lineRule="exact" w:before="0"/>
        <w:ind w:left="1360" w:right="1782" w:firstLine="0"/>
        <w:jc w:val="center"/>
        <w:rPr>
          <w:sz w:val="12"/>
        </w:rPr>
      </w:pPr>
      <w:r>
        <w:rPr>
          <w:sz w:val="12"/>
        </w:rPr>
        <w:t>M4 lending</w:t>
      </w:r>
    </w:p>
    <w:p>
      <w:pPr>
        <w:spacing w:line="124" w:lineRule="exact" w:before="0"/>
        <w:ind w:left="3639" w:right="0" w:firstLine="0"/>
        <w:jc w:val="left"/>
        <w:rPr>
          <w:sz w:val="12"/>
        </w:rPr>
      </w:pPr>
      <w:r>
        <w:rPr/>
        <w:pict>
          <v:line style="position:absolute;mso-position-horizontal-relative:page;mso-position-vertical-relative:paragraph;z-index:15731200" from="48.459999pt,4.400862pt" to="43.459999pt,4.400862pt" stroked="true" strokeweight=".5pt" strokecolor="#000000">
            <v:stroke dashstyle="solid"/>
            <w10:wrap type="none"/>
          </v:line>
        </w:pict>
      </w:r>
      <w:r>
        <w:rPr/>
        <w:pict>
          <v:line style="position:absolute;mso-position-horizontal-relative:page;mso-position-vertical-relative:paragraph;z-index:15734784" from="208.460007pt,4.400862pt" to="203.460007pt,4.400862pt" stroked="true" strokeweight=".5pt" strokecolor="#000000">
            <v:stroke dashstyle="solid"/>
            <w10:wrap type="none"/>
          </v:line>
        </w:pict>
      </w:r>
      <w:r>
        <w:rPr>
          <w:sz w:val="12"/>
        </w:rPr>
        <w:t>2</w:t>
      </w:r>
    </w:p>
    <w:p>
      <w:pPr>
        <w:pStyle w:val="BodyText"/>
        <w:rPr>
          <w:sz w:val="12"/>
        </w:rPr>
      </w:pPr>
    </w:p>
    <w:p>
      <w:pPr>
        <w:pStyle w:val="BodyText"/>
        <w:spacing w:before="3"/>
        <w:rPr>
          <w:sz w:val="14"/>
        </w:rPr>
      </w:pPr>
    </w:p>
    <w:p>
      <w:pPr>
        <w:spacing w:line="119" w:lineRule="exact" w:before="0"/>
        <w:ind w:left="3639" w:right="0" w:firstLine="0"/>
        <w:jc w:val="left"/>
        <w:rPr>
          <w:sz w:val="12"/>
        </w:rPr>
      </w:pPr>
      <w:r>
        <w:rPr/>
        <w:pict>
          <v:shape style="position:absolute;margin-left:43.459999pt;margin-top:.101576pt;width:165pt;height:4pt;mso-position-horizontal-relative:page;mso-position-vertical-relative:paragraph;z-index:15730688" coordorigin="869,2" coordsize="3300,80" path="m969,82l869,82m4169,82l4069,82m1009,82l4009,82m1009,82l1009,42m1129,82l1129,42m1269,82l1269,42m1409,82l1409,42m1529,82l1529,42m1669,82l1669,42m1809,82l1809,42m1929,82l1929,42m2069,82l2069,42m2209,82l2209,42m2329,82l2329,42m2469,82l2469,42m2609,82l2609,42m2729,82l2729,42m2869,82l2869,42m2989,82l2989,42m3129,82l3129,42m3269,82l3269,42m3389,82l3389,42m3529,82l3529,42m3669,82l3669,42m3789,82l3789,42m3929,82l3929,42m1009,82l1009,2m1529,82l1529,2m2069,82l2069,2m2609,82l2609,2m3129,82l3129,2m3669,82l3669,2e" filled="false" stroked="true" strokeweight=".5pt" strokecolor="#000000">
            <v:path arrowok="t"/>
            <v:stroke dashstyle="solid"/>
            <w10:wrap type="none"/>
          </v:shape>
        </w:pict>
      </w:r>
      <w:r>
        <w:rPr>
          <w:sz w:val="12"/>
        </w:rPr>
        <w:t>0</w:t>
      </w:r>
    </w:p>
    <w:p>
      <w:pPr>
        <w:tabs>
          <w:tab w:pos="1099" w:val="left" w:leader="none"/>
          <w:tab w:pos="1619" w:val="left" w:leader="none"/>
          <w:tab w:pos="2159" w:val="left" w:leader="none"/>
          <w:tab w:pos="2678" w:val="left" w:leader="none"/>
          <w:tab w:pos="3158" w:val="left" w:leader="none"/>
        </w:tabs>
        <w:spacing w:line="119" w:lineRule="exact" w:before="0"/>
        <w:ind w:left="519" w:right="0" w:firstLine="0"/>
        <w:jc w:val="left"/>
        <w:rPr>
          <w:sz w:val="12"/>
        </w:rPr>
      </w:pPr>
      <w:r>
        <w:rPr>
          <w:sz w:val="12"/>
        </w:rPr>
        <w:t>1992</w:t>
        <w:tab/>
        <w:t>93</w:t>
        <w:tab/>
        <w:t>94</w:t>
        <w:tab/>
        <w:t>95</w:t>
        <w:tab/>
        <w:t>96</w:t>
        <w:tab/>
        <w:t>97</w:t>
      </w:r>
    </w:p>
    <w:p>
      <w:pPr>
        <w:spacing w:before="57"/>
        <w:ind w:left="170" w:right="0" w:firstLine="0"/>
        <w:jc w:val="left"/>
        <w:rPr>
          <w:sz w:val="12"/>
        </w:rPr>
      </w:pPr>
      <w:r>
        <w:rPr>
          <w:color w:val="231F20"/>
          <w:sz w:val="12"/>
        </w:rPr>
        <w:t>Source: Bank of England.</w:t>
      </w:r>
    </w:p>
    <w:p>
      <w:pPr>
        <w:pStyle w:val="Heading5"/>
        <w:spacing w:line="242" w:lineRule="auto" w:before="223"/>
        <w:ind w:left="161" w:right="189"/>
      </w:pPr>
      <w:r>
        <w:rPr/>
        <w:br w:type="column"/>
      </w:r>
      <w:r>
        <w:rPr>
          <w:color w:val="231F20"/>
        </w:rPr>
        <w:t>Broad money has continued to grow at double-digit rates. Real broad money grew by 9.1% in the year to 1997 Q3, its fastest rise since 1990. Narrow money growth has slowed in recent months, compared with the second half of last </w:t>
      </w:r>
      <w:r>
        <w:rPr>
          <w:color w:val="231F20"/>
          <w:spacing w:val="-3"/>
        </w:rPr>
        <w:t>year. </w:t>
      </w:r>
      <w:r>
        <w:rPr>
          <w:color w:val="231F20"/>
        </w:rPr>
        <w:t>Following the rise in the </w:t>
      </w:r>
      <w:r>
        <w:rPr>
          <w:color w:val="231F20"/>
          <w:spacing w:val="-6"/>
        </w:rPr>
        <w:t>Bank’s </w:t>
      </w:r>
      <w:r>
        <w:rPr>
          <w:color w:val="231F20"/>
        </w:rPr>
        <w:t>repo rate on 7 August, rates were unchanged in September and October and were then raised by</w:t>
      </w:r>
    </w:p>
    <w:p>
      <w:pPr>
        <w:spacing w:before="10"/>
        <w:ind w:left="161" w:right="0" w:firstLine="0"/>
        <w:jc w:val="left"/>
        <w:rPr>
          <w:sz w:val="24"/>
        </w:rPr>
      </w:pPr>
      <w:r>
        <w:rPr>
          <w:color w:val="231F20"/>
          <w:sz w:val="24"/>
        </w:rPr>
        <w:t>0.25 percentage points on 6 November to</w:t>
      </w:r>
      <w:r>
        <w:rPr>
          <w:color w:val="231F20"/>
          <w:spacing w:val="-8"/>
          <w:sz w:val="24"/>
        </w:rPr>
        <w:t> </w:t>
      </w:r>
      <w:r>
        <w:rPr>
          <w:color w:val="231F20"/>
          <w:sz w:val="24"/>
        </w:rPr>
        <w:t>7.25%.</w:t>
      </w:r>
    </w:p>
    <w:p>
      <w:pPr>
        <w:spacing w:line="242" w:lineRule="auto" w:before="4"/>
        <w:ind w:left="161" w:right="189" w:firstLine="0"/>
        <w:jc w:val="left"/>
        <w:rPr>
          <w:sz w:val="24"/>
        </w:rPr>
      </w:pPr>
      <w:r>
        <w:rPr>
          <w:color w:val="231F20"/>
          <w:sz w:val="24"/>
        </w:rPr>
        <w:t>Long-term interest rates </w:t>
      </w:r>
      <w:r>
        <w:rPr>
          <w:color w:val="231F20"/>
          <w:spacing w:val="-3"/>
          <w:sz w:val="24"/>
        </w:rPr>
        <w:t>have </w:t>
      </w:r>
      <w:r>
        <w:rPr>
          <w:color w:val="231F20"/>
          <w:sz w:val="24"/>
        </w:rPr>
        <w:t>fallen by around 50 basis points in the United Kingdom and by around 20 basis points overseas. The nominal effective exchange rate used in the inflation forecast—based on its average in the 15 working days to 5 November—was 102.0, </w:t>
      </w:r>
      <w:r>
        <w:rPr>
          <w:color w:val="231F20"/>
          <w:spacing w:val="-3"/>
          <w:sz w:val="24"/>
        </w:rPr>
        <w:t>around </w:t>
      </w:r>
      <w:r>
        <w:rPr>
          <w:color w:val="231F20"/>
          <w:sz w:val="24"/>
        </w:rPr>
        <w:t>3% lower than the exchange rate used in the inflation projection in the August </w:t>
      </w:r>
      <w:r>
        <w:rPr>
          <w:i/>
          <w:color w:val="231F20"/>
          <w:sz w:val="24"/>
        </w:rPr>
        <w:t>Report</w:t>
      </w:r>
      <w:r>
        <w:rPr>
          <w:color w:val="231F20"/>
          <w:sz w:val="24"/>
        </w:rPr>
        <w:t>.</w:t>
      </w:r>
    </w:p>
    <w:p>
      <w:pPr>
        <w:spacing w:after="0" w:line="242" w:lineRule="auto"/>
        <w:jc w:val="left"/>
        <w:rPr>
          <w:sz w:val="24"/>
        </w:rPr>
        <w:sectPr>
          <w:type w:val="continuous"/>
          <w:pgSz w:w="11880" w:h="16840"/>
          <w:pgMar w:top="1040" w:bottom="280" w:left="640" w:right="640"/>
          <w:cols w:num="2" w:equalWidth="0">
            <w:col w:w="3740" w:space="1058"/>
            <w:col w:w="5802"/>
          </w:cols>
        </w:sectPr>
      </w:pPr>
    </w:p>
    <w:p>
      <w:pPr>
        <w:pStyle w:val="BodyText"/>
        <w:spacing w:before="3"/>
        <w:rPr>
          <w:sz w:val="26"/>
        </w:rPr>
      </w:pPr>
    </w:p>
    <w:p>
      <w:pPr>
        <w:spacing w:after="0"/>
        <w:rPr>
          <w:sz w:val="26"/>
        </w:rPr>
        <w:sectPr>
          <w:type w:val="continuous"/>
          <w:pgSz w:w="11880" w:h="16840"/>
          <w:pgMar w:top="1040" w:bottom="280" w:left="640" w:right="640"/>
        </w:sectPr>
      </w:pPr>
    </w:p>
    <w:p>
      <w:pPr>
        <w:pStyle w:val="BodyText"/>
        <w:spacing w:before="1"/>
        <w:rPr>
          <w:sz w:val="26"/>
        </w:rPr>
      </w:pPr>
    </w:p>
    <w:p>
      <w:pPr>
        <w:pStyle w:val="Heading9"/>
        <w:spacing w:before="0"/>
        <w:ind w:left="162"/>
      </w:pPr>
      <w:r>
        <w:rPr>
          <w:color w:val="0093C1"/>
        </w:rPr>
        <w:t>Table 2.A</w:t>
      </w:r>
    </w:p>
    <w:p>
      <w:pPr>
        <w:spacing w:before="10"/>
        <w:ind w:left="162" w:right="0" w:firstLine="0"/>
        <w:jc w:val="left"/>
        <w:rPr>
          <w:sz w:val="12"/>
        </w:rPr>
      </w:pPr>
      <w:r>
        <w:rPr>
          <w:b/>
          <w:color w:val="0093C1"/>
          <w:sz w:val="20"/>
        </w:rPr>
        <w:t>Growth rates of M4 and M4 lending</w:t>
      </w:r>
      <w:r>
        <w:rPr>
          <w:color w:val="231F20"/>
          <w:position w:val="4"/>
          <w:sz w:val="12"/>
        </w:rPr>
        <w:t>(a)</w:t>
      </w:r>
    </w:p>
    <w:p>
      <w:pPr>
        <w:spacing w:before="106"/>
        <w:ind w:left="162" w:right="0" w:firstLine="0"/>
        <w:jc w:val="left"/>
        <w:rPr>
          <w:sz w:val="14"/>
        </w:rPr>
      </w:pPr>
      <w:r>
        <w:rPr>
          <w:color w:val="231F20"/>
          <w:sz w:val="14"/>
        </w:rPr>
        <w:t>Per cent</w:t>
      </w:r>
    </w:p>
    <w:p>
      <w:pPr>
        <w:spacing w:before="119"/>
        <w:ind w:left="1482" w:right="0" w:firstLine="0"/>
        <w:jc w:val="left"/>
        <w:rPr>
          <w:sz w:val="14"/>
        </w:rPr>
      </w:pPr>
      <w:r>
        <w:rPr>
          <w:color w:val="231F20"/>
          <w:sz w:val="14"/>
        </w:rPr>
        <w:t>1 month 3 months </w:t>
      </w:r>
      <w:r>
        <w:rPr>
          <w:color w:val="231F20"/>
          <w:sz w:val="12"/>
        </w:rPr>
        <w:t>(b) </w:t>
      </w:r>
      <w:r>
        <w:rPr>
          <w:color w:val="231F20"/>
          <w:sz w:val="14"/>
        </w:rPr>
        <w:t>6 months </w:t>
      </w:r>
      <w:r>
        <w:rPr>
          <w:color w:val="231F20"/>
          <w:sz w:val="12"/>
        </w:rPr>
        <w:t>(b) </w:t>
      </w:r>
      <w:r>
        <w:rPr>
          <w:color w:val="231F20"/>
          <w:sz w:val="14"/>
        </w:rPr>
        <w:t>12 months</w:t>
      </w:r>
    </w:p>
    <w:p>
      <w:pPr>
        <w:pStyle w:val="BodyText"/>
        <w:spacing w:before="7"/>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604"/>
        <w:gridCol w:w="451"/>
        <w:gridCol w:w="211"/>
        <w:gridCol w:w="671"/>
        <w:gridCol w:w="111"/>
        <w:gridCol w:w="661"/>
        <w:gridCol w:w="191"/>
        <w:gridCol w:w="571"/>
      </w:tblGrid>
      <w:tr>
        <w:trPr>
          <w:trHeight w:val="239" w:hRule="atLeast"/>
        </w:trPr>
        <w:tc>
          <w:tcPr>
            <w:tcW w:w="765" w:type="dxa"/>
          </w:tcPr>
          <w:p>
            <w:pPr>
              <w:pStyle w:val="TableParagraph"/>
              <w:spacing w:line="133" w:lineRule="exact" w:before="86"/>
              <w:ind w:left="50"/>
              <w:rPr>
                <w:sz w:val="14"/>
              </w:rPr>
            </w:pPr>
            <w:r>
              <w:rPr>
                <w:color w:val="231F20"/>
                <w:sz w:val="14"/>
              </w:rPr>
              <w:t>M4</w:t>
            </w:r>
          </w:p>
        </w:tc>
        <w:tc>
          <w:tcPr>
            <w:tcW w:w="604" w:type="dxa"/>
          </w:tcPr>
          <w:p>
            <w:pPr>
              <w:pStyle w:val="TableParagraph"/>
              <w:spacing w:line="133" w:lineRule="exact" w:before="86"/>
              <w:ind w:left="65"/>
              <w:rPr>
                <w:sz w:val="14"/>
              </w:rPr>
            </w:pPr>
            <w:r>
              <w:rPr>
                <w:color w:val="231F20"/>
                <w:sz w:val="14"/>
              </w:rPr>
              <w:t>June</w:t>
            </w:r>
          </w:p>
        </w:tc>
        <w:tc>
          <w:tcPr>
            <w:tcW w:w="451" w:type="dxa"/>
            <w:tcBorders>
              <w:top w:val="single" w:sz="2" w:space="0" w:color="231F20"/>
            </w:tcBorders>
          </w:tcPr>
          <w:p>
            <w:pPr>
              <w:pStyle w:val="TableParagraph"/>
              <w:spacing w:line="133" w:lineRule="exact" w:before="86"/>
              <w:ind w:right="87"/>
              <w:jc w:val="right"/>
              <w:rPr>
                <w:sz w:val="14"/>
              </w:rPr>
            </w:pPr>
            <w:r>
              <w:rPr>
                <w:color w:val="231F20"/>
                <w:sz w:val="14"/>
              </w:rPr>
              <w:t>0.9</w:t>
            </w:r>
          </w:p>
        </w:tc>
        <w:tc>
          <w:tcPr>
            <w:tcW w:w="211" w:type="dxa"/>
          </w:tcPr>
          <w:p>
            <w:pPr>
              <w:pStyle w:val="TableParagraph"/>
              <w:rPr>
                <w:sz w:val="16"/>
              </w:rPr>
            </w:pPr>
          </w:p>
        </w:tc>
        <w:tc>
          <w:tcPr>
            <w:tcW w:w="671" w:type="dxa"/>
            <w:tcBorders>
              <w:top w:val="single" w:sz="2" w:space="0" w:color="231F20"/>
            </w:tcBorders>
          </w:tcPr>
          <w:p>
            <w:pPr>
              <w:pStyle w:val="TableParagraph"/>
              <w:spacing w:line="133" w:lineRule="exact" w:before="86"/>
              <w:ind w:right="259"/>
              <w:jc w:val="right"/>
              <w:rPr>
                <w:sz w:val="14"/>
              </w:rPr>
            </w:pPr>
            <w:r>
              <w:rPr>
                <w:color w:val="231F20"/>
                <w:sz w:val="14"/>
              </w:rPr>
              <w:t>11.0</w:t>
            </w:r>
          </w:p>
        </w:tc>
        <w:tc>
          <w:tcPr>
            <w:tcW w:w="111" w:type="dxa"/>
          </w:tcPr>
          <w:p>
            <w:pPr>
              <w:pStyle w:val="TableParagraph"/>
              <w:rPr>
                <w:sz w:val="16"/>
              </w:rPr>
            </w:pPr>
          </w:p>
        </w:tc>
        <w:tc>
          <w:tcPr>
            <w:tcW w:w="661" w:type="dxa"/>
            <w:tcBorders>
              <w:top w:val="single" w:sz="2" w:space="0" w:color="231F20"/>
            </w:tcBorders>
          </w:tcPr>
          <w:p>
            <w:pPr>
              <w:pStyle w:val="TableParagraph"/>
              <w:spacing w:line="133" w:lineRule="exact" w:before="86"/>
              <w:ind w:right="121"/>
              <w:jc w:val="right"/>
              <w:rPr>
                <w:sz w:val="14"/>
              </w:rPr>
            </w:pPr>
            <w:r>
              <w:rPr>
                <w:color w:val="231F20"/>
                <w:sz w:val="14"/>
              </w:rPr>
              <w:t>14.0</w:t>
            </w:r>
          </w:p>
        </w:tc>
        <w:tc>
          <w:tcPr>
            <w:tcW w:w="191" w:type="dxa"/>
          </w:tcPr>
          <w:p>
            <w:pPr>
              <w:pStyle w:val="TableParagraph"/>
              <w:rPr>
                <w:sz w:val="16"/>
              </w:rPr>
            </w:pPr>
          </w:p>
        </w:tc>
        <w:tc>
          <w:tcPr>
            <w:tcW w:w="571" w:type="dxa"/>
            <w:tcBorders>
              <w:top w:val="single" w:sz="2" w:space="0" w:color="231F20"/>
            </w:tcBorders>
          </w:tcPr>
          <w:p>
            <w:pPr>
              <w:pStyle w:val="TableParagraph"/>
              <w:spacing w:line="133" w:lineRule="exact" w:before="86"/>
              <w:ind w:right="103"/>
              <w:jc w:val="right"/>
              <w:rPr>
                <w:sz w:val="14"/>
              </w:rPr>
            </w:pPr>
            <w:r>
              <w:rPr>
                <w:color w:val="231F20"/>
                <w:sz w:val="14"/>
              </w:rPr>
              <w:t>11.6</w:t>
            </w:r>
          </w:p>
        </w:tc>
      </w:tr>
      <w:tr>
        <w:trPr>
          <w:trHeight w:val="140" w:hRule="atLeast"/>
        </w:trPr>
        <w:tc>
          <w:tcPr>
            <w:tcW w:w="765" w:type="dxa"/>
          </w:tcPr>
          <w:p>
            <w:pPr>
              <w:pStyle w:val="TableParagraph"/>
              <w:rPr>
                <w:sz w:val="8"/>
              </w:rPr>
            </w:pPr>
          </w:p>
        </w:tc>
        <w:tc>
          <w:tcPr>
            <w:tcW w:w="604" w:type="dxa"/>
          </w:tcPr>
          <w:p>
            <w:pPr>
              <w:pStyle w:val="TableParagraph"/>
              <w:spacing w:line="120" w:lineRule="exact"/>
              <w:ind w:left="64"/>
              <w:rPr>
                <w:sz w:val="14"/>
              </w:rPr>
            </w:pPr>
            <w:r>
              <w:rPr>
                <w:color w:val="231F20"/>
                <w:sz w:val="14"/>
              </w:rPr>
              <w:t>July</w:t>
            </w:r>
          </w:p>
        </w:tc>
        <w:tc>
          <w:tcPr>
            <w:tcW w:w="451" w:type="dxa"/>
          </w:tcPr>
          <w:p>
            <w:pPr>
              <w:pStyle w:val="TableParagraph"/>
              <w:spacing w:line="120" w:lineRule="exact"/>
              <w:ind w:right="88"/>
              <w:jc w:val="right"/>
              <w:rPr>
                <w:sz w:val="14"/>
              </w:rPr>
            </w:pPr>
            <w:r>
              <w:rPr>
                <w:color w:val="231F20"/>
                <w:sz w:val="14"/>
              </w:rPr>
              <w:t>0.9</w:t>
            </w:r>
          </w:p>
        </w:tc>
        <w:tc>
          <w:tcPr>
            <w:tcW w:w="211" w:type="dxa"/>
          </w:tcPr>
          <w:p>
            <w:pPr>
              <w:pStyle w:val="TableParagraph"/>
              <w:rPr>
                <w:sz w:val="8"/>
              </w:rPr>
            </w:pPr>
          </w:p>
        </w:tc>
        <w:tc>
          <w:tcPr>
            <w:tcW w:w="671" w:type="dxa"/>
          </w:tcPr>
          <w:p>
            <w:pPr>
              <w:pStyle w:val="TableParagraph"/>
              <w:spacing w:line="120" w:lineRule="exact"/>
              <w:ind w:right="260"/>
              <w:jc w:val="right"/>
              <w:rPr>
                <w:sz w:val="14"/>
              </w:rPr>
            </w:pPr>
            <w:r>
              <w:rPr>
                <w:color w:val="231F20"/>
                <w:sz w:val="14"/>
              </w:rPr>
              <w:t>13.2</w:t>
            </w:r>
          </w:p>
        </w:tc>
        <w:tc>
          <w:tcPr>
            <w:tcW w:w="111" w:type="dxa"/>
          </w:tcPr>
          <w:p>
            <w:pPr>
              <w:pStyle w:val="TableParagraph"/>
              <w:rPr>
                <w:sz w:val="8"/>
              </w:rPr>
            </w:pPr>
          </w:p>
        </w:tc>
        <w:tc>
          <w:tcPr>
            <w:tcW w:w="661" w:type="dxa"/>
          </w:tcPr>
          <w:p>
            <w:pPr>
              <w:pStyle w:val="TableParagraph"/>
              <w:spacing w:line="120" w:lineRule="exact"/>
              <w:ind w:right="122"/>
              <w:jc w:val="right"/>
              <w:rPr>
                <w:sz w:val="14"/>
              </w:rPr>
            </w:pPr>
            <w:r>
              <w:rPr>
                <w:color w:val="231F20"/>
                <w:sz w:val="14"/>
              </w:rPr>
              <w:t>12.3</w:t>
            </w:r>
          </w:p>
        </w:tc>
        <w:tc>
          <w:tcPr>
            <w:tcW w:w="191" w:type="dxa"/>
          </w:tcPr>
          <w:p>
            <w:pPr>
              <w:pStyle w:val="TableParagraph"/>
              <w:rPr>
                <w:sz w:val="8"/>
              </w:rPr>
            </w:pPr>
          </w:p>
        </w:tc>
        <w:tc>
          <w:tcPr>
            <w:tcW w:w="571" w:type="dxa"/>
          </w:tcPr>
          <w:p>
            <w:pPr>
              <w:pStyle w:val="TableParagraph"/>
              <w:spacing w:line="120" w:lineRule="exact"/>
              <w:ind w:right="104"/>
              <w:jc w:val="right"/>
              <w:rPr>
                <w:sz w:val="14"/>
              </w:rPr>
            </w:pPr>
            <w:r>
              <w:rPr>
                <w:color w:val="231F20"/>
                <w:sz w:val="14"/>
              </w:rPr>
              <w:t>11.9</w:t>
            </w:r>
          </w:p>
        </w:tc>
      </w:tr>
      <w:tr>
        <w:trPr>
          <w:trHeight w:val="140" w:hRule="atLeast"/>
        </w:trPr>
        <w:tc>
          <w:tcPr>
            <w:tcW w:w="765" w:type="dxa"/>
          </w:tcPr>
          <w:p>
            <w:pPr>
              <w:pStyle w:val="TableParagraph"/>
              <w:rPr>
                <w:sz w:val="8"/>
              </w:rPr>
            </w:pPr>
          </w:p>
        </w:tc>
        <w:tc>
          <w:tcPr>
            <w:tcW w:w="604" w:type="dxa"/>
          </w:tcPr>
          <w:p>
            <w:pPr>
              <w:pStyle w:val="TableParagraph"/>
              <w:spacing w:line="120" w:lineRule="exact"/>
              <w:ind w:left="64"/>
              <w:rPr>
                <w:sz w:val="14"/>
              </w:rPr>
            </w:pPr>
            <w:r>
              <w:rPr>
                <w:color w:val="231F20"/>
                <w:sz w:val="14"/>
              </w:rPr>
              <w:t>Aug.</w:t>
            </w:r>
          </w:p>
        </w:tc>
        <w:tc>
          <w:tcPr>
            <w:tcW w:w="451" w:type="dxa"/>
          </w:tcPr>
          <w:p>
            <w:pPr>
              <w:pStyle w:val="TableParagraph"/>
              <w:spacing w:line="120" w:lineRule="exact"/>
              <w:ind w:right="87"/>
              <w:jc w:val="right"/>
              <w:rPr>
                <w:sz w:val="14"/>
              </w:rPr>
            </w:pPr>
            <w:r>
              <w:rPr>
                <w:color w:val="231F20"/>
                <w:sz w:val="14"/>
              </w:rPr>
              <w:t>0.8</w:t>
            </w:r>
          </w:p>
        </w:tc>
        <w:tc>
          <w:tcPr>
            <w:tcW w:w="211" w:type="dxa"/>
          </w:tcPr>
          <w:p>
            <w:pPr>
              <w:pStyle w:val="TableParagraph"/>
              <w:rPr>
                <w:sz w:val="8"/>
              </w:rPr>
            </w:pPr>
          </w:p>
        </w:tc>
        <w:tc>
          <w:tcPr>
            <w:tcW w:w="671" w:type="dxa"/>
          </w:tcPr>
          <w:p>
            <w:pPr>
              <w:pStyle w:val="TableParagraph"/>
              <w:spacing w:line="120" w:lineRule="exact"/>
              <w:ind w:right="260"/>
              <w:jc w:val="right"/>
              <w:rPr>
                <w:sz w:val="14"/>
              </w:rPr>
            </w:pPr>
            <w:r>
              <w:rPr>
                <w:color w:val="231F20"/>
                <w:sz w:val="14"/>
              </w:rPr>
              <w:t>10.7</w:t>
            </w:r>
          </w:p>
        </w:tc>
        <w:tc>
          <w:tcPr>
            <w:tcW w:w="111" w:type="dxa"/>
          </w:tcPr>
          <w:p>
            <w:pPr>
              <w:pStyle w:val="TableParagraph"/>
              <w:rPr>
                <w:sz w:val="8"/>
              </w:rPr>
            </w:pPr>
          </w:p>
        </w:tc>
        <w:tc>
          <w:tcPr>
            <w:tcW w:w="661" w:type="dxa"/>
          </w:tcPr>
          <w:p>
            <w:pPr>
              <w:pStyle w:val="TableParagraph"/>
              <w:spacing w:line="120" w:lineRule="exact"/>
              <w:ind w:right="122"/>
              <w:jc w:val="right"/>
              <w:rPr>
                <w:sz w:val="14"/>
              </w:rPr>
            </w:pPr>
            <w:r>
              <w:rPr>
                <w:color w:val="231F20"/>
                <w:sz w:val="14"/>
              </w:rPr>
              <w:t>11.1</w:t>
            </w:r>
          </w:p>
        </w:tc>
        <w:tc>
          <w:tcPr>
            <w:tcW w:w="191" w:type="dxa"/>
          </w:tcPr>
          <w:p>
            <w:pPr>
              <w:pStyle w:val="TableParagraph"/>
              <w:rPr>
                <w:sz w:val="8"/>
              </w:rPr>
            </w:pPr>
          </w:p>
        </w:tc>
        <w:tc>
          <w:tcPr>
            <w:tcW w:w="571" w:type="dxa"/>
          </w:tcPr>
          <w:p>
            <w:pPr>
              <w:pStyle w:val="TableParagraph"/>
              <w:spacing w:line="120" w:lineRule="exact"/>
              <w:ind w:right="104"/>
              <w:jc w:val="right"/>
              <w:rPr>
                <w:sz w:val="14"/>
              </w:rPr>
            </w:pPr>
            <w:r>
              <w:rPr>
                <w:color w:val="231F20"/>
                <w:sz w:val="14"/>
              </w:rPr>
              <w:t>11.6</w:t>
            </w:r>
          </w:p>
        </w:tc>
      </w:tr>
      <w:tr>
        <w:trPr>
          <w:trHeight w:val="210" w:hRule="atLeast"/>
        </w:trPr>
        <w:tc>
          <w:tcPr>
            <w:tcW w:w="765" w:type="dxa"/>
          </w:tcPr>
          <w:p>
            <w:pPr>
              <w:pStyle w:val="TableParagraph"/>
              <w:rPr>
                <w:sz w:val="14"/>
              </w:rPr>
            </w:pPr>
          </w:p>
        </w:tc>
        <w:tc>
          <w:tcPr>
            <w:tcW w:w="604" w:type="dxa"/>
          </w:tcPr>
          <w:p>
            <w:pPr>
              <w:pStyle w:val="TableParagraph"/>
              <w:spacing w:line="148" w:lineRule="exact"/>
              <w:ind w:left="64"/>
              <w:rPr>
                <w:sz w:val="14"/>
              </w:rPr>
            </w:pPr>
            <w:r>
              <w:rPr>
                <w:color w:val="231F20"/>
                <w:sz w:val="14"/>
              </w:rPr>
              <w:t>Sept.</w:t>
            </w:r>
          </w:p>
        </w:tc>
        <w:tc>
          <w:tcPr>
            <w:tcW w:w="451" w:type="dxa"/>
          </w:tcPr>
          <w:p>
            <w:pPr>
              <w:pStyle w:val="TableParagraph"/>
              <w:spacing w:line="148" w:lineRule="exact"/>
              <w:ind w:right="88"/>
              <w:jc w:val="right"/>
              <w:rPr>
                <w:sz w:val="14"/>
              </w:rPr>
            </w:pPr>
            <w:r>
              <w:rPr>
                <w:color w:val="231F20"/>
                <w:sz w:val="14"/>
              </w:rPr>
              <w:t>1.0</w:t>
            </w:r>
          </w:p>
        </w:tc>
        <w:tc>
          <w:tcPr>
            <w:tcW w:w="211" w:type="dxa"/>
          </w:tcPr>
          <w:p>
            <w:pPr>
              <w:pStyle w:val="TableParagraph"/>
              <w:rPr>
                <w:sz w:val="14"/>
              </w:rPr>
            </w:pPr>
          </w:p>
        </w:tc>
        <w:tc>
          <w:tcPr>
            <w:tcW w:w="671" w:type="dxa"/>
          </w:tcPr>
          <w:p>
            <w:pPr>
              <w:pStyle w:val="TableParagraph"/>
              <w:spacing w:line="148" w:lineRule="exact"/>
              <w:ind w:right="260"/>
              <w:jc w:val="right"/>
              <w:rPr>
                <w:sz w:val="14"/>
              </w:rPr>
            </w:pPr>
            <w:r>
              <w:rPr>
                <w:color w:val="231F20"/>
                <w:sz w:val="14"/>
              </w:rPr>
              <w:t>11.3</w:t>
            </w:r>
          </w:p>
        </w:tc>
        <w:tc>
          <w:tcPr>
            <w:tcW w:w="111" w:type="dxa"/>
          </w:tcPr>
          <w:p>
            <w:pPr>
              <w:pStyle w:val="TableParagraph"/>
              <w:rPr>
                <w:sz w:val="14"/>
              </w:rPr>
            </w:pPr>
          </w:p>
        </w:tc>
        <w:tc>
          <w:tcPr>
            <w:tcW w:w="661" w:type="dxa"/>
          </w:tcPr>
          <w:p>
            <w:pPr>
              <w:pStyle w:val="TableParagraph"/>
              <w:spacing w:line="148" w:lineRule="exact"/>
              <w:ind w:right="122"/>
              <w:jc w:val="right"/>
              <w:rPr>
                <w:sz w:val="14"/>
              </w:rPr>
            </w:pPr>
            <w:r>
              <w:rPr>
                <w:color w:val="231F20"/>
                <w:sz w:val="14"/>
              </w:rPr>
              <w:t>11.1</w:t>
            </w:r>
          </w:p>
        </w:tc>
        <w:tc>
          <w:tcPr>
            <w:tcW w:w="191" w:type="dxa"/>
          </w:tcPr>
          <w:p>
            <w:pPr>
              <w:pStyle w:val="TableParagraph"/>
              <w:rPr>
                <w:sz w:val="14"/>
              </w:rPr>
            </w:pPr>
          </w:p>
        </w:tc>
        <w:tc>
          <w:tcPr>
            <w:tcW w:w="571" w:type="dxa"/>
          </w:tcPr>
          <w:p>
            <w:pPr>
              <w:pStyle w:val="TableParagraph"/>
              <w:spacing w:line="148" w:lineRule="exact"/>
              <w:ind w:right="104"/>
              <w:jc w:val="right"/>
              <w:rPr>
                <w:sz w:val="14"/>
              </w:rPr>
            </w:pPr>
            <w:r>
              <w:rPr>
                <w:color w:val="231F20"/>
                <w:sz w:val="14"/>
              </w:rPr>
              <w:t>11.8</w:t>
            </w:r>
          </w:p>
        </w:tc>
      </w:tr>
      <w:tr>
        <w:trPr>
          <w:trHeight w:val="210" w:hRule="atLeast"/>
        </w:trPr>
        <w:tc>
          <w:tcPr>
            <w:tcW w:w="765" w:type="dxa"/>
          </w:tcPr>
          <w:p>
            <w:pPr>
              <w:pStyle w:val="TableParagraph"/>
              <w:spacing w:line="133" w:lineRule="exact" w:before="56"/>
              <w:ind w:left="50"/>
              <w:rPr>
                <w:sz w:val="14"/>
              </w:rPr>
            </w:pPr>
            <w:r>
              <w:rPr>
                <w:color w:val="231F20"/>
                <w:sz w:val="14"/>
              </w:rPr>
              <w:t>M4 lending</w:t>
            </w:r>
          </w:p>
        </w:tc>
        <w:tc>
          <w:tcPr>
            <w:tcW w:w="604" w:type="dxa"/>
          </w:tcPr>
          <w:p>
            <w:pPr>
              <w:pStyle w:val="TableParagraph"/>
              <w:spacing w:line="133" w:lineRule="exact" w:before="56"/>
              <w:ind w:left="65"/>
              <w:rPr>
                <w:sz w:val="14"/>
              </w:rPr>
            </w:pPr>
            <w:r>
              <w:rPr>
                <w:color w:val="231F20"/>
                <w:sz w:val="14"/>
              </w:rPr>
              <w:t>June</w:t>
            </w:r>
          </w:p>
        </w:tc>
        <w:tc>
          <w:tcPr>
            <w:tcW w:w="451" w:type="dxa"/>
          </w:tcPr>
          <w:p>
            <w:pPr>
              <w:pStyle w:val="TableParagraph"/>
              <w:spacing w:line="133" w:lineRule="exact" w:before="56"/>
              <w:ind w:right="87"/>
              <w:jc w:val="right"/>
              <w:rPr>
                <w:sz w:val="14"/>
              </w:rPr>
            </w:pPr>
            <w:r>
              <w:rPr>
                <w:color w:val="231F20"/>
                <w:sz w:val="14"/>
              </w:rPr>
              <w:t>0.7</w:t>
            </w:r>
          </w:p>
        </w:tc>
        <w:tc>
          <w:tcPr>
            <w:tcW w:w="211" w:type="dxa"/>
          </w:tcPr>
          <w:p>
            <w:pPr>
              <w:pStyle w:val="TableParagraph"/>
              <w:rPr>
                <w:sz w:val="14"/>
              </w:rPr>
            </w:pPr>
          </w:p>
        </w:tc>
        <w:tc>
          <w:tcPr>
            <w:tcW w:w="671" w:type="dxa"/>
          </w:tcPr>
          <w:p>
            <w:pPr>
              <w:pStyle w:val="TableParagraph"/>
              <w:spacing w:line="133" w:lineRule="exact" w:before="56"/>
              <w:ind w:right="259"/>
              <w:jc w:val="right"/>
              <w:rPr>
                <w:sz w:val="14"/>
              </w:rPr>
            </w:pPr>
            <w:r>
              <w:rPr>
                <w:color w:val="231F20"/>
                <w:sz w:val="14"/>
              </w:rPr>
              <w:t>9.6</w:t>
            </w:r>
          </w:p>
        </w:tc>
        <w:tc>
          <w:tcPr>
            <w:tcW w:w="111" w:type="dxa"/>
          </w:tcPr>
          <w:p>
            <w:pPr>
              <w:pStyle w:val="TableParagraph"/>
              <w:rPr>
                <w:sz w:val="14"/>
              </w:rPr>
            </w:pPr>
          </w:p>
        </w:tc>
        <w:tc>
          <w:tcPr>
            <w:tcW w:w="661" w:type="dxa"/>
          </w:tcPr>
          <w:p>
            <w:pPr>
              <w:pStyle w:val="TableParagraph"/>
              <w:spacing w:line="133" w:lineRule="exact" w:before="56"/>
              <w:ind w:right="121"/>
              <w:jc w:val="right"/>
              <w:rPr>
                <w:sz w:val="14"/>
              </w:rPr>
            </w:pPr>
            <w:r>
              <w:rPr>
                <w:color w:val="231F20"/>
                <w:sz w:val="14"/>
              </w:rPr>
              <w:t>11.6</w:t>
            </w:r>
          </w:p>
        </w:tc>
        <w:tc>
          <w:tcPr>
            <w:tcW w:w="191" w:type="dxa"/>
          </w:tcPr>
          <w:p>
            <w:pPr>
              <w:pStyle w:val="TableParagraph"/>
              <w:rPr>
                <w:sz w:val="14"/>
              </w:rPr>
            </w:pPr>
          </w:p>
        </w:tc>
        <w:tc>
          <w:tcPr>
            <w:tcW w:w="571" w:type="dxa"/>
          </w:tcPr>
          <w:p>
            <w:pPr>
              <w:pStyle w:val="TableParagraph"/>
              <w:spacing w:line="133" w:lineRule="exact" w:before="56"/>
              <w:ind w:right="104"/>
              <w:jc w:val="right"/>
              <w:rPr>
                <w:sz w:val="14"/>
              </w:rPr>
            </w:pPr>
            <w:r>
              <w:rPr>
                <w:color w:val="231F20"/>
                <w:sz w:val="14"/>
              </w:rPr>
              <w:t>9.4</w:t>
            </w:r>
          </w:p>
        </w:tc>
      </w:tr>
      <w:tr>
        <w:trPr>
          <w:trHeight w:val="140" w:hRule="atLeast"/>
        </w:trPr>
        <w:tc>
          <w:tcPr>
            <w:tcW w:w="765" w:type="dxa"/>
          </w:tcPr>
          <w:p>
            <w:pPr>
              <w:pStyle w:val="TableParagraph"/>
              <w:rPr>
                <w:sz w:val="8"/>
              </w:rPr>
            </w:pPr>
          </w:p>
        </w:tc>
        <w:tc>
          <w:tcPr>
            <w:tcW w:w="604" w:type="dxa"/>
          </w:tcPr>
          <w:p>
            <w:pPr>
              <w:pStyle w:val="TableParagraph"/>
              <w:spacing w:line="120" w:lineRule="exact"/>
              <w:ind w:left="64"/>
              <w:rPr>
                <w:sz w:val="14"/>
              </w:rPr>
            </w:pPr>
            <w:r>
              <w:rPr>
                <w:color w:val="231F20"/>
                <w:sz w:val="14"/>
              </w:rPr>
              <w:t>July</w:t>
            </w:r>
          </w:p>
        </w:tc>
        <w:tc>
          <w:tcPr>
            <w:tcW w:w="451" w:type="dxa"/>
          </w:tcPr>
          <w:p>
            <w:pPr>
              <w:pStyle w:val="TableParagraph"/>
              <w:spacing w:line="120" w:lineRule="exact"/>
              <w:ind w:right="88"/>
              <w:jc w:val="right"/>
              <w:rPr>
                <w:sz w:val="14"/>
              </w:rPr>
            </w:pPr>
            <w:r>
              <w:rPr>
                <w:color w:val="231F20"/>
                <w:sz w:val="14"/>
              </w:rPr>
              <w:t>0.5</w:t>
            </w:r>
          </w:p>
        </w:tc>
        <w:tc>
          <w:tcPr>
            <w:tcW w:w="211" w:type="dxa"/>
          </w:tcPr>
          <w:p>
            <w:pPr>
              <w:pStyle w:val="TableParagraph"/>
              <w:rPr>
                <w:sz w:val="8"/>
              </w:rPr>
            </w:pPr>
          </w:p>
        </w:tc>
        <w:tc>
          <w:tcPr>
            <w:tcW w:w="671" w:type="dxa"/>
          </w:tcPr>
          <w:p>
            <w:pPr>
              <w:pStyle w:val="TableParagraph"/>
              <w:spacing w:line="120" w:lineRule="exact"/>
              <w:ind w:right="260"/>
              <w:jc w:val="right"/>
              <w:rPr>
                <w:sz w:val="14"/>
              </w:rPr>
            </w:pPr>
            <w:r>
              <w:rPr>
                <w:color w:val="231F20"/>
                <w:sz w:val="14"/>
              </w:rPr>
              <w:t>9.1</w:t>
            </w:r>
          </w:p>
        </w:tc>
        <w:tc>
          <w:tcPr>
            <w:tcW w:w="111" w:type="dxa"/>
          </w:tcPr>
          <w:p>
            <w:pPr>
              <w:pStyle w:val="TableParagraph"/>
              <w:rPr>
                <w:sz w:val="8"/>
              </w:rPr>
            </w:pPr>
          </w:p>
        </w:tc>
        <w:tc>
          <w:tcPr>
            <w:tcW w:w="661" w:type="dxa"/>
          </w:tcPr>
          <w:p>
            <w:pPr>
              <w:pStyle w:val="TableParagraph"/>
              <w:spacing w:line="120" w:lineRule="exact"/>
              <w:ind w:right="122"/>
              <w:jc w:val="right"/>
              <w:rPr>
                <w:sz w:val="14"/>
              </w:rPr>
            </w:pPr>
            <w:r>
              <w:rPr>
                <w:color w:val="231F20"/>
                <w:sz w:val="14"/>
              </w:rPr>
              <w:t>9.0</w:t>
            </w:r>
          </w:p>
        </w:tc>
        <w:tc>
          <w:tcPr>
            <w:tcW w:w="191" w:type="dxa"/>
          </w:tcPr>
          <w:p>
            <w:pPr>
              <w:pStyle w:val="TableParagraph"/>
              <w:rPr>
                <w:sz w:val="8"/>
              </w:rPr>
            </w:pPr>
          </w:p>
        </w:tc>
        <w:tc>
          <w:tcPr>
            <w:tcW w:w="571" w:type="dxa"/>
          </w:tcPr>
          <w:p>
            <w:pPr>
              <w:pStyle w:val="TableParagraph"/>
              <w:spacing w:line="120" w:lineRule="exact"/>
              <w:ind w:right="104"/>
              <w:jc w:val="right"/>
              <w:rPr>
                <w:sz w:val="14"/>
              </w:rPr>
            </w:pPr>
            <w:r>
              <w:rPr>
                <w:color w:val="231F20"/>
                <w:sz w:val="14"/>
              </w:rPr>
              <w:t>9.0</w:t>
            </w:r>
          </w:p>
        </w:tc>
      </w:tr>
      <w:tr>
        <w:trPr>
          <w:trHeight w:val="140" w:hRule="atLeast"/>
        </w:trPr>
        <w:tc>
          <w:tcPr>
            <w:tcW w:w="765" w:type="dxa"/>
          </w:tcPr>
          <w:p>
            <w:pPr>
              <w:pStyle w:val="TableParagraph"/>
              <w:rPr>
                <w:sz w:val="8"/>
              </w:rPr>
            </w:pPr>
          </w:p>
        </w:tc>
        <w:tc>
          <w:tcPr>
            <w:tcW w:w="604" w:type="dxa"/>
          </w:tcPr>
          <w:p>
            <w:pPr>
              <w:pStyle w:val="TableParagraph"/>
              <w:spacing w:line="120" w:lineRule="exact"/>
              <w:ind w:left="64"/>
              <w:rPr>
                <w:sz w:val="14"/>
              </w:rPr>
            </w:pPr>
            <w:r>
              <w:rPr>
                <w:color w:val="231F20"/>
                <w:sz w:val="14"/>
              </w:rPr>
              <w:t>Aug.</w:t>
            </w:r>
          </w:p>
        </w:tc>
        <w:tc>
          <w:tcPr>
            <w:tcW w:w="451" w:type="dxa"/>
          </w:tcPr>
          <w:p>
            <w:pPr>
              <w:pStyle w:val="TableParagraph"/>
              <w:spacing w:line="120" w:lineRule="exact"/>
              <w:ind w:right="87"/>
              <w:jc w:val="right"/>
              <w:rPr>
                <w:sz w:val="14"/>
              </w:rPr>
            </w:pPr>
            <w:r>
              <w:rPr>
                <w:color w:val="231F20"/>
                <w:sz w:val="14"/>
              </w:rPr>
              <w:t>0.5</w:t>
            </w:r>
          </w:p>
        </w:tc>
        <w:tc>
          <w:tcPr>
            <w:tcW w:w="211" w:type="dxa"/>
          </w:tcPr>
          <w:p>
            <w:pPr>
              <w:pStyle w:val="TableParagraph"/>
              <w:rPr>
                <w:sz w:val="8"/>
              </w:rPr>
            </w:pPr>
          </w:p>
        </w:tc>
        <w:tc>
          <w:tcPr>
            <w:tcW w:w="671" w:type="dxa"/>
          </w:tcPr>
          <w:p>
            <w:pPr>
              <w:pStyle w:val="TableParagraph"/>
              <w:spacing w:line="120" w:lineRule="exact"/>
              <w:ind w:right="260"/>
              <w:jc w:val="right"/>
              <w:rPr>
                <w:sz w:val="14"/>
              </w:rPr>
            </w:pPr>
            <w:r>
              <w:rPr>
                <w:color w:val="231F20"/>
                <w:sz w:val="14"/>
              </w:rPr>
              <w:t>6.6</w:t>
            </w:r>
          </w:p>
        </w:tc>
        <w:tc>
          <w:tcPr>
            <w:tcW w:w="111" w:type="dxa"/>
          </w:tcPr>
          <w:p>
            <w:pPr>
              <w:pStyle w:val="TableParagraph"/>
              <w:rPr>
                <w:sz w:val="8"/>
              </w:rPr>
            </w:pPr>
          </w:p>
        </w:tc>
        <w:tc>
          <w:tcPr>
            <w:tcW w:w="661" w:type="dxa"/>
          </w:tcPr>
          <w:p>
            <w:pPr>
              <w:pStyle w:val="TableParagraph"/>
              <w:spacing w:line="120" w:lineRule="exact"/>
              <w:ind w:right="122"/>
              <w:jc w:val="right"/>
              <w:rPr>
                <w:sz w:val="14"/>
              </w:rPr>
            </w:pPr>
            <w:r>
              <w:rPr>
                <w:color w:val="231F20"/>
                <w:sz w:val="14"/>
              </w:rPr>
              <w:t>8.0</w:t>
            </w:r>
          </w:p>
        </w:tc>
        <w:tc>
          <w:tcPr>
            <w:tcW w:w="191" w:type="dxa"/>
          </w:tcPr>
          <w:p>
            <w:pPr>
              <w:pStyle w:val="TableParagraph"/>
              <w:rPr>
                <w:sz w:val="8"/>
              </w:rPr>
            </w:pPr>
          </w:p>
        </w:tc>
        <w:tc>
          <w:tcPr>
            <w:tcW w:w="571" w:type="dxa"/>
          </w:tcPr>
          <w:p>
            <w:pPr>
              <w:pStyle w:val="TableParagraph"/>
              <w:spacing w:line="120" w:lineRule="exact"/>
              <w:ind w:right="104"/>
              <w:jc w:val="right"/>
              <w:rPr>
                <w:sz w:val="14"/>
              </w:rPr>
            </w:pPr>
            <w:r>
              <w:rPr>
                <w:color w:val="231F20"/>
                <w:sz w:val="14"/>
              </w:rPr>
              <w:t>8.6</w:t>
            </w:r>
          </w:p>
        </w:tc>
      </w:tr>
      <w:tr>
        <w:trPr>
          <w:trHeight w:val="147" w:hRule="atLeast"/>
        </w:trPr>
        <w:tc>
          <w:tcPr>
            <w:tcW w:w="765" w:type="dxa"/>
          </w:tcPr>
          <w:p>
            <w:pPr>
              <w:pStyle w:val="TableParagraph"/>
              <w:rPr>
                <w:sz w:val="8"/>
              </w:rPr>
            </w:pPr>
          </w:p>
        </w:tc>
        <w:tc>
          <w:tcPr>
            <w:tcW w:w="604" w:type="dxa"/>
          </w:tcPr>
          <w:p>
            <w:pPr>
              <w:pStyle w:val="TableParagraph"/>
              <w:spacing w:line="128" w:lineRule="exact"/>
              <w:ind w:left="64"/>
              <w:rPr>
                <w:sz w:val="14"/>
              </w:rPr>
            </w:pPr>
            <w:r>
              <w:rPr>
                <w:color w:val="231F20"/>
                <w:sz w:val="14"/>
              </w:rPr>
              <w:t>Sept.</w:t>
            </w:r>
          </w:p>
        </w:tc>
        <w:tc>
          <w:tcPr>
            <w:tcW w:w="451" w:type="dxa"/>
          </w:tcPr>
          <w:p>
            <w:pPr>
              <w:pStyle w:val="TableParagraph"/>
              <w:spacing w:line="128" w:lineRule="exact"/>
              <w:ind w:right="88"/>
              <w:jc w:val="right"/>
              <w:rPr>
                <w:sz w:val="14"/>
              </w:rPr>
            </w:pPr>
            <w:r>
              <w:rPr>
                <w:color w:val="231F20"/>
                <w:sz w:val="14"/>
              </w:rPr>
              <w:t>0.7</w:t>
            </w:r>
          </w:p>
        </w:tc>
        <w:tc>
          <w:tcPr>
            <w:tcW w:w="211" w:type="dxa"/>
          </w:tcPr>
          <w:p>
            <w:pPr>
              <w:pStyle w:val="TableParagraph"/>
              <w:rPr>
                <w:sz w:val="8"/>
              </w:rPr>
            </w:pPr>
          </w:p>
        </w:tc>
        <w:tc>
          <w:tcPr>
            <w:tcW w:w="671" w:type="dxa"/>
          </w:tcPr>
          <w:p>
            <w:pPr>
              <w:pStyle w:val="TableParagraph"/>
              <w:spacing w:line="128" w:lineRule="exact"/>
              <w:ind w:right="260"/>
              <w:jc w:val="right"/>
              <w:rPr>
                <w:sz w:val="14"/>
              </w:rPr>
            </w:pPr>
            <w:r>
              <w:rPr>
                <w:color w:val="231F20"/>
                <w:sz w:val="14"/>
              </w:rPr>
              <w:t>6.6</w:t>
            </w:r>
          </w:p>
        </w:tc>
        <w:tc>
          <w:tcPr>
            <w:tcW w:w="111" w:type="dxa"/>
          </w:tcPr>
          <w:p>
            <w:pPr>
              <w:pStyle w:val="TableParagraph"/>
              <w:rPr>
                <w:sz w:val="8"/>
              </w:rPr>
            </w:pPr>
          </w:p>
        </w:tc>
        <w:tc>
          <w:tcPr>
            <w:tcW w:w="661" w:type="dxa"/>
          </w:tcPr>
          <w:p>
            <w:pPr>
              <w:pStyle w:val="TableParagraph"/>
              <w:spacing w:line="128" w:lineRule="exact"/>
              <w:ind w:right="122"/>
              <w:jc w:val="right"/>
              <w:rPr>
                <w:sz w:val="14"/>
              </w:rPr>
            </w:pPr>
            <w:r>
              <w:rPr>
                <w:color w:val="231F20"/>
                <w:sz w:val="14"/>
              </w:rPr>
              <w:t>8.1</w:t>
            </w:r>
          </w:p>
        </w:tc>
        <w:tc>
          <w:tcPr>
            <w:tcW w:w="191" w:type="dxa"/>
          </w:tcPr>
          <w:p>
            <w:pPr>
              <w:pStyle w:val="TableParagraph"/>
              <w:rPr>
                <w:sz w:val="8"/>
              </w:rPr>
            </w:pPr>
          </w:p>
        </w:tc>
        <w:tc>
          <w:tcPr>
            <w:tcW w:w="571" w:type="dxa"/>
          </w:tcPr>
          <w:p>
            <w:pPr>
              <w:pStyle w:val="TableParagraph"/>
              <w:spacing w:line="128" w:lineRule="exact"/>
              <w:ind w:right="104"/>
              <w:jc w:val="right"/>
              <w:rPr>
                <w:sz w:val="14"/>
              </w:rPr>
            </w:pPr>
            <w:r>
              <w:rPr>
                <w:color w:val="231F20"/>
                <w:sz w:val="14"/>
              </w:rPr>
              <w:t>8.7</w:t>
            </w:r>
          </w:p>
        </w:tc>
      </w:tr>
    </w:tbl>
    <w:p>
      <w:pPr>
        <w:spacing w:before="98"/>
        <w:ind w:left="162" w:right="0" w:firstLine="0"/>
        <w:jc w:val="left"/>
        <w:rPr>
          <w:sz w:val="12"/>
        </w:rPr>
      </w:pPr>
      <w:r>
        <w:rPr>
          <w:color w:val="231F20"/>
          <w:sz w:val="12"/>
        </w:rPr>
        <w:t>Source: Bank of England.</w:t>
      </w:r>
    </w:p>
    <w:p>
      <w:pPr>
        <w:pStyle w:val="ListParagraph"/>
        <w:numPr>
          <w:ilvl w:val="0"/>
          <w:numId w:val="2"/>
        </w:numPr>
        <w:tabs>
          <w:tab w:pos="402" w:val="left" w:leader="none"/>
        </w:tabs>
        <w:spacing w:line="129" w:lineRule="exact" w:before="102" w:after="0"/>
        <w:ind w:left="401" w:right="0" w:hanging="240"/>
        <w:jc w:val="left"/>
        <w:rPr>
          <w:sz w:val="12"/>
        </w:rPr>
      </w:pPr>
      <w:r>
        <w:rPr>
          <w:color w:val="231F20"/>
          <w:sz w:val="12"/>
        </w:rPr>
        <w:t>Seasonally adjusted.</w:t>
      </w:r>
    </w:p>
    <w:p>
      <w:pPr>
        <w:pStyle w:val="ListParagraph"/>
        <w:numPr>
          <w:ilvl w:val="0"/>
          <w:numId w:val="2"/>
        </w:numPr>
        <w:tabs>
          <w:tab w:pos="403" w:val="left" w:leader="none"/>
        </w:tabs>
        <w:spacing w:line="129" w:lineRule="exact" w:before="0" w:after="0"/>
        <w:ind w:left="402" w:right="0" w:hanging="241"/>
        <w:jc w:val="left"/>
        <w:rPr>
          <w:sz w:val="12"/>
        </w:rPr>
      </w:pPr>
      <w:r>
        <w:rPr>
          <w:color w:val="231F20"/>
          <w:sz w:val="12"/>
        </w:rPr>
        <w:t>Annualised.</w:t>
      </w:r>
    </w:p>
    <w:p>
      <w:pPr>
        <w:pStyle w:val="Heading3"/>
        <w:numPr>
          <w:ilvl w:val="1"/>
          <w:numId w:val="3"/>
        </w:numPr>
        <w:tabs>
          <w:tab w:pos="4617" w:val="left" w:leader="none"/>
          <w:tab w:pos="4618" w:val="left" w:leader="none"/>
          <w:tab w:pos="5652" w:val="left" w:leader="none"/>
        </w:tabs>
        <w:spacing w:line="240" w:lineRule="auto" w:before="89" w:after="0"/>
        <w:ind w:left="4617" w:right="0" w:hanging="4456"/>
        <w:jc w:val="left"/>
      </w:pPr>
      <w:r>
        <w:rPr>
          <w:color w:val="009483"/>
          <w:u w:val="thick" w:color="0093C1"/>
        </w:rPr>
        <w:br w:type="column"/>
        <w:t>Money</w:t>
        <w:tab/>
      </w:r>
    </w:p>
    <w:p>
      <w:pPr>
        <w:pStyle w:val="Heading5"/>
        <w:spacing w:line="242" w:lineRule="auto" w:before="264"/>
        <w:ind w:left="162" w:right="128"/>
      </w:pPr>
      <w:r>
        <w:rPr>
          <w:color w:val="231F20"/>
        </w:rPr>
        <w:t>Annual broad money (M4) grew by 11.8% in September, compared with 11.6% in August and 11.9% in July (see Chart 2.1). In August and September, as Table 2.A shows, shorter-term growth rates were all below the annual rate; this was for the first time since July 1996, excluding the gilt repo-distorted outturn in December.</w:t>
      </w:r>
    </w:p>
    <w:p>
      <w:pPr>
        <w:spacing w:line="242" w:lineRule="auto" w:before="8"/>
        <w:ind w:left="162" w:right="475" w:firstLine="0"/>
        <w:jc w:val="left"/>
        <w:rPr>
          <w:sz w:val="24"/>
        </w:rPr>
      </w:pPr>
      <w:r>
        <w:rPr>
          <w:color w:val="231F20"/>
          <w:sz w:val="24"/>
        </w:rPr>
        <w:t>Broad money has continued to grow faster than the rates of around 8%–10% from mid 1995 to the end of 1996.</w:t>
      </w:r>
    </w:p>
    <w:p>
      <w:pPr>
        <w:pStyle w:val="BodyText"/>
        <w:spacing w:before="1"/>
        <w:rPr>
          <w:sz w:val="28"/>
        </w:rPr>
      </w:pPr>
    </w:p>
    <w:p>
      <w:pPr>
        <w:spacing w:line="242" w:lineRule="auto" w:before="1"/>
        <w:ind w:left="162" w:right="179" w:firstLine="0"/>
        <w:jc w:val="left"/>
        <w:rPr>
          <w:sz w:val="24"/>
        </w:rPr>
      </w:pPr>
      <w:r>
        <w:rPr>
          <w:color w:val="231F20"/>
          <w:sz w:val="24"/>
        </w:rPr>
        <w:t>The current rate of broad money growth—and the continuing fall in velocity—remains a threat to meeting the inflation target in the medium term. Previous </w:t>
      </w:r>
      <w:r>
        <w:rPr>
          <w:i/>
          <w:color w:val="231F20"/>
          <w:sz w:val="24"/>
        </w:rPr>
        <w:t>Reports </w:t>
      </w:r>
      <w:r>
        <w:rPr>
          <w:color w:val="231F20"/>
          <w:spacing w:val="-3"/>
          <w:sz w:val="24"/>
        </w:rPr>
        <w:t>have </w:t>
      </w:r>
      <w:r>
        <w:rPr>
          <w:color w:val="231F20"/>
          <w:sz w:val="24"/>
        </w:rPr>
        <w:t>noted that, though velocity might be expected to rise or fall for one or two years during the cycle, a sustained fall would tend to occur only during periods of change such as rapid financial liberalisation, innovation, or an upward shift in the desired wealth to income ratio. </w:t>
      </w:r>
      <w:r>
        <w:rPr>
          <w:color w:val="231F20"/>
          <w:spacing w:val="-10"/>
          <w:sz w:val="24"/>
        </w:rPr>
        <w:t>To </w:t>
      </w:r>
      <w:r>
        <w:rPr>
          <w:color w:val="231F20"/>
          <w:sz w:val="24"/>
        </w:rPr>
        <w:t>the extent that some of the fall in </w:t>
      </w:r>
      <w:r>
        <w:rPr>
          <w:color w:val="231F20"/>
          <w:spacing w:val="-4"/>
          <w:sz w:val="24"/>
        </w:rPr>
        <w:t>broad </w:t>
      </w:r>
      <w:r>
        <w:rPr>
          <w:color w:val="231F20"/>
          <w:sz w:val="24"/>
        </w:rPr>
        <w:t>money velocity since the early 1990s could be explained by these factors, the current rate of M4 growth may be less of an immediate threat. But there is no way of knowing whether this is the case, and that is why money growth is a risk to the inflation outlook. Since the </w:t>
      </w:r>
      <w:r>
        <w:rPr>
          <w:color w:val="231F20"/>
          <w:spacing w:val="-3"/>
          <w:sz w:val="24"/>
        </w:rPr>
        <w:t>recent </w:t>
      </w:r>
      <w:r>
        <w:rPr>
          <w:color w:val="231F20"/>
          <w:sz w:val="24"/>
        </w:rPr>
        <w:t>rapid growth of financial wealth cannot be expected to continue indefinitely, money growth must also slow if the inflation target is to be met. The tightening of</w:t>
      </w:r>
      <w:r>
        <w:rPr>
          <w:color w:val="231F20"/>
          <w:spacing w:val="-9"/>
          <w:sz w:val="24"/>
        </w:rPr>
        <w:t> </w:t>
      </w:r>
      <w:r>
        <w:rPr>
          <w:color w:val="231F20"/>
          <w:sz w:val="24"/>
        </w:rPr>
        <w:t>fiscal</w:t>
      </w:r>
    </w:p>
    <w:p>
      <w:pPr>
        <w:spacing w:after="0" w:line="242" w:lineRule="auto"/>
        <w:jc w:val="left"/>
        <w:rPr>
          <w:sz w:val="24"/>
        </w:rPr>
        <w:sectPr>
          <w:type w:val="continuous"/>
          <w:pgSz w:w="11880" w:h="16840"/>
          <w:pgMar w:top="1040" w:bottom="280" w:left="640" w:right="640"/>
          <w:cols w:num="2" w:equalWidth="0">
            <w:col w:w="4390" w:space="407"/>
            <w:col w:w="5803"/>
          </w:cols>
        </w:sectPr>
      </w:pPr>
    </w:p>
    <w:p>
      <w:pPr>
        <w:pStyle w:val="BodyText"/>
        <w:spacing w:line="20" w:lineRule="exact"/>
        <w:ind w:left="13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7"/>
        <w:rPr>
          <w:sz w:val="29"/>
        </w:rPr>
      </w:pPr>
    </w:p>
    <w:p>
      <w:pPr>
        <w:spacing w:line="242" w:lineRule="auto" w:before="90"/>
        <w:ind w:left="4961" w:right="420" w:firstLine="0"/>
        <w:jc w:val="left"/>
        <w:rPr>
          <w:sz w:val="24"/>
        </w:rPr>
      </w:pPr>
      <w:bookmarkStart w:name="Other financial institutions" w:id="10"/>
      <w:bookmarkEnd w:id="10"/>
      <w:r>
        <w:rPr/>
      </w:r>
      <w:bookmarkStart w:name="_bookmark5" w:id="11"/>
      <w:bookmarkEnd w:id="11"/>
      <w:r>
        <w:rPr/>
      </w:r>
      <w:r>
        <w:rPr>
          <w:color w:val="231F20"/>
          <w:sz w:val="24"/>
        </w:rPr>
        <w:t>and monetary policies since May should go some way towards achieving this objective.</w:t>
      </w:r>
    </w:p>
    <w:p>
      <w:pPr>
        <w:pStyle w:val="BodyText"/>
        <w:spacing w:before="9"/>
        <w:rPr>
          <w:sz w:val="22"/>
        </w:rPr>
      </w:pPr>
    </w:p>
    <w:p>
      <w:pPr>
        <w:spacing w:line="242" w:lineRule="auto" w:before="0"/>
        <w:ind w:left="4961" w:right="162" w:firstLine="0"/>
        <w:jc w:val="left"/>
        <w:rPr>
          <w:sz w:val="24"/>
        </w:rPr>
      </w:pPr>
      <w:r>
        <w:rPr>
          <w:color w:val="231F20"/>
          <w:sz w:val="24"/>
        </w:rPr>
        <w:t>As part of the decision to make the Bank operationally independent, the Government has given the Monetary Policy Committee (MPC) discretion over whether or not to employ intermediate targets or monitoring ranges.</w:t>
      </w:r>
    </w:p>
    <w:p>
      <w:pPr>
        <w:spacing w:line="242" w:lineRule="auto" w:before="6"/>
        <w:ind w:left="4961" w:right="220" w:firstLine="0"/>
        <w:jc w:val="left"/>
        <w:rPr>
          <w:sz w:val="24"/>
        </w:rPr>
      </w:pPr>
      <w:r>
        <w:rPr>
          <w:color w:val="231F20"/>
          <w:sz w:val="24"/>
        </w:rPr>
        <w:t>The MPC has decided that it will not at present reinstate monitoring ranges, which lapsed in May, though the monetary aggregates are an integral part of its assessment of monetar</w:t>
      </w:r>
      <w:hyperlink w:history="true" w:anchor="_bookmark7">
        <w:r>
          <w:rPr>
            <w:color w:val="231F20"/>
            <w:sz w:val="24"/>
          </w:rPr>
          <w:t>y conditions. The box</w:t>
        </w:r>
      </w:hyperlink>
      <w:r>
        <w:rPr>
          <w:color w:val="231F20"/>
          <w:sz w:val="24"/>
        </w:rPr>
        <w:t> on pages 8–9 sets out the reasons for the MPC’s decision.</w:t>
      </w:r>
    </w:p>
    <w:p>
      <w:pPr>
        <w:pStyle w:val="BodyText"/>
        <w:spacing w:before="10"/>
        <w:rPr>
          <w:sz w:val="24"/>
        </w:rPr>
      </w:pPr>
    </w:p>
    <w:p>
      <w:pPr>
        <w:spacing w:line="242" w:lineRule="auto" w:before="0"/>
        <w:ind w:left="4960" w:right="162" w:firstLine="0"/>
        <w:jc w:val="left"/>
        <w:rPr>
          <w:sz w:val="24"/>
        </w:rPr>
      </w:pPr>
      <w:r>
        <w:rPr>
          <w:color w:val="231F20"/>
          <w:sz w:val="24"/>
        </w:rPr>
        <w:t>Real broad money grew by 9.1% in the year to 1997 Q3, its fastest rise since 1990. The August </w:t>
      </w:r>
      <w:r>
        <w:rPr>
          <w:i/>
          <w:color w:val="231F20"/>
          <w:sz w:val="24"/>
        </w:rPr>
        <w:t>Report </w:t>
      </w:r>
      <w:r>
        <w:rPr>
          <w:color w:val="231F20"/>
          <w:sz w:val="24"/>
        </w:rPr>
        <w:t>noted that real broad money growth tends to lead domestic demand growth, so the strength of real broad money growth is likely to be reflected in current and future consumption and investment decisions.</w:t>
      </w:r>
    </w:p>
    <w:p>
      <w:pPr>
        <w:pStyle w:val="BodyText"/>
        <w:spacing w:before="3"/>
        <w:rPr>
          <w:sz w:val="17"/>
        </w:rPr>
      </w:pPr>
    </w:p>
    <w:p>
      <w:pPr>
        <w:spacing w:after="0"/>
        <w:rPr>
          <w:sz w:val="17"/>
        </w:rPr>
        <w:sectPr>
          <w:headerReference w:type="default" r:id="rId9"/>
          <w:headerReference w:type="even" r:id="rId10"/>
          <w:pgSz w:w="11880" w:h="16840"/>
          <w:pgMar w:header="566" w:footer="597" w:top="760" w:bottom="7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9"/>
        </w:rPr>
      </w:pPr>
    </w:p>
    <w:p>
      <w:pPr>
        <w:pStyle w:val="Heading9"/>
        <w:spacing w:line="249" w:lineRule="auto" w:before="0"/>
        <w:ind w:left="184" w:right="21"/>
      </w:pPr>
      <w:r>
        <w:rPr>
          <w:color w:val="0093C1"/>
        </w:rPr>
        <w:t>Chart 2.2 Sectoral M4</w:t>
      </w:r>
    </w:p>
    <w:p>
      <w:pPr>
        <w:pStyle w:val="BodyText"/>
        <w:spacing w:before="9" w:after="40"/>
        <w:rPr>
          <w:b/>
        </w:rPr>
      </w:pPr>
    </w:p>
    <w:p>
      <w:pPr>
        <w:pStyle w:val="BodyText"/>
        <w:spacing w:line="20" w:lineRule="exact"/>
        <w:ind w:left="238"/>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line="126" w:lineRule="exact" w:before="93"/>
        <w:ind w:left="184" w:right="0" w:firstLine="0"/>
        <w:jc w:val="left"/>
        <w:rPr>
          <w:sz w:val="12"/>
        </w:rPr>
      </w:pPr>
      <w:r>
        <w:rPr>
          <w:sz w:val="12"/>
        </w:rPr>
        <w:t>Percentage changes on a year earlier</w:t>
      </w:r>
    </w:p>
    <w:p>
      <w:pPr>
        <w:spacing w:line="126" w:lineRule="exact" w:before="0"/>
        <w:ind w:left="1958" w:right="0" w:firstLine="0"/>
        <w:jc w:val="left"/>
        <w:rPr>
          <w:sz w:val="12"/>
        </w:rPr>
      </w:pPr>
      <w:r>
        <w:rPr/>
        <w:pict>
          <v:line style="position:absolute;mso-position-horizontal-relative:page;mso-position-vertical-relative:paragraph;z-index:15742464" from="209.149994pt,2.819354pt" to="204.149994pt,2.819354pt" stroked="true" strokeweight=".5pt" strokecolor="#000000">
            <v:stroke dashstyle="solid"/>
            <w10:wrap type="none"/>
          </v:line>
        </w:pict>
      </w:r>
      <w:r>
        <w:rPr>
          <w:sz w:val="12"/>
        </w:rPr>
        <w:t>60</w:t>
      </w:r>
    </w:p>
    <w:p>
      <w:pPr>
        <w:pStyle w:val="BodyText"/>
        <w:rPr>
          <w:sz w:val="12"/>
        </w:rPr>
      </w:pPr>
    </w:p>
    <w:p>
      <w:pPr>
        <w:pStyle w:val="BodyText"/>
        <w:spacing w:before="6"/>
        <w:rPr>
          <w:sz w:val="12"/>
        </w:rPr>
      </w:pPr>
    </w:p>
    <w:p>
      <w:pPr>
        <w:spacing w:before="0"/>
        <w:ind w:left="0" w:right="38" w:firstLine="0"/>
        <w:jc w:val="right"/>
        <w:rPr>
          <w:sz w:val="12"/>
        </w:rPr>
      </w:pPr>
      <w:r>
        <w:rPr/>
        <w:pict>
          <v:group style="position:absolute;margin-left:44.150002pt;margin-top:-5.065427pt;width:165pt;height:123pt;mso-position-horizontal-relative:page;mso-position-vertical-relative:paragraph;z-index:15739904" coordorigin="883,-101" coordsize="3300,2460">
            <v:shape style="position:absolute;left:883;top:68;width:3300;height:2160" coordorigin="883,69" coordsize="3300,2160" path="m1023,2229l4043,2229m983,2229l883,2229m4183,2229l4083,2229m983,1789l883,1789m983,1349l883,1349m983,929l883,929m983,509l883,509m983,69l883,69e" filled="false" stroked="true" strokeweight=".5pt" strokecolor="#000000">
              <v:path arrowok="t"/>
              <v:stroke dashstyle="solid"/>
            </v:shape>
            <v:shape style="position:absolute;left:1043;top:-92;width:1360;height:2440" coordorigin="1043,-91" coordsize="1360,2440" path="m1043,329l1103,229,1183,-51,1243,-91,1323,709,1383,769,1463,969,1523,1089,1603,1009,1683,909,1743,889,1823,849,1883,749,1963,849,2043,1149,2103,1329,2183,1769,2243,2149,2403,2349e" filled="false" stroked="true" strokeweight="1pt" strokecolor="#ed1b2d">
              <v:path arrowok="t"/>
              <v:stroke dashstyle="solid"/>
            </v:shape>
            <v:shape style="position:absolute;left:2583;top:1628;width:560;height:400" coordorigin="2583,1629" coordsize="560,400" path="m2583,1629l3143,2029e" filled="true" fillcolor="#000000" stroked="false">
              <v:path arrowok="t"/>
              <v:fill type="solid"/>
            </v:shape>
            <v:line style="position:absolute" from="2583,1629" to="3143,2029" stroked="true" strokeweight=".5pt" strokecolor="#000000">
              <v:stroke dashstyle="solid"/>
            </v:line>
            <v:shape style="position:absolute;left:3114;top:1998;width:84;height:70" coordorigin="3115,1998" coordsize="84,70" path="m3144,1998l3115,2039,3131,2043,3144,2047,3198,2068,3192,2062,3185,2054,3177,2045,3168,2034,3161,2024,3144,1998xe" filled="true" fillcolor="#000000" stroked="false">
              <v:path arrowok="t"/>
              <v:fill type="solid"/>
            </v:shape>
            <v:shape style="position:absolute;left:2383;top:1188;width:1380;height:1160" coordorigin="2383,1189" coordsize="1380,1160" path="m2383,2349l2463,2289,2543,2169,2603,2069,2683,2189,2743,2129,2823,2169,2903,2169,2963,1929,3043,1869,3103,1769,3183,1869,3243,1909,3323,1729,3403,1529,3463,1329,3543,1249,3603,1229,3683,1309,3763,1189e" filled="false" stroked="true" strokeweight="1pt" strokecolor="#ed1b2d">
              <v:path arrowok="t"/>
              <v:stroke dashstyle="solid"/>
            </v:shape>
            <v:line style="position:absolute" from="4183,1349" to="4083,1349" stroked="true" strokeweight=".5pt" strokecolor="#000000">
              <v:stroke dashstyle="solid"/>
            </v:line>
            <v:shape style="position:absolute;left:3763;top:1048;width:280;height:220" coordorigin="3763,1049" coordsize="280,220" path="m3763,1189l3823,1269,3903,1109,3963,1049,4043,1109e" filled="false" stroked="true" strokeweight="1pt" strokecolor="#ed1b2d">
              <v:path arrowok="t"/>
              <v:stroke dashstyle="solid"/>
            </v:shape>
            <v:shape style="position:absolute;left:1043;top:1168;width:2720;height:1060" coordorigin="1043,1169" coordsize="2720,1060" path="m1043,1169l1103,1329,1183,1389,1243,1389,1323,1349,1383,1529,1463,1629,1523,1829,1603,1749,1683,1629,1743,1629,1823,1469,1883,1509,2043,1789,2103,2089,2183,2229,2243,2089,2323,2069,2403,1809m2383,1809l2463,1829,2543,1949,2603,1949,2683,2189,2743,2109,2823,2109,2903,2049,2963,1869,3043,1709,3103,1709,3183,1769,3243,1869,3323,2009,3403,2089,3463,2109,3543,1929,3603,1929,3683,1749,3763,1729e" filled="false" stroked="true" strokeweight="1pt" strokecolor="#0066a5">
              <v:path arrowok="t"/>
              <v:stroke dashstyle="solid"/>
            </v:shape>
            <v:line style="position:absolute" from="4183,1789" to="4083,1789" stroked="true" strokeweight=".5pt" strokecolor="#000000">
              <v:stroke dashstyle="solid"/>
            </v:line>
            <v:shape style="position:absolute;left:3763;top:1728;width:280;height:160" coordorigin="3763,1729" coordsize="280,160" path="m3763,1729l3823,1809,3903,1829,3963,1889,4043,1729e" filled="false" stroked="true" strokeweight="1pt" strokecolor="#0066a5">
              <v:path arrowok="t"/>
              <v:stroke dashstyle="solid"/>
            </v:shape>
            <v:shape style="position:absolute;left:1043;top:1468;width:3000;height:620" coordorigin="1043,1469" coordsize="3000,620" path="m1043,1809l1103,1789,1183,1769,1243,1729,1323,1629,1383,1609,1463,1469,1523,1469,1603,1489,1683,1529,1743,1589,1823,1569,1883,1609,1963,1609,2043,1649,2103,1729,2183,1729,2243,1789,2323,1829,2403,1889m2383,1889l2543,1969,2603,2009,2683,2009,2743,2069,2963,2069,3043,2049,3103,2089,3243,2089,3323,2049,3403,1989,3463,1929,3543,1909,3603,1929,3683,1929,3763,1949m3763,1949l3823,1949,3903,1909,3963,1889,4043,1889e" filled="false" stroked="true" strokeweight="1pt" strokecolor="#faab54">
              <v:path arrowok="t"/>
              <v:stroke dashstyle="solid"/>
            </v:shape>
            <v:shape style="position:absolute;left:1992;top:751;width:261;height:133" type="#_x0000_t202" filled="false" stroked="false">
              <v:textbox inset="0,0,0,0">
                <w:txbxContent>
                  <w:p>
                    <w:pPr>
                      <w:spacing w:line="133" w:lineRule="exact" w:before="0"/>
                      <w:ind w:left="0" w:right="0" w:firstLine="0"/>
                      <w:jc w:val="left"/>
                      <w:rPr>
                        <w:sz w:val="12"/>
                      </w:rPr>
                    </w:pPr>
                    <w:r>
                      <w:rPr>
                        <w:sz w:val="12"/>
                      </w:rPr>
                      <w:t>OFIs</w:t>
                    </w:r>
                  </w:p>
                </w:txbxContent>
              </v:textbox>
              <w10:wrap type="none"/>
            </v:shape>
            <v:shape style="position:absolute;left:2352;top:1498;width:394;height:133" type="#_x0000_t202" filled="false" stroked="false">
              <v:textbox inset="0,0,0,0">
                <w:txbxContent>
                  <w:p>
                    <w:pPr>
                      <w:spacing w:line="133" w:lineRule="exact" w:before="0"/>
                      <w:ind w:left="0" w:right="0" w:firstLine="0"/>
                      <w:jc w:val="left"/>
                      <w:rPr>
                        <w:sz w:val="12"/>
                      </w:rPr>
                    </w:pPr>
                    <w:r>
                      <w:rPr>
                        <w:sz w:val="12"/>
                      </w:rPr>
                      <w:t>Persons</w:t>
                    </w:r>
                  </w:p>
                </w:txbxContent>
              </v:textbox>
              <w10:wrap type="none"/>
            </v:shape>
            <v:shape style="position:absolute;left:1792;top:1911;width:267;height:133" type="#_x0000_t202" filled="false" stroked="false">
              <v:textbox inset="0,0,0,0">
                <w:txbxContent>
                  <w:p>
                    <w:pPr>
                      <w:spacing w:line="133" w:lineRule="exact" w:before="0"/>
                      <w:ind w:left="0" w:right="0" w:firstLine="0"/>
                      <w:jc w:val="left"/>
                      <w:rPr>
                        <w:sz w:val="12"/>
                      </w:rPr>
                    </w:pPr>
                    <w:r>
                      <w:rPr>
                        <w:sz w:val="12"/>
                      </w:rPr>
                      <w:t>ICCs</w:t>
                    </w:r>
                  </w:p>
                </w:txbxContent>
              </v:textbox>
              <w10:wrap type="none"/>
            </v:shape>
            <w10:wrap type="none"/>
          </v:group>
        </w:pict>
      </w:r>
      <w:r>
        <w:rPr/>
        <w:pict>
          <v:line style="position:absolute;mso-position-horizontal-relative:page;mso-position-vertical-relative:paragraph;z-index:15741952" from="209.149994pt,3.434573pt" to="204.149994pt,3.434573pt" stroked="true" strokeweight=".5pt" strokecolor="#000000">
            <v:stroke dashstyle="solid"/>
            <w10:wrap type="none"/>
          </v:line>
        </w:pict>
      </w:r>
      <w:r>
        <w:rPr>
          <w:sz w:val="12"/>
        </w:rPr>
        <w:t>50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41440" from="209.149994pt,3.434573pt" to="204.149994pt,3.434573pt" stroked="true" strokeweight=".5pt" strokecolor="#000000">
            <v:stroke dashstyle="solid"/>
            <w10:wrap type="none"/>
          </v:line>
        </w:pict>
      </w:r>
      <w:r>
        <w:rPr>
          <w:sz w:val="12"/>
        </w:rPr>
        <w:t>40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40928" from="209.149994pt,3.434557pt" to="204.149994pt,3.434557pt" stroked="true" strokeweight=".5pt" strokecolor="#000000">
            <v:stroke dashstyle="solid"/>
            <w10:wrap type="none"/>
          </v:line>
        </w:pict>
      </w:r>
      <w:r>
        <w:rPr>
          <w:sz w:val="12"/>
        </w:rPr>
        <w:t>30</w:t>
      </w:r>
    </w:p>
    <w:p>
      <w:pPr>
        <w:pStyle w:val="BodyText"/>
        <w:rPr>
          <w:sz w:val="12"/>
        </w:rPr>
      </w:pPr>
    </w:p>
    <w:p>
      <w:pPr>
        <w:pStyle w:val="BodyText"/>
        <w:spacing w:before="6"/>
        <w:rPr>
          <w:sz w:val="12"/>
        </w:rPr>
      </w:pPr>
    </w:p>
    <w:p>
      <w:pPr>
        <w:spacing w:before="0"/>
        <w:ind w:left="0" w:right="38" w:firstLine="0"/>
        <w:jc w:val="right"/>
        <w:rPr>
          <w:sz w:val="12"/>
        </w:rPr>
      </w:pPr>
      <w:r>
        <w:rPr>
          <w:sz w:val="12"/>
        </w:rPr>
        <w:t>20</w:t>
      </w:r>
    </w:p>
    <w:p>
      <w:pPr>
        <w:pStyle w:val="BodyText"/>
        <w:rPr>
          <w:sz w:val="12"/>
        </w:rPr>
      </w:pPr>
    </w:p>
    <w:p>
      <w:pPr>
        <w:pStyle w:val="BodyText"/>
        <w:spacing w:before="3"/>
        <w:rPr>
          <w:sz w:val="14"/>
        </w:rPr>
      </w:pPr>
    </w:p>
    <w:p>
      <w:pPr>
        <w:spacing w:before="0"/>
        <w:ind w:left="0" w:right="38" w:firstLine="0"/>
        <w:jc w:val="right"/>
        <w:rPr>
          <w:sz w:val="12"/>
        </w:rPr>
      </w:pPr>
      <w:r>
        <w:rPr>
          <w:sz w:val="12"/>
        </w:rPr>
        <w:t>10</w:t>
      </w:r>
    </w:p>
    <w:p>
      <w:pPr>
        <w:pStyle w:val="Heading5"/>
        <w:spacing w:line="242" w:lineRule="auto" w:before="90"/>
        <w:ind w:left="185" w:right="120" w:hanging="1"/>
      </w:pPr>
      <w:r>
        <w:rPr/>
        <w:br w:type="column"/>
      </w:r>
      <w:r>
        <w:rPr>
          <w:color w:val="231F20"/>
        </w:rPr>
        <w:t>Within the aggregate, broad money growth was not uniformly strong. Deposits held by other financial institutions and the corporate sector grew strongly in 1997 Q3, but the growth rate of deposits held by the personal sector fell.</w:t>
      </w:r>
      <w:r>
        <w:rPr>
          <w:color w:val="231F20"/>
          <w:position w:val="5"/>
          <w:sz w:val="16"/>
        </w:rPr>
        <w:t>(1) </w:t>
      </w:r>
      <w:r>
        <w:rPr>
          <w:color w:val="231F20"/>
        </w:rPr>
        <w:t>An increase in M4 resulting from an increase in planned spending by individuals or companies could be a signal of higher nominal demand. But for a given level of financial wealth, a shift towards broad money from other assets could also be the result of a portfolio shift in response to changes in expected risks and returns.</w:t>
      </w:r>
    </w:p>
    <w:p>
      <w:pPr>
        <w:pStyle w:val="BodyText"/>
        <w:spacing w:before="5"/>
        <w:rPr>
          <w:sz w:val="25"/>
        </w:rPr>
      </w:pPr>
    </w:p>
    <w:p>
      <w:pPr>
        <w:pStyle w:val="Heading6"/>
        <w:spacing w:before="1"/>
        <w:ind w:left="185"/>
        <w:rPr>
          <w:i/>
        </w:rPr>
      </w:pPr>
      <w:r>
        <w:rPr>
          <w:i/>
          <w:color w:val="009483"/>
        </w:rPr>
        <w:t>Other financial institutions</w:t>
      </w:r>
    </w:p>
    <w:p>
      <w:pPr>
        <w:spacing w:line="242" w:lineRule="auto" w:before="124"/>
        <w:ind w:left="184" w:right="177" w:firstLine="0"/>
        <w:jc w:val="left"/>
        <w:rPr>
          <w:sz w:val="24"/>
        </w:rPr>
      </w:pPr>
      <w:r>
        <w:rPr>
          <w:color w:val="231F20"/>
          <w:sz w:val="24"/>
        </w:rPr>
        <w:t>OFIs’ deposits </w:t>
      </w:r>
      <w:r>
        <w:rPr>
          <w:color w:val="231F20"/>
          <w:spacing w:val="-3"/>
          <w:sz w:val="24"/>
        </w:rPr>
        <w:t>have </w:t>
      </w:r>
      <w:r>
        <w:rPr>
          <w:color w:val="231F20"/>
          <w:sz w:val="24"/>
        </w:rPr>
        <w:t>grown quickly during the past </w:t>
      </w:r>
      <w:r>
        <w:rPr>
          <w:color w:val="231F20"/>
          <w:spacing w:val="-3"/>
          <w:sz w:val="24"/>
        </w:rPr>
        <w:t>few </w:t>
      </w:r>
      <w:r>
        <w:rPr>
          <w:color w:val="231F20"/>
          <w:sz w:val="24"/>
        </w:rPr>
        <w:t>years, as Chart 2.2 shows. In the year to 1997 Q3, </w:t>
      </w:r>
      <w:r>
        <w:rPr>
          <w:color w:val="231F20"/>
          <w:spacing w:val="-4"/>
          <w:sz w:val="24"/>
        </w:rPr>
        <w:t>OFIs’ </w:t>
      </w:r>
      <w:r>
        <w:rPr>
          <w:color w:val="231F20"/>
          <w:sz w:val="24"/>
        </w:rPr>
        <w:t>deposits grew by 25.7%. The average quarterly rise in OFIs’ deposits so far this year, 26.3%, was the fastest increase since 1990.  Though OFIs’ deposits are only one fifth of all bank and building society deposits, their increase during the past </w:t>
      </w:r>
      <w:r>
        <w:rPr>
          <w:color w:val="231F20"/>
          <w:spacing w:val="-3"/>
          <w:sz w:val="24"/>
        </w:rPr>
        <w:t>year, </w:t>
      </w:r>
      <w:r>
        <w:rPr>
          <w:color w:val="231F20"/>
          <w:sz w:val="24"/>
        </w:rPr>
        <w:t>of £35.4 billion, accounted for almost half of the rise in total</w:t>
      </w:r>
      <w:r>
        <w:rPr>
          <w:color w:val="231F20"/>
          <w:spacing w:val="-1"/>
          <w:sz w:val="24"/>
        </w:rPr>
        <w:t> </w:t>
      </w:r>
      <w:r>
        <w:rPr>
          <w:color w:val="231F20"/>
          <w:sz w:val="24"/>
        </w:rPr>
        <w:t>M4.</w:t>
      </w:r>
    </w:p>
    <w:p>
      <w:pPr>
        <w:spacing w:after="0" w:line="242" w:lineRule="auto"/>
        <w:jc w:val="left"/>
        <w:rPr>
          <w:sz w:val="24"/>
        </w:rPr>
        <w:sectPr>
          <w:type w:val="continuous"/>
          <w:pgSz w:w="11880" w:h="16840"/>
          <w:pgMar w:top="1040" w:bottom="280" w:left="640" w:right="640"/>
          <w:cols w:num="3" w:equalWidth="0">
            <w:col w:w="1264" w:space="351"/>
            <w:col w:w="2119" w:space="1042"/>
            <w:col w:w="5824"/>
          </w:cols>
        </w:sectPr>
      </w:pPr>
    </w:p>
    <w:p>
      <w:pPr>
        <w:spacing w:before="78"/>
        <w:ind w:left="3526" w:right="0" w:firstLine="0"/>
        <w:jc w:val="left"/>
        <w:rPr>
          <w:sz w:val="16"/>
        </w:rPr>
      </w:pPr>
      <w:r>
        <w:rPr>
          <w:sz w:val="16"/>
        </w:rPr>
        <w:t>+</w:t>
      </w:r>
    </w:p>
    <w:p>
      <w:pPr>
        <w:spacing w:line="110" w:lineRule="exact" w:before="13"/>
        <w:ind w:left="3633" w:right="0" w:firstLine="0"/>
        <w:jc w:val="left"/>
        <w:rPr>
          <w:sz w:val="12"/>
        </w:rPr>
      </w:pPr>
      <w:r>
        <w:rPr>
          <w:sz w:val="12"/>
        </w:rPr>
        <w:t>0</w:t>
      </w:r>
    </w:p>
    <w:p>
      <w:pPr>
        <w:spacing w:line="156" w:lineRule="exact" w:before="0"/>
        <w:ind w:left="3536" w:right="0" w:firstLine="0"/>
        <w:jc w:val="left"/>
        <w:rPr>
          <w:sz w:val="16"/>
        </w:rPr>
      </w:pPr>
      <w:r>
        <w:rPr>
          <w:sz w:val="16"/>
        </w:rPr>
        <w:t>_</w:t>
      </w:r>
    </w:p>
    <w:p>
      <w:pPr>
        <w:pStyle w:val="BodyText"/>
        <w:spacing w:before="9"/>
        <w:rPr>
          <w:sz w:val="14"/>
        </w:rPr>
      </w:pPr>
    </w:p>
    <w:p>
      <w:pPr>
        <w:spacing w:before="0"/>
        <w:ind w:left="413" w:right="0" w:firstLine="0"/>
        <w:jc w:val="left"/>
        <w:rPr>
          <w:sz w:val="12"/>
        </w:rPr>
      </w:pPr>
      <w:r>
        <w:rPr/>
        <w:pict>
          <v:shape style="position:absolute;margin-left:44.150002pt;margin-top:-1.398435pt;width:165pt;height:5pt;mso-position-horizontal-relative:page;mso-position-vertical-relative:paragraph;z-index:-20997632" coordorigin="883,-28" coordsize="3300,100" path="m983,72l883,72m4183,72l4083,72m1023,72l4043,72m1023,72l1023,32m1103,72l1103,32m1173,72l1173,32m1243,72l1243,32m1323,72l1323,32m1383,72l1383,32m1453,72l1453,32m1523,72l1523,32m1603,72l1603,32m1683,72l1683,32m1753,72l1753,32m1823,72l1823,32m1883,72l1883,32m1963,72l1963,32m2033,72l2033,32m2103,72l2103,32m2183,72l2183,32m2243,72l2243,32m2313,72l2313,32m2383,72l2383,32m2463,72l2463,32m2543,72l2543,32m2613,72l2613,32m2683,72l2683,32m2743,72l2743,32m2823,72l2823,32m2893,72l2893,32m2963,72l2963,32m3043,72l3043,32m3103,72l3103,32m3183,72l3183,32m3263,72l3263,32m3323,72l3323,32m3403,72l3403,32m3473,72l3473,32m3543,72l3543,32m3603,72l3603,32m3683,72l3683,32m3753,72l3753,32m3823,72l3823,32m3903,72l3903,32m3963,72l3963,32m4043,72l4043,32m1023,72l1023,-28m1323,72l1323,-28m1603,72l1603,-28m1883,72l1883,-28m2183,72l2183,-28m2463,72l2463,-28m2743,72l2743,-28m3043,72l3043,-28m3323,72l3323,-28m3603,72l3603,-28m3903,72l3903,-28e" filled="false" stroked="true" strokeweight=".5pt" strokecolor="#000000">
            <v:path arrowok="t"/>
            <v:stroke dashstyle="solid"/>
            <w10:wrap type="none"/>
          </v:shape>
        </w:pict>
      </w:r>
      <w:r>
        <w:rPr>
          <w:sz w:val="12"/>
        </w:rPr>
        <w:t>1987 88 89 90 91 92 93 94 95 96 97 </w:t>
      </w:r>
      <w:r>
        <w:rPr>
          <w:position w:val="9"/>
          <w:sz w:val="12"/>
        </w:rPr>
        <w:t>10</w:t>
      </w:r>
    </w:p>
    <w:p>
      <w:pPr>
        <w:spacing w:before="67"/>
        <w:ind w:left="184" w:right="0" w:firstLine="0"/>
        <w:jc w:val="left"/>
        <w:rPr>
          <w:sz w:val="12"/>
        </w:rPr>
      </w:pPr>
      <w:r>
        <w:rPr>
          <w:color w:val="231F20"/>
          <w:sz w:val="12"/>
        </w:rPr>
        <w:t>Source: Bank of England.</w:t>
      </w:r>
    </w:p>
    <w:p>
      <w:pPr>
        <w:pStyle w:val="BodyText"/>
        <w:spacing w:before="3"/>
        <w:rPr>
          <w:sz w:val="25"/>
        </w:rPr>
      </w:pPr>
      <w:r>
        <w:rPr/>
        <w:br w:type="column"/>
      </w:r>
      <w:r>
        <w:rPr>
          <w:sz w:val="25"/>
        </w:rPr>
      </w:r>
    </w:p>
    <w:p>
      <w:pPr>
        <w:pStyle w:val="Heading5"/>
        <w:spacing w:line="242" w:lineRule="auto"/>
        <w:ind w:left="184" w:right="193" w:hanging="1"/>
      </w:pPr>
      <w:r>
        <w:rPr>
          <w:color w:val="231F20"/>
        </w:rPr>
        <w:t>OFIs’ demand for broad money is determined largely by portfolio considerations, rather than transactions demand. The value of OFIs’ holdings of securities has risen rapidly since the beginning of 1995, as asset prices</w:t>
      </w:r>
    </w:p>
    <w:p>
      <w:pPr>
        <w:pStyle w:val="BodyText"/>
        <w:spacing w:before="1"/>
        <w:rPr>
          <w:sz w:val="10"/>
        </w:rPr>
      </w:pPr>
      <w:r>
        <w:rPr/>
        <w:pict>
          <v:shape style="position:absolute;margin-left:278.75pt;margin-top:7.864981pt;width:277pt;height:.1pt;mso-position-horizontal-relative:page;mso-position-vertical-relative:paragraph;z-index:-15719424;mso-wrap-distance-left:0;mso-wrap-distance-right:0" coordorigin="5575,157" coordsize="5540,0" path="m5575,157l11115,157e" filled="false" stroked="true" strokeweight=".125pt" strokecolor="#231f20">
            <v:path arrowok="t"/>
            <v:stroke dashstyle="solid"/>
            <w10:wrap type="topAndBottom"/>
          </v:shape>
        </w:pict>
      </w:r>
    </w:p>
    <w:p>
      <w:pPr>
        <w:pStyle w:val="ListParagraph"/>
        <w:numPr>
          <w:ilvl w:val="0"/>
          <w:numId w:val="4"/>
        </w:numPr>
        <w:tabs>
          <w:tab w:pos="428" w:val="left" w:leader="none"/>
        </w:tabs>
        <w:spacing w:line="208" w:lineRule="auto" w:before="0" w:after="0"/>
        <w:ind w:left="427" w:right="785" w:hanging="240"/>
        <w:jc w:val="left"/>
        <w:rPr>
          <w:sz w:val="16"/>
        </w:rPr>
      </w:pPr>
      <w:r>
        <w:rPr>
          <w:color w:val="231F20"/>
          <w:sz w:val="16"/>
        </w:rPr>
        <w:t>New banking statistics returns were introduced at the end of September, bringing UK statistics into line with European System of Accounts standards. The coverage of returns and definitions of economic sectors both changed. Details of the changes were published in the September issue of </w:t>
      </w:r>
      <w:r>
        <w:rPr>
          <w:i/>
          <w:color w:val="231F20"/>
          <w:sz w:val="16"/>
        </w:rPr>
        <w:t>Bank of England: Monetary and Financial Statistics</w:t>
      </w:r>
      <w:r>
        <w:rPr>
          <w:color w:val="231F20"/>
          <w:sz w:val="16"/>
        </w:rPr>
        <w:t>. Adjustments have been made to minimise breaks in the time series of financial flows, but caution is needed in interpreting data for the latest quarter, because of the scale of changes.</w:t>
      </w:r>
    </w:p>
    <w:p>
      <w:pPr>
        <w:spacing w:after="0" w:line="208" w:lineRule="auto"/>
        <w:jc w:val="left"/>
        <w:rPr>
          <w:sz w:val="16"/>
        </w:rPr>
        <w:sectPr>
          <w:type w:val="continuous"/>
          <w:pgSz w:w="11880" w:h="16840"/>
          <w:pgMar w:top="1040" w:bottom="280" w:left="640" w:right="640"/>
          <w:cols w:num="2" w:equalWidth="0">
            <w:col w:w="3734" w:space="1043"/>
            <w:col w:w="5823"/>
          </w:cols>
        </w:sectPr>
      </w:pPr>
    </w:p>
    <w:p>
      <w:pPr>
        <w:pStyle w:val="BodyText"/>
        <w:rPr>
          <w:sz w:val="20"/>
        </w:rPr>
      </w:pPr>
    </w:p>
    <w:p>
      <w:pPr>
        <w:pStyle w:val="Heading3"/>
        <w:spacing w:before="220"/>
        <w:ind w:right="1521"/>
        <w:jc w:val="center"/>
      </w:pPr>
      <w:bookmarkStart w:name="Monetary monitoring ranges and the UK mo" w:id="12"/>
      <w:bookmarkEnd w:id="12"/>
      <w:r>
        <w:rPr>
          <w:b w:val="0"/>
        </w:rPr>
      </w:r>
      <w:bookmarkStart w:name="_bookmark6" w:id="13"/>
      <w:bookmarkEnd w:id="13"/>
      <w:r>
        <w:rPr>
          <w:b w:val="0"/>
        </w:rPr>
      </w:r>
      <w:bookmarkStart w:name="_bookmark7" w:id="14"/>
      <w:bookmarkEnd w:id="14"/>
      <w:r>
        <w:rPr>
          <w:b w:val="0"/>
        </w:rPr>
      </w:r>
      <w:r>
        <w:rPr>
          <w:color w:val="009483"/>
        </w:rPr>
        <w:t>Monetary monitoring ranges and the UK monetary framework</w:t>
      </w:r>
    </w:p>
    <w:p>
      <w:pPr>
        <w:pStyle w:val="BodyText"/>
        <w:rPr>
          <w:b/>
          <w:sz w:val="20"/>
        </w:rPr>
      </w:pPr>
    </w:p>
    <w:p>
      <w:pPr>
        <w:spacing w:after="0"/>
        <w:rPr>
          <w:sz w:val="20"/>
        </w:rPr>
        <w:sectPr>
          <w:footerReference w:type="even" r:id="rId11"/>
          <w:footerReference w:type="default" r:id="rId12"/>
          <w:pgSz w:w="11880" w:h="16840"/>
          <w:pgMar w:footer="597" w:header="566" w:top="760" w:bottom="780" w:left="640" w:right="640"/>
          <w:pgNumType w:start="8"/>
        </w:sectPr>
      </w:pPr>
    </w:p>
    <w:p>
      <w:pPr>
        <w:pStyle w:val="BodyText"/>
        <w:spacing w:before="5"/>
        <w:rPr>
          <w:b/>
          <w:sz w:val="20"/>
        </w:rPr>
      </w:pPr>
    </w:p>
    <w:p>
      <w:pPr>
        <w:pStyle w:val="Heading5"/>
        <w:ind w:left="401"/>
      </w:pPr>
      <w:r>
        <w:rPr>
          <w:color w:val="231F20"/>
        </w:rPr>
        <w:t>Money plays a fundamental role in the</w:t>
      </w:r>
    </w:p>
    <w:p>
      <w:pPr>
        <w:spacing w:line="242" w:lineRule="auto" w:before="4"/>
        <w:ind w:left="401" w:right="0" w:firstLine="0"/>
        <w:jc w:val="left"/>
        <w:rPr>
          <w:sz w:val="24"/>
        </w:rPr>
      </w:pPr>
      <w:r>
        <w:rPr>
          <w:color w:val="231F20"/>
          <w:sz w:val="24"/>
        </w:rPr>
        <w:t>Bank’s assessment of the outlook for inflation. This is because inflation is a monetary phenomenon in the long run. And the growth of monetary aggregates is a guide to actual and prospective demand in the medium and longer term.</w:t>
      </w:r>
    </w:p>
    <w:p>
      <w:pPr>
        <w:pStyle w:val="BodyText"/>
        <w:rPr>
          <w:sz w:val="28"/>
        </w:rPr>
      </w:pPr>
    </w:p>
    <w:p>
      <w:pPr>
        <w:pStyle w:val="Heading9"/>
        <w:spacing w:line="249" w:lineRule="auto" w:before="0"/>
        <w:ind w:left="402" w:right="1188"/>
      </w:pPr>
      <w:r>
        <w:rPr>
          <w:color w:val="0093C1"/>
        </w:rPr>
        <w:t>Monetary targets and monitoring ranges for M0 and M4</w:t>
      </w:r>
    </w:p>
    <w:p>
      <w:pPr>
        <w:spacing w:before="118"/>
        <w:ind w:left="402" w:right="0" w:firstLine="0"/>
        <w:jc w:val="left"/>
        <w:rPr>
          <w:i/>
          <w:sz w:val="14"/>
        </w:rPr>
      </w:pPr>
      <w:r>
        <w:rPr>
          <w:i/>
          <w:color w:val="231F20"/>
          <w:sz w:val="14"/>
        </w:rPr>
        <w:t>Outturns at end of fiscal year in italics</w:t>
      </w:r>
    </w:p>
    <w:p>
      <w:pPr>
        <w:tabs>
          <w:tab w:pos="1521" w:val="left" w:leader="none"/>
          <w:tab w:pos="2611" w:val="left" w:leader="none"/>
          <w:tab w:pos="3691" w:val="left" w:leader="none"/>
        </w:tabs>
        <w:spacing w:line="150" w:lineRule="exact" w:before="139"/>
        <w:ind w:left="402" w:right="0" w:firstLine="0"/>
        <w:jc w:val="left"/>
        <w:rPr>
          <w:sz w:val="14"/>
        </w:rPr>
      </w:pPr>
      <w:r>
        <w:rPr>
          <w:color w:val="231F20"/>
          <w:sz w:val="14"/>
        </w:rPr>
        <w:t>Fiscal</w:t>
        <w:tab/>
        <w:t>Date of</w:t>
        <w:tab/>
        <w:t>M0</w:t>
        <w:tab/>
        <w:t>M4</w:t>
      </w:r>
    </w:p>
    <w:p>
      <w:pPr>
        <w:tabs>
          <w:tab w:pos="1062" w:val="left" w:leader="none"/>
          <w:tab w:pos="1521" w:val="left" w:leader="none"/>
          <w:tab w:pos="2602" w:val="left" w:leader="none"/>
          <w:tab w:pos="3192" w:val="left" w:leader="none"/>
          <w:tab w:pos="3702" w:val="left" w:leader="none"/>
          <w:tab w:pos="4452" w:val="left" w:leader="none"/>
        </w:tabs>
        <w:spacing w:line="150" w:lineRule="exact" w:before="0"/>
        <w:ind w:left="401" w:right="0" w:firstLine="0"/>
        <w:jc w:val="left"/>
        <w:rPr>
          <w:sz w:val="14"/>
        </w:rPr>
      </w:pPr>
      <w:r>
        <w:rPr>
          <w:color w:val="231F20"/>
          <w:sz w:val="14"/>
          <w:u w:val="single" w:color="231F20"/>
        </w:rPr>
        <w:t>years</w:t>
        <w:tab/>
      </w:r>
      <w:r>
        <w:rPr>
          <w:color w:val="231F20"/>
          <w:sz w:val="14"/>
        </w:rPr>
        <w:tab/>
      </w:r>
      <w:r>
        <w:rPr>
          <w:color w:val="231F20"/>
          <w:sz w:val="14"/>
          <w:u w:val="single" w:color="231F20"/>
        </w:rPr>
        <w:t>announcement</w:t>
      </w:r>
      <w:r>
        <w:rPr>
          <w:color w:val="231F20"/>
          <w:sz w:val="14"/>
        </w:rPr>
        <w:tab/>
      </w:r>
      <w:r>
        <w:rPr>
          <w:color w:val="231F20"/>
          <w:sz w:val="14"/>
          <w:u w:val="single" w:color="231F20"/>
        </w:rPr>
        <w:t> </w:t>
        <w:tab/>
      </w:r>
      <w:r>
        <w:rPr>
          <w:color w:val="231F20"/>
          <w:sz w:val="14"/>
        </w:rPr>
        <w:tab/>
      </w:r>
      <w:r>
        <w:rPr>
          <w:color w:val="231F20"/>
          <w:sz w:val="14"/>
          <w:u w:val="single" w:color="231F20"/>
        </w:rPr>
        <w:t> </w:t>
        <w:tab/>
      </w:r>
    </w:p>
    <w:p>
      <w:pPr>
        <w:tabs>
          <w:tab w:pos="1521" w:val="left" w:leader="none"/>
          <w:tab w:pos="2611" w:val="left" w:leader="none"/>
        </w:tabs>
        <w:spacing w:line="150" w:lineRule="exact" w:before="139"/>
        <w:ind w:left="401" w:right="0" w:firstLine="0"/>
        <w:jc w:val="left"/>
        <w:rPr>
          <w:i/>
          <w:sz w:val="14"/>
        </w:rPr>
      </w:pPr>
      <w:r>
        <w:rPr>
          <w:color w:val="231F20"/>
          <w:sz w:val="14"/>
        </w:rPr>
        <w:t>1984/85</w:t>
      </w:r>
      <w:r>
        <w:rPr>
          <w:color w:val="231F20"/>
          <w:spacing w:val="-1"/>
          <w:sz w:val="14"/>
        </w:rPr>
        <w:t> </w:t>
      </w:r>
      <w:r>
        <w:rPr>
          <w:color w:val="231F20"/>
          <w:sz w:val="12"/>
        </w:rPr>
        <w:t>(a)</w:t>
        <w:tab/>
      </w:r>
      <w:r>
        <w:rPr>
          <w:color w:val="231F20"/>
          <w:sz w:val="14"/>
        </w:rPr>
        <w:t>March</w:t>
        <w:tab/>
        <w:t>4–8 </w:t>
      </w:r>
      <w:r>
        <w:rPr>
          <w:color w:val="231F20"/>
          <w:spacing w:val="35"/>
          <w:sz w:val="14"/>
        </w:rPr>
        <w:t> </w:t>
      </w:r>
      <w:r>
        <w:rPr>
          <w:i/>
          <w:color w:val="231F20"/>
          <w:sz w:val="14"/>
        </w:rPr>
        <w:t>5.6</w:t>
      </w:r>
    </w:p>
    <w:p>
      <w:pPr>
        <w:tabs>
          <w:tab w:pos="1521" w:val="left" w:leader="none"/>
          <w:tab w:pos="2611" w:val="left" w:leader="none"/>
        </w:tabs>
        <w:spacing w:line="140" w:lineRule="exact" w:before="0"/>
        <w:ind w:left="401" w:right="0" w:firstLine="0"/>
        <w:jc w:val="left"/>
        <w:rPr>
          <w:i/>
          <w:sz w:val="14"/>
        </w:rPr>
      </w:pPr>
      <w:r>
        <w:rPr>
          <w:color w:val="231F20"/>
          <w:sz w:val="14"/>
        </w:rPr>
        <w:t>1985/86</w:t>
      </w:r>
      <w:r>
        <w:rPr>
          <w:color w:val="231F20"/>
          <w:spacing w:val="-1"/>
          <w:sz w:val="14"/>
        </w:rPr>
        <w:t> </w:t>
      </w:r>
      <w:r>
        <w:rPr>
          <w:color w:val="231F20"/>
          <w:sz w:val="12"/>
        </w:rPr>
        <w:t>(a)</w:t>
        <w:tab/>
      </w:r>
      <w:r>
        <w:rPr>
          <w:color w:val="231F20"/>
          <w:sz w:val="14"/>
        </w:rPr>
        <w:t>March</w:t>
        <w:tab/>
        <w:t>3–7 </w:t>
      </w:r>
      <w:r>
        <w:rPr>
          <w:color w:val="231F20"/>
          <w:spacing w:val="35"/>
          <w:sz w:val="14"/>
        </w:rPr>
        <w:t> </w:t>
      </w:r>
      <w:r>
        <w:rPr>
          <w:i/>
          <w:color w:val="231F20"/>
          <w:sz w:val="14"/>
        </w:rPr>
        <w:t>3.9</w:t>
      </w:r>
    </w:p>
    <w:p>
      <w:pPr>
        <w:tabs>
          <w:tab w:pos="1521" w:val="left" w:leader="none"/>
          <w:tab w:pos="2611" w:val="left" w:leader="none"/>
        </w:tabs>
        <w:spacing w:line="140" w:lineRule="exact" w:before="0"/>
        <w:ind w:left="401" w:right="0" w:firstLine="0"/>
        <w:jc w:val="left"/>
        <w:rPr>
          <w:i/>
          <w:sz w:val="14"/>
        </w:rPr>
      </w:pPr>
      <w:r>
        <w:rPr>
          <w:color w:val="231F20"/>
          <w:sz w:val="14"/>
        </w:rPr>
        <w:t>1986/87</w:t>
      </w:r>
      <w:r>
        <w:rPr>
          <w:color w:val="231F20"/>
          <w:spacing w:val="-1"/>
          <w:sz w:val="14"/>
        </w:rPr>
        <w:t> </w:t>
      </w:r>
      <w:r>
        <w:rPr>
          <w:color w:val="231F20"/>
          <w:sz w:val="12"/>
        </w:rPr>
        <w:t>(a)</w:t>
        <w:tab/>
      </w:r>
      <w:r>
        <w:rPr>
          <w:color w:val="231F20"/>
          <w:sz w:val="14"/>
        </w:rPr>
        <w:t>March</w:t>
        <w:tab/>
        <w:t>2–6 </w:t>
      </w:r>
      <w:r>
        <w:rPr>
          <w:color w:val="231F20"/>
          <w:spacing w:val="35"/>
          <w:sz w:val="14"/>
        </w:rPr>
        <w:t> </w:t>
      </w:r>
      <w:r>
        <w:rPr>
          <w:i/>
          <w:color w:val="231F20"/>
          <w:sz w:val="14"/>
        </w:rPr>
        <w:t>4.0</w:t>
      </w:r>
    </w:p>
    <w:p>
      <w:pPr>
        <w:tabs>
          <w:tab w:pos="1521" w:val="left" w:leader="none"/>
          <w:tab w:pos="2611" w:val="left" w:leader="none"/>
        </w:tabs>
        <w:spacing w:line="140" w:lineRule="exact" w:before="0"/>
        <w:ind w:left="401" w:right="0" w:firstLine="0"/>
        <w:jc w:val="left"/>
        <w:rPr>
          <w:i/>
          <w:sz w:val="14"/>
        </w:rPr>
      </w:pPr>
      <w:r>
        <w:rPr>
          <w:color w:val="231F20"/>
          <w:sz w:val="14"/>
        </w:rPr>
        <w:t>1987/88</w:t>
        <w:tab/>
        <w:t>March</w:t>
        <w:tab/>
        <w:t>2–6 </w:t>
      </w:r>
      <w:r>
        <w:rPr>
          <w:color w:val="231F20"/>
          <w:spacing w:val="35"/>
          <w:sz w:val="14"/>
        </w:rPr>
        <w:t> </w:t>
      </w:r>
      <w:r>
        <w:rPr>
          <w:i/>
          <w:color w:val="231F20"/>
          <w:sz w:val="14"/>
        </w:rPr>
        <w:t>5.5</w:t>
      </w:r>
    </w:p>
    <w:p>
      <w:pPr>
        <w:tabs>
          <w:tab w:pos="1521" w:val="left" w:leader="none"/>
          <w:tab w:pos="2611" w:val="left" w:leader="none"/>
        </w:tabs>
        <w:spacing w:line="140" w:lineRule="exact" w:before="0"/>
        <w:ind w:left="401" w:right="0" w:firstLine="0"/>
        <w:jc w:val="left"/>
        <w:rPr>
          <w:i/>
          <w:sz w:val="14"/>
        </w:rPr>
      </w:pPr>
      <w:r>
        <w:rPr>
          <w:color w:val="231F20"/>
          <w:sz w:val="14"/>
        </w:rPr>
        <w:t>1988/89</w:t>
        <w:tab/>
        <w:t>March</w:t>
        <w:tab/>
        <w:t>1–5 </w:t>
      </w:r>
      <w:r>
        <w:rPr>
          <w:color w:val="231F20"/>
          <w:spacing w:val="35"/>
          <w:sz w:val="14"/>
        </w:rPr>
        <w:t> </w:t>
      </w:r>
      <w:r>
        <w:rPr>
          <w:i/>
          <w:color w:val="231F20"/>
          <w:sz w:val="14"/>
        </w:rPr>
        <w:t>6.8</w:t>
      </w:r>
    </w:p>
    <w:p>
      <w:pPr>
        <w:tabs>
          <w:tab w:pos="1521" w:val="left" w:leader="none"/>
          <w:tab w:pos="2611" w:val="left" w:leader="none"/>
        </w:tabs>
        <w:spacing w:line="140" w:lineRule="exact" w:before="0"/>
        <w:ind w:left="401" w:right="0" w:firstLine="0"/>
        <w:jc w:val="left"/>
        <w:rPr>
          <w:i/>
          <w:sz w:val="14"/>
        </w:rPr>
      </w:pPr>
      <w:r>
        <w:rPr>
          <w:color w:val="231F20"/>
          <w:sz w:val="14"/>
        </w:rPr>
        <w:t>1989/90</w:t>
        <w:tab/>
        <w:t>March</w:t>
        <w:tab/>
        <w:t>1–5 </w:t>
      </w:r>
      <w:r>
        <w:rPr>
          <w:color w:val="231F20"/>
          <w:spacing w:val="35"/>
          <w:sz w:val="14"/>
        </w:rPr>
        <w:t> </w:t>
      </w:r>
      <w:r>
        <w:rPr>
          <w:i/>
          <w:color w:val="231F20"/>
          <w:sz w:val="14"/>
        </w:rPr>
        <w:t>6.5</w:t>
      </w:r>
    </w:p>
    <w:p>
      <w:pPr>
        <w:tabs>
          <w:tab w:pos="1521" w:val="left" w:leader="none"/>
          <w:tab w:pos="2611" w:val="left" w:leader="none"/>
        </w:tabs>
        <w:spacing w:line="140" w:lineRule="exact" w:before="0"/>
        <w:ind w:left="401" w:right="0" w:firstLine="0"/>
        <w:jc w:val="left"/>
        <w:rPr>
          <w:i/>
          <w:sz w:val="14"/>
        </w:rPr>
      </w:pPr>
      <w:r>
        <w:rPr>
          <w:color w:val="231F20"/>
          <w:sz w:val="14"/>
        </w:rPr>
        <w:t>1990/91</w:t>
        <w:tab/>
        <w:t>March</w:t>
        <w:tab/>
        <w:t>1–5 </w:t>
      </w:r>
      <w:r>
        <w:rPr>
          <w:color w:val="231F20"/>
          <w:spacing w:val="35"/>
          <w:sz w:val="14"/>
        </w:rPr>
        <w:t> </w:t>
      </w:r>
      <w:r>
        <w:rPr>
          <w:i/>
          <w:color w:val="231F20"/>
          <w:sz w:val="14"/>
        </w:rPr>
        <w:t>2.7</w:t>
      </w:r>
    </w:p>
    <w:p>
      <w:pPr>
        <w:tabs>
          <w:tab w:pos="1521" w:val="left" w:leader="none"/>
          <w:tab w:pos="2611" w:val="left" w:leader="none"/>
        </w:tabs>
        <w:spacing w:line="140" w:lineRule="exact" w:before="0"/>
        <w:ind w:left="401" w:right="0" w:firstLine="0"/>
        <w:jc w:val="left"/>
        <w:rPr>
          <w:i/>
          <w:sz w:val="14"/>
        </w:rPr>
      </w:pPr>
      <w:r>
        <w:rPr>
          <w:color w:val="231F20"/>
          <w:sz w:val="14"/>
        </w:rPr>
        <w:t>1991/92</w:t>
        <w:tab/>
        <w:t>March</w:t>
        <w:tab/>
        <w:t>0–4 </w:t>
      </w:r>
      <w:r>
        <w:rPr>
          <w:color w:val="231F20"/>
          <w:spacing w:val="35"/>
          <w:sz w:val="14"/>
        </w:rPr>
        <w:t> </w:t>
      </w:r>
      <w:r>
        <w:rPr>
          <w:i/>
          <w:color w:val="231F20"/>
          <w:sz w:val="14"/>
        </w:rPr>
        <w:t>1.9</w:t>
      </w:r>
    </w:p>
    <w:p>
      <w:pPr>
        <w:tabs>
          <w:tab w:pos="1521" w:val="left" w:leader="none"/>
          <w:tab w:pos="2611" w:val="left" w:leader="none"/>
          <w:tab w:pos="3691" w:val="left" w:leader="none"/>
        </w:tabs>
        <w:spacing w:line="140" w:lineRule="exact" w:before="0"/>
        <w:ind w:left="401" w:right="0" w:firstLine="0"/>
        <w:jc w:val="left"/>
        <w:rPr>
          <w:i/>
          <w:sz w:val="14"/>
        </w:rPr>
      </w:pPr>
      <w:r>
        <w:rPr>
          <w:color w:val="231F20"/>
          <w:sz w:val="14"/>
        </w:rPr>
        <w:t>1992/93</w:t>
        <w:tab/>
        <w:t>March</w:t>
        <w:tab/>
        <w:t>0–4 </w:t>
      </w:r>
      <w:r>
        <w:rPr>
          <w:color w:val="231F20"/>
          <w:spacing w:val="35"/>
          <w:sz w:val="14"/>
        </w:rPr>
        <w:t> </w:t>
      </w:r>
      <w:r>
        <w:rPr>
          <w:i/>
          <w:color w:val="231F20"/>
          <w:sz w:val="14"/>
        </w:rPr>
        <w:t>4.6</w:t>
        <w:tab/>
      </w:r>
      <w:r>
        <w:rPr>
          <w:color w:val="231F20"/>
          <w:sz w:val="14"/>
        </w:rPr>
        <w:t>4–8 </w:t>
      </w:r>
      <w:r>
        <w:rPr>
          <w:color w:val="231F20"/>
          <w:sz w:val="12"/>
        </w:rPr>
        <w:t>(b)</w:t>
      </w:r>
      <w:r>
        <w:rPr>
          <w:color w:val="231F20"/>
          <w:spacing w:val="18"/>
          <w:sz w:val="12"/>
        </w:rPr>
        <w:t> </w:t>
      </w:r>
      <w:r>
        <w:rPr>
          <w:i/>
          <w:color w:val="231F20"/>
          <w:sz w:val="14"/>
        </w:rPr>
        <w:t>3.3</w:t>
      </w:r>
    </w:p>
    <w:p>
      <w:pPr>
        <w:tabs>
          <w:tab w:pos="1521" w:val="left" w:leader="none"/>
          <w:tab w:pos="2611" w:val="left" w:leader="none"/>
          <w:tab w:pos="3691" w:val="left" w:leader="none"/>
          <w:tab w:pos="4126" w:val="left" w:leader="none"/>
        </w:tabs>
        <w:spacing w:line="140" w:lineRule="exact" w:before="0"/>
        <w:ind w:left="402" w:right="0" w:firstLine="0"/>
        <w:jc w:val="left"/>
        <w:rPr>
          <w:i/>
          <w:sz w:val="14"/>
        </w:rPr>
      </w:pPr>
      <w:r>
        <w:rPr>
          <w:color w:val="231F20"/>
          <w:sz w:val="14"/>
        </w:rPr>
        <w:t>1993/94</w:t>
        <w:tab/>
        <w:t>March</w:t>
        <w:tab/>
        <w:t>0–4   </w:t>
      </w:r>
      <w:r>
        <w:rPr>
          <w:i/>
          <w:color w:val="231F20"/>
          <w:sz w:val="14"/>
        </w:rPr>
        <w:t>5.5</w:t>
        <w:tab/>
      </w:r>
      <w:r>
        <w:rPr>
          <w:color w:val="231F20"/>
          <w:sz w:val="14"/>
        </w:rPr>
        <w:t>3–9</w:t>
        <w:tab/>
      </w:r>
      <w:r>
        <w:rPr>
          <w:i/>
          <w:color w:val="231F20"/>
          <w:sz w:val="14"/>
        </w:rPr>
        <w:t>5.4</w:t>
      </w:r>
    </w:p>
    <w:p>
      <w:pPr>
        <w:tabs>
          <w:tab w:pos="1521" w:val="left" w:leader="none"/>
          <w:tab w:pos="2611" w:val="left" w:leader="none"/>
          <w:tab w:pos="3691" w:val="left" w:leader="none"/>
          <w:tab w:pos="4126" w:val="left" w:leader="none"/>
        </w:tabs>
        <w:spacing w:line="140" w:lineRule="exact" w:before="0"/>
        <w:ind w:left="402" w:right="0" w:firstLine="0"/>
        <w:jc w:val="left"/>
        <w:rPr>
          <w:i/>
          <w:sz w:val="14"/>
        </w:rPr>
      </w:pPr>
      <w:r>
        <w:rPr>
          <w:color w:val="231F20"/>
          <w:sz w:val="14"/>
        </w:rPr>
        <w:t>1994/95</w:t>
        <w:tab/>
        <w:t>November</w:t>
        <w:tab/>
        <w:t>0–4   </w:t>
      </w:r>
      <w:r>
        <w:rPr>
          <w:i/>
          <w:color w:val="231F20"/>
          <w:sz w:val="14"/>
        </w:rPr>
        <w:t>6.3</w:t>
        <w:tab/>
      </w:r>
      <w:r>
        <w:rPr>
          <w:color w:val="231F20"/>
          <w:sz w:val="14"/>
        </w:rPr>
        <w:t>3–9</w:t>
        <w:tab/>
      </w:r>
      <w:r>
        <w:rPr>
          <w:i/>
          <w:color w:val="231F20"/>
          <w:sz w:val="14"/>
        </w:rPr>
        <w:t>4.8</w:t>
      </w:r>
    </w:p>
    <w:p>
      <w:pPr>
        <w:tabs>
          <w:tab w:pos="1521" w:val="left" w:leader="none"/>
          <w:tab w:pos="2611" w:val="left" w:leader="none"/>
          <w:tab w:pos="3691" w:val="left" w:leader="none"/>
        </w:tabs>
        <w:spacing w:line="140" w:lineRule="exact" w:before="0"/>
        <w:ind w:left="402" w:right="0" w:firstLine="0"/>
        <w:jc w:val="left"/>
        <w:rPr>
          <w:i/>
          <w:sz w:val="14"/>
        </w:rPr>
      </w:pPr>
      <w:r>
        <w:rPr>
          <w:color w:val="231F20"/>
          <w:sz w:val="14"/>
        </w:rPr>
        <w:t>1995/96</w:t>
        <w:tab/>
        <w:t>November</w:t>
        <w:tab/>
        <w:t>0–4   </w:t>
      </w:r>
      <w:r>
        <w:rPr>
          <w:i/>
          <w:color w:val="231F20"/>
          <w:sz w:val="14"/>
        </w:rPr>
        <w:t>6.3</w:t>
        <w:tab/>
      </w:r>
      <w:r>
        <w:rPr>
          <w:color w:val="231F20"/>
          <w:sz w:val="14"/>
        </w:rPr>
        <w:t>3–9   </w:t>
      </w:r>
      <w:r>
        <w:rPr>
          <w:color w:val="231F20"/>
          <w:spacing w:val="14"/>
          <w:sz w:val="14"/>
        </w:rPr>
        <w:t> </w:t>
      </w:r>
      <w:r>
        <w:rPr>
          <w:i/>
          <w:color w:val="231F20"/>
          <w:sz w:val="14"/>
        </w:rPr>
        <w:t>10.0</w:t>
      </w:r>
    </w:p>
    <w:p>
      <w:pPr>
        <w:tabs>
          <w:tab w:pos="1521" w:val="left" w:leader="none"/>
          <w:tab w:pos="2611" w:val="left" w:leader="none"/>
          <w:tab w:pos="3691" w:val="left" w:leader="none"/>
        </w:tabs>
        <w:spacing w:line="140" w:lineRule="exact" w:before="0"/>
        <w:ind w:left="402" w:right="0" w:firstLine="0"/>
        <w:jc w:val="left"/>
        <w:rPr>
          <w:i/>
          <w:sz w:val="14"/>
        </w:rPr>
      </w:pPr>
      <w:r>
        <w:rPr>
          <w:color w:val="231F20"/>
          <w:sz w:val="14"/>
        </w:rPr>
        <w:t>1996/97</w:t>
        <w:tab/>
        <w:t>November</w:t>
        <w:tab/>
        <w:t>0–4   </w:t>
      </w:r>
      <w:r>
        <w:rPr>
          <w:i/>
          <w:color w:val="231F20"/>
          <w:sz w:val="14"/>
        </w:rPr>
        <w:t>6.4</w:t>
        <w:tab/>
      </w:r>
      <w:r>
        <w:rPr>
          <w:color w:val="231F20"/>
          <w:sz w:val="14"/>
        </w:rPr>
        <w:t>3–9   </w:t>
      </w:r>
      <w:r>
        <w:rPr>
          <w:color w:val="231F20"/>
          <w:spacing w:val="14"/>
          <w:sz w:val="14"/>
        </w:rPr>
        <w:t> </w:t>
      </w:r>
      <w:r>
        <w:rPr>
          <w:i/>
          <w:color w:val="231F20"/>
          <w:sz w:val="14"/>
        </w:rPr>
        <w:t>11.2</w:t>
      </w:r>
    </w:p>
    <w:p>
      <w:pPr>
        <w:tabs>
          <w:tab w:pos="1521" w:val="left" w:leader="none"/>
          <w:tab w:pos="2611" w:val="left" w:leader="none"/>
          <w:tab w:pos="3691" w:val="left" w:leader="none"/>
        </w:tabs>
        <w:spacing w:line="150" w:lineRule="exact" w:before="0"/>
        <w:ind w:left="402" w:right="0" w:firstLine="0"/>
        <w:jc w:val="left"/>
        <w:rPr>
          <w:sz w:val="12"/>
        </w:rPr>
      </w:pPr>
      <w:r>
        <w:rPr>
          <w:color w:val="231F20"/>
          <w:sz w:val="14"/>
        </w:rPr>
        <w:t>1997/98</w:t>
      </w:r>
      <w:r>
        <w:rPr>
          <w:color w:val="231F20"/>
          <w:spacing w:val="-1"/>
          <w:sz w:val="14"/>
        </w:rPr>
        <w:t> </w:t>
      </w:r>
      <w:r>
        <w:rPr>
          <w:color w:val="231F20"/>
          <w:sz w:val="12"/>
        </w:rPr>
        <w:t>(c)</w:t>
        <w:tab/>
      </w:r>
      <w:r>
        <w:rPr>
          <w:color w:val="231F20"/>
          <w:sz w:val="14"/>
        </w:rPr>
        <w:t>November</w:t>
        <w:tab/>
        <w:t>0–4 </w:t>
      </w:r>
      <w:r>
        <w:rPr>
          <w:color w:val="231F20"/>
          <w:spacing w:val="34"/>
          <w:sz w:val="14"/>
        </w:rPr>
        <w:t> </w:t>
      </w:r>
      <w:r>
        <w:rPr>
          <w:i/>
          <w:color w:val="231F20"/>
          <w:sz w:val="14"/>
        </w:rPr>
        <w:t>6.4</w:t>
      </w:r>
      <w:r>
        <w:rPr>
          <w:i/>
          <w:color w:val="231F20"/>
          <w:spacing w:val="-2"/>
          <w:sz w:val="14"/>
        </w:rPr>
        <w:t> </w:t>
      </w:r>
      <w:r>
        <w:rPr>
          <w:color w:val="231F20"/>
          <w:sz w:val="12"/>
        </w:rPr>
        <w:t>(d)</w:t>
        <w:tab/>
      </w:r>
      <w:r>
        <w:rPr>
          <w:color w:val="231F20"/>
          <w:sz w:val="14"/>
        </w:rPr>
        <w:t>3–9 </w:t>
      </w:r>
      <w:r>
        <w:rPr>
          <w:i/>
          <w:color w:val="231F20"/>
          <w:sz w:val="14"/>
        </w:rPr>
        <w:t>11.8</w:t>
      </w:r>
      <w:r>
        <w:rPr>
          <w:i/>
          <w:color w:val="231F20"/>
          <w:spacing w:val="-16"/>
          <w:sz w:val="14"/>
        </w:rPr>
        <w:t> </w:t>
      </w:r>
      <w:r>
        <w:rPr>
          <w:color w:val="231F20"/>
          <w:sz w:val="12"/>
        </w:rPr>
        <w:t>(d)</w:t>
      </w:r>
    </w:p>
    <w:p>
      <w:pPr>
        <w:pStyle w:val="ListParagraph"/>
        <w:numPr>
          <w:ilvl w:val="1"/>
          <w:numId w:val="4"/>
        </w:numPr>
        <w:tabs>
          <w:tab w:pos="643" w:val="left" w:leader="none"/>
        </w:tabs>
        <w:spacing w:line="129" w:lineRule="exact" w:before="118" w:after="0"/>
        <w:ind w:left="642" w:right="0" w:hanging="241"/>
        <w:jc w:val="left"/>
        <w:rPr>
          <w:sz w:val="12"/>
        </w:rPr>
      </w:pPr>
      <w:r>
        <w:rPr>
          <w:color w:val="231F20"/>
          <w:sz w:val="12"/>
        </w:rPr>
        <w:t>Targets were also set for £M3 for 1984/85–1986/87.</w:t>
      </w:r>
    </w:p>
    <w:p>
      <w:pPr>
        <w:pStyle w:val="ListParagraph"/>
        <w:numPr>
          <w:ilvl w:val="1"/>
          <w:numId w:val="4"/>
        </w:numPr>
        <w:tabs>
          <w:tab w:pos="643" w:val="left" w:leader="none"/>
        </w:tabs>
        <w:spacing w:line="208" w:lineRule="auto" w:before="5" w:after="0"/>
        <w:ind w:left="642" w:right="1108" w:hanging="240"/>
        <w:jc w:val="left"/>
        <w:rPr>
          <w:sz w:val="12"/>
        </w:rPr>
      </w:pPr>
      <w:r>
        <w:rPr>
          <w:color w:val="231F20"/>
          <w:sz w:val="12"/>
        </w:rPr>
        <w:t>The monitoring range for M4 was introduced in the Chancellor of </w:t>
      </w:r>
      <w:r>
        <w:rPr>
          <w:color w:val="231F20"/>
          <w:spacing w:val="-6"/>
          <w:sz w:val="12"/>
        </w:rPr>
        <w:t>the </w:t>
      </w:r>
      <w:r>
        <w:rPr>
          <w:color w:val="231F20"/>
          <w:sz w:val="12"/>
        </w:rPr>
        <w:t>Exchequer’s </w:t>
      </w:r>
      <w:r>
        <w:rPr>
          <w:i/>
          <w:color w:val="231F20"/>
          <w:sz w:val="12"/>
        </w:rPr>
        <w:t>Autumn Statement </w:t>
      </w:r>
      <w:r>
        <w:rPr>
          <w:color w:val="231F20"/>
          <w:sz w:val="12"/>
        </w:rPr>
        <w:t>in October</w:t>
      </w:r>
      <w:r>
        <w:rPr>
          <w:color w:val="231F20"/>
          <w:spacing w:val="-2"/>
          <w:sz w:val="12"/>
        </w:rPr>
        <w:t> </w:t>
      </w:r>
      <w:r>
        <w:rPr>
          <w:color w:val="231F20"/>
          <w:sz w:val="12"/>
        </w:rPr>
        <w:t>1992.</w:t>
      </w:r>
    </w:p>
    <w:p>
      <w:pPr>
        <w:pStyle w:val="ListParagraph"/>
        <w:numPr>
          <w:ilvl w:val="1"/>
          <w:numId w:val="4"/>
        </w:numPr>
        <w:tabs>
          <w:tab w:pos="643" w:val="left" w:leader="none"/>
        </w:tabs>
        <w:spacing w:line="114" w:lineRule="exact" w:before="0" w:after="0"/>
        <w:ind w:left="642" w:right="0" w:hanging="241"/>
        <w:jc w:val="left"/>
        <w:rPr>
          <w:sz w:val="12"/>
        </w:rPr>
      </w:pPr>
      <w:r>
        <w:rPr>
          <w:color w:val="231F20"/>
          <w:sz w:val="12"/>
        </w:rPr>
        <w:t>The monitoring ranges for M0 and M4 lapsed in May 1997.</w:t>
      </w:r>
    </w:p>
    <w:p>
      <w:pPr>
        <w:pStyle w:val="ListParagraph"/>
        <w:numPr>
          <w:ilvl w:val="1"/>
          <w:numId w:val="4"/>
        </w:numPr>
        <w:tabs>
          <w:tab w:pos="643" w:val="left" w:leader="none"/>
        </w:tabs>
        <w:spacing w:line="129" w:lineRule="exact" w:before="0" w:after="0"/>
        <w:ind w:left="642" w:right="0" w:hanging="241"/>
        <w:jc w:val="left"/>
        <w:rPr>
          <w:sz w:val="12"/>
        </w:rPr>
      </w:pPr>
      <w:r>
        <w:rPr>
          <w:color w:val="231F20"/>
          <w:sz w:val="12"/>
        </w:rPr>
        <w:t>Outturns for October and September 1997 respectively.</w:t>
      </w:r>
    </w:p>
    <w:p>
      <w:pPr>
        <w:pStyle w:val="BodyText"/>
        <w:rPr>
          <w:sz w:val="12"/>
        </w:rPr>
      </w:pPr>
    </w:p>
    <w:p>
      <w:pPr>
        <w:pStyle w:val="BodyText"/>
        <w:spacing w:before="6"/>
        <w:rPr>
          <w:sz w:val="13"/>
        </w:rPr>
      </w:pPr>
    </w:p>
    <w:p>
      <w:pPr>
        <w:pStyle w:val="Heading5"/>
        <w:spacing w:line="242" w:lineRule="auto"/>
        <w:ind w:left="401" w:right="62"/>
      </w:pPr>
      <w:r>
        <w:rPr>
          <w:color w:val="231F20"/>
        </w:rPr>
        <w:t>The role of money in the UK monetary framework has varied considerably. In the early 1980s, monetary targets were set. More recently, following the introduction of the inflation-targeting framework in October 1992, monitoring ranges were set for M0 (0%–4%) and M4 (3%–9%), designed to show what growth rates would or would not be regarded as a cause for concern.</w:t>
      </w:r>
      <w:r>
        <w:rPr>
          <w:color w:val="231F20"/>
          <w:position w:val="5"/>
          <w:sz w:val="16"/>
        </w:rPr>
        <w:t>(1) </w:t>
      </w:r>
      <w:r>
        <w:rPr>
          <w:color w:val="231F20"/>
        </w:rPr>
        <w:t>But as the table shows, monetary growth has more often than not fallen outside the target or monitoring range since 1988/89.</w:t>
      </w:r>
    </w:p>
    <w:p>
      <w:pPr>
        <w:pStyle w:val="BodyText"/>
        <w:spacing w:before="5"/>
        <w:rPr>
          <w:sz w:val="27"/>
        </w:rPr>
      </w:pPr>
    </w:p>
    <w:p>
      <w:pPr>
        <w:spacing w:line="242" w:lineRule="auto" w:before="0"/>
        <w:ind w:left="401" w:right="195" w:firstLine="0"/>
        <w:jc w:val="left"/>
        <w:rPr>
          <w:sz w:val="24"/>
        </w:rPr>
      </w:pPr>
      <w:r>
        <w:rPr>
          <w:color w:val="231F20"/>
          <w:sz w:val="24"/>
        </w:rPr>
        <w:t>As part of the decision to make the Bank operationally independent, the Government has given the Monetary Policy Committee (MPC) discretion over whether to employ intermediate targets or monitoring ranges. </w:t>
      </w:r>
      <w:r>
        <w:rPr>
          <w:color w:val="231F20"/>
          <w:spacing w:val="-5"/>
          <w:sz w:val="24"/>
        </w:rPr>
        <w:t>The </w:t>
      </w:r>
      <w:r>
        <w:rPr>
          <w:color w:val="231F20"/>
          <w:sz w:val="24"/>
        </w:rPr>
        <w:t>MPC has decided that, at present, it will not reinstate monitoring ranges, which lapsed in </w:t>
      </w:r>
      <w:r>
        <w:rPr>
          <w:color w:val="231F20"/>
          <w:spacing w:val="-5"/>
          <w:sz w:val="24"/>
        </w:rPr>
        <w:t>May.</w:t>
      </w:r>
    </w:p>
    <w:p>
      <w:pPr>
        <w:pStyle w:val="BodyText"/>
        <w:spacing w:before="6"/>
        <w:rPr>
          <w:sz w:val="20"/>
        </w:rPr>
      </w:pPr>
      <w:r>
        <w:rPr/>
        <w:br w:type="column"/>
      </w:r>
      <w:r>
        <w:rPr>
          <w:sz w:val="20"/>
        </w:rPr>
      </w:r>
    </w:p>
    <w:p>
      <w:pPr>
        <w:spacing w:line="242" w:lineRule="auto" w:before="0"/>
        <w:ind w:left="402" w:right="455" w:hanging="1"/>
        <w:jc w:val="left"/>
        <w:rPr>
          <w:sz w:val="16"/>
        </w:rPr>
      </w:pPr>
      <w:r>
        <w:rPr>
          <w:color w:val="231F20"/>
          <w:sz w:val="24"/>
        </w:rPr>
        <w:t>Money differs from other variables, in that sustained increases in the growth rate of money are invariably associated with sustained increases in inflation, whereas other variables affect inflation only in the short run. But velocity has behaved erratically in recent years. As the table shows, M4 growth has been above 9% and M0 growth has also been persistently above 4%, reflecting falling </w:t>
      </w:r>
      <w:r>
        <w:rPr>
          <w:color w:val="231F20"/>
          <w:spacing w:val="-3"/>
          <w:sz w:val="24"/>
        </w:rPr>
        <w:t>velocity. </w:t>
      </w:r>
      <w:r>
        <w:rPr>
          <w:color w:val="231F20"/>
          <w:sz w:val="24"/>
        </w:rPr>
        <w:t>In the case of M0, this may </w:t>
      </w:r>
      <w:r>
        <w:rPr>
          <w:color w:val="231F20"/>
          <w:spacing w:val="-3"/>
          <w:sz w:val="24"/>
        </w:rPr>
        <w:t>have </w:t>
      </w:r>
      <w:r>
        <w:rPr>
          <w:color w:val="231F20"/>
          <w:sz w:val="24"/>
        </w:rPr>
        <w:t>been caused by adjustment to a low-inflation environment, where individuals want to hold a higher level</w:t>
      </w:r>
      <w:r>
        <w:rPr>
          <w:color w:val="231F20"/>
          <w:spacing w:val="-19"/>
          <w:sz w:val="24"/>
        </w:rPr>
        <w:t> </w:t>
      </w:r>
      <w:r>
        <w:rPr>
          <w:color w:val="231F20"/>
          <w:spacing w:val="-8"/>
          <w:sz w:val="24"/>
        </w:rPr>
        <w:t>of </w:t>
      </w:r>
      <w:r>
        <w:rPr>
          <w:color w:val="231F20"/>
          <w:sz w:val="24"/>
        </w:rPr>
        <w:t>cash. If so, positive velocity growth could resume in due course when the adjustment is completed, because of the continuing incentive to economise on non interest bearing currency holdings.</w:t>
      </w:r>
      <w:r>
        <w:rPr>
          <w:color w:val="231F20"/>
          <w:position w:val="5"/>
          <w:sz w:val="16"/>
        </w:rPr>
        <w:t>(2)</w:t>
      </w:r>
    </w:p>
    <w:p>
      <w:pPr>
        <w:pStyle w:val="BodyText"/>
        <w:spacing w:before="8"/>
        <w:rPr>
          <w:sz w:val="22"/>
        </w:rPr>
      </w:pPr>
    </w:p>
    <w:p>
      <w:pPr>
        <w:spacing w:line="242" w:lineRule="auto" w:before="0"/>
        <w:ind w:left="401" w:right="402" w:firstLine="0"/>
        <w:jc w:val="left"/>
        <w:rPr>
          <w:sz w:val="24"/>
        </w:rPr>
      </w:pPr>
      <w:r>
        <w:rPr>
          <w:color w:val="231F20"/>
          <w:sz w:val="24"/>
        </w:rPr>
        <w:t>So although there is a clear conceptual link between money and inflation, there is currently no simple numerical link in the United Kingdom, because of uncertainty about the path of </w:t>
      </w:r>
      <w:r>
        <w:rPr>
          <w:color w:val="231F20"/>
          <w:spacing w:val="-3"/>
          <w:sz w:val="24"/>
        </w:rPr>
        <w:t>velocity. </w:t>
      </w:r>
      <w:r>
        <w:rPr>
          <w:color w:val="231F20"/>
          <w:sz w:val="24"/>
        </w:rPr>
        <w:t>Germany focuses on a target range for the M3 measure of money and, as the chart shows, its velocity has been more stable than M4 velocity in the United Kingdom. In the United States, erratic movements in velocity led the Federal Reserve Board to abandon </w:t>
      </w:r>
      <w:r>
        <w:rPr>
          <w:color w:val="231F20"/>
          <w:spacing w:val="-3"/>
          <w:sz w:val="24"/>
        </w:rPr>
        <w:t>monetary </w:t>
      </w:r>
      <w:r>
        <w:rPr>
          <w:color w:val="231F20"/>
          <w:sz w:val="24"/>
        </w:rPr>
        <w:t>targeting. But Alan Greenspan, in his Humphrey Hawkins testimony in </w:t>
      </w:r>
      <w:r>
        <w:rPr>
          <w:color w:val="231F20"/>
          <w:spacing w:val="-4"/>
          <w:sz w:val="24"/>
        </w:rPr>
        <w:t>July, </w:t>
      </w:r>
      <w:r>
        <w:rPr>
          <w:color w:val="231F20"/>
          <w:sz w:val="24"/>
        </w:rPr>
        <w:t>noted that the velocity of M2 had fluctuated in a relatively narrow range in recent years, and that ‘at some point in the future, the Federal Open Market Committee might elect to put more weight on such monetary quantities in the conduct of</w:t>
      </w:r>
      <w:r>
        <w:rPr>
          <w:color w:val="231F20"/>
          <w:spacing w:val="-1"/>
          <w:sz w:val="24"/>
        </w:rPr>
        <w:t> </w:t>
      </w:r>
      <w:r>
        <w:rPr>
          <w:color w:val="231F20"/>
          <w:sz w:val="24"/>
        </w:rPr>
        <w:t>policy’.</w:t>
      </w:r>
    </w:p>
    <w:p>
      <w:pPr>
        <w:pStyle w:val="BodyText"/>
        <w:spacing w:before="11"/>
        <w:rPr>
          <w:sz w:val="22"/>
        </w:rPr>
      </w:pPr>
    </w:p>
    <w:p>
      <w:pPr>
        <w:spacing w:line="242" w:lineRule="auto" w:before="0"/>
        <w:ind w:left="402" w:right="273" w:firstLine="0"/>
        <w:jc w:val="left"/>
        <w:rPr>
          <w:sz w:val="24"/>
        </w:rPr>
      </w:pPr>
      <w:r>
        <w:rPr>
          <w:color w:val="231F20"/>
          <w:sz w:val="24"/>
        </w:rPr>
        <w:t>The inflation-targeting approach used in the United Kingdom does, however, encompass the information from money; the monetary aggregates play an important role in the</w:t>
      </w:r>
    </w:p>
    <w:p>
      <w:pPr>
        <w:spacing w:line="242" w:lineRule="auto" w:before="5"/>
        <w:ind w:left="402" w:right="273" w:firstLine="0"/>
        <w:jc w:val="left"/>
        <w:rPr>
          <w:sz w:val="24"/>
        </w:rPr>
      </w:pPr>
      <w:r>
        <w:rPr>
          <w:color w:val="231F20"/>
          <w:sz w:val="24"/>
        </w:rPr>
        <w:t>MPC’s inflation forecast. Indeed, monitoring ranges could be confusing if, because of unpredicted changes in trend velocity, the ranges chosen turned out to be inconsistent with</w:t>
      </w:r>
    </w:p>
    <w:p>
      <w:pPr>
        <w:spacing w:after="0" w:line="242" w:lineRule="auto"/>
        <w:jc w:val="left"/>
        <w:rPr>
          <w:sz w:val="24"/>
        </w:rPr>
        <w:sectPr>
          <w:type w:val="continuous"/>
          <w:pgSz w:w="11880" w:h="16840"/>
          <w:pgMar w:top="1040" w:bottom="280" w:left="640" w:right="640"/>
          <w:cols w:num="2" w:equalWidth="0">
            <w:col w:w="5088" w:space="71"/>
            <w:col w:w="5441"/>
          </w:cols>
        </w:sectPr>
      </w:pPr>
    </w:p>
    <w:p>
      <w:pPr>
        <w:pStyle w:val="BodyText"/>
        <w:spacing w:before="2"/>
        <w:rPr>
          <w:sz w:val="11"/>
        </w:rPr>
      </w:pPr>
      <w:r>
        <w:rPr/>
        <w:pict>
          <v:group style="position:absolute;margin-left:38.560001pt;margin-top:38.990002pt;width:516.8pt;height:741.3pt;mso-position-horizontal-relative:page;mso-position-vertical-relative:page;z-index:-20995072" coordorigin="771,780" coordsize="10336,14826">
            <v:shape style="position:absolute;left:791;top:799;width:10296;height:14786" coordorigin="791,800" coordsize="10296,14786" path="m11087,800l5953,800,5925,800,791,800,791,8164,791,8221,791,15585,5925,15585,5953,15585,11087,15585,11087,8221,11087,8164,11087,800xe" filled="true" fillcolor="#c3e0dc" stroked="false">
              <v:path arrowok="t"/>
              <v:fill type="solid"/>
            </v:shape>
            <v:shape style="position:absolute;left:870;top:922;width:10137;height:14541" coordorigin="871,922" coordsize="10137,14541" path="m5939,922l871,8193,5939,15463,11007,8193,5939,922xe" filled="true" fillcolor="#c4e1dd" stroked="false">
              <v:path arrowok="t"/>
              <v:fill type="solid"/>
            </v:shape>
            <v:shape style="position:absolute;left:969;top:1064;width:9939;height:14256" coordorigin="970,1065" coordsize="9939,14256" path="m5939,1065l970,8193,5939,15320,10908,8193,5939,1065xe" filled="true" fillcolor="#c5e1dd" stroked="false">
              <v:path arrowok="t"/>
              <v:fill type="solid"/>
            </v:shape>
            <v:shape style="position:absolute;left:1069;top:1207;width:9740;height:13971" coordorigin="1069,1207" coordsize="9740,13971" path="m5939,1207l1069,8193,5939,15178,10809,8193,5939,1207xe" filled="true" fillcolor="#c6e2de" stroked="false">
              <v:path arrowok="t"/>
              <v:fill type="solid"/>
            </v:shape>
            <v:shape style="position:absolute;left:1168;top:1350;width:9541;height:13686" coordorigin="1169,1350" coordsize="9541,13686" path="m5939,1350l1169,8193,5939,15035,10709,8193,5939,1350xe" filled="true" fillcolor="#c7e2df" stroked="false">
              <v:path arrowok="t"/>
              <v:fill type="solid"/>
            </v:shape>
            <v:shape style="position:absolute;left:1268;top:1492;width:9342;height:13400" coordorigin="1268,1493" coordsize="9342,13400" path="m5939,1493l1268,8193,5939,14893,10610,8193,5939,1493xe" filled="true" fillcolor="#c8e3df" stroked="false">
              <v:path arrowok="t"/>
              <v:fill type="solid"/>
            </v:shape>
            <v:shape style="position:absolute;left:1367;top:1635;width:9144;height:13115" coordorigin="1367,1635" coordsize="9144,13115" path="m5939,1635l1367,8193,5939,14750,10511,8193,5939,1635xe" filled="true" fillcolor="#c9e3e0" stroked="false">
              <v:path arrowok="t"/>
              <v:fill type="solid"/>
            </v:shape>
            <v:shape style="position:absolute;left:1466;top:1777;width:8945;height:12830" coordorigin="1467,1778" coordsize="8945,12830" path="m5939,1778l1467,8193,5939,14607,10411,8193,5939,1778xe" filled="true" fillcolor="#cae4e0" stroked="false">
              <v:path arrowok="t"/>
              <v:fill type="solid"/>
            </v:shape>
            <v:shape style="position:absolute;left:1566;top:1920;width:8746;height:12545" coordorigin="1566,1920" coordsize="8746,12545" path="m5939,1920l1566,8193,5939,14465,10312,8193,5939,1920xe" filled="true" fillcolor="#cbe4e1" stroked="false">
              <v:path arrowok="t"/>
              <v:fill type="solid"/>
            </v:shape>
            <v:shape style="position:absolute;left:1665;top:2062;width:8547;height:12260" coordorigin="1666,2063" coordsize="8547,12260" path="m5939,2063l1666,8193,5939,14322,10212,8193,5939,2063xe" filled="true" fillcolor="#cce5e1" stroked="false">
              <v:path arrowok="t"/>
              <v:fill type="solid"/>
            </v:shape>
            <v:shape style="position:absolute;left:1764;top:2205;width:8349;height:11975" coordorigin="1765,2205" coordsize="8349,11975" path="m5939,2205l1765,8193,5939,14180,10113,8193,5939,2205xe" filled="true" fillcolor="#cde5e2" stroked="false">
              <v:path arrowok="t"/>
              <v:fill type="solid"/>
            </v:shape>
            <v:shape style="position:absolute;left:1864;top:2347;width:8150;height:11690" coordorigin="1864,2348" coordsize="8150,11690" path="m5939,2348l1864,8193,5939,14037,10014,8193,5939,2348xe" filled="true" fillcolor="#cee6e3" stroked="false">
              <v:path arrowok="t"/>
              <v:fill type="solid"/>
            </v:shape>
            <v:shape style="position:absolute;left:1963;top:2490;width:7951;height:11405" coordorigin="1964,2490" coordsize="7951,11405" path="m5939,2490l1964,8193,5939,13895,9914,8193,5939,2490xe" filled="true" fillcolor="#cfe6e3" stroked="false">
              <v:path arrowok="t"/>
              <v:fill type="solid"/>
            </v:shape>
            <v:shape style="position:absolute;left:2063;top:2632;width:7752;height:11120" coordorigin="2063,2633" coordsize="7752,11120" path="m5939,2633l2063,8193,5939,13752,9815,8193,5939,2633xe" filled="true" fillcolor="#d0e7e4" stroked="false">
              <v:path arrowok="t"/>
              <v:fill type="solid"/>
            </v:shape>
            <v:shape style="position:absolute;left:2162;top:2775;width:7554;height:10834" coordorigin="2162,2776" coordsize="7554,10834" path="m5939,2776l2162,8193,5939,13610,9716,8193,5939,2776xe" filled="true" fillcolor="#d1e7e4" stroked="false">
              <v:path arrowok="t"/>
              <v:fill type="solid"/>
            </v:shape>
            <v:shape style="position:absolute;left:2261;top:2918;width:7355;height:10549" coordorigin="2262,2918" coordsize="7355,10549" path="m5939,2918l2262,8193,5939,13467,9616,8193,5939,2918xe" filled="true" fillcolor="#d3e8e5" stroked="false">
              <v:path arrowok="t"/>
              <v:fill type="solid"/>
            </v:shape>
            <v:shape style="position:absolute;left:2361;top:3060;width:7156;height:10264" coordorigin="2361,3061" coordsize="7156,10264" path="m5939,3061l2361,8193,5939,13324,9517,8193,5939,3061xe" filled="true" fillcolor="#d4e8e5" stroked="false">
              <v:path arrowok="t"/>
              <v:fill type="solid"/>
            </v:shape>
            <v:shape style="position:absolute;left:2460;top:3203;width:6957;height:9979" coordorigin="2461,3203" coordsize="6957,9979" path="m5939,3203l2461,8193,5939,13182,9417,8193,5939,3203xe" filled="true" fillcolor="#d5e9e6" stroked="false">
              <v:path arrowok="t"/>
              <v:fill type="solid"/>
            </v:shape>
            <v:shape style="position:absolute;left:2560;top:3345;width:6758;height:9694" coordorigin="2560,3346" coordsize="6758,9694" path="m5939,3346l2560,8193,5939,13039,9318,8193,5939,3346xe" filled="true" fillcolor="#d6eae7" stroked="false">
              <v:path arrowok="t"/>
              <v:fill type="solid"/>
            </v:shape>
            <v:shape style="position:absolute;left:2659;top:3488;width:6560;height:9409" coordorigin="2659,3488" coordsize="6560,9409" path="m5939,3488l2659,8193,5939,12897,9219,8193,5939,3488xe" filled="true" fillcolor="#d7eae7" stroked="false">
              <v:path arrowok="t"/>
              <v:fill type="solid"/>
            </v:shape>
            <v:shape style="position:absolute;left:2758;top:3630;width:6361;height:9124" coordorigin="2759,3631" coordsize="6361,9124" path="m5939,3631l2759,8193,5939,12754,9119,8193,5939,3631xe" filled="true" fillcolor="#d8ebe8" stroked="false">
              <v:path arrowok="t"/>
              <v:fill type="solid"/>
            </v:shape>
            <v:shape style="position:absolute;left:2858;top:3773;width:6162;height:8839" coordorigin="2858,3773" coordsize="6162,8839" path="m5939,3773l2858,8193,5939,12612,9020,8193,5939,3773xe" filled="true" fillcolor="#d9ebe8" stroked="false">
              <v:path arrowok="t"/>
              <v:fill type="solid"/>
            </v:shape>
            <v:shape style="position:absolute;left:2957;top:3915;width:5963;height:8554" coordorigin="2958,3916" coordsize="5963,8554" path="m5939,3916l2958,8193,5939,12469,8920,8193,5939,3916xe" filled="true" fillcolor="#daece9" stroked="false">
              <v:path arrowok="t"/>
              <v:fill type="solid"/>
            </v:shape>
            <v:shape style="position:absolute;left:3056;top:4058;width:5765;height:8269" coordorigin="3057,4058" coordsize="5765,8269" path="m5939,4058l3057,8193,5939,12327,8821,8193,5939,4058xe" filled="true" fillcolor="#dbece9" stroked="false">
              <v:path arrowok="t"/>
              <v:fill type="solid"/>
            </v:shape>
            <v:shape style="position:absolute;left:3156;top:4201;width:5566;height:7983" coordorigin="3156,4201" coordsize="5566,7983" path="m5939,4201l3156,8193,5939,12184,8722,8193,5939,4201xe" filled="true" fillcolor="#dcedea" stroked="false">
              <v:path arrowok="t"/>
              <v:fill type="solid"/>
            </v:shape>
            <v:shape style="position:absolute;left:3255;top:4343;width:5367;height:7698" coordorigin="3256,4344" coordsize="5367,7698" path="m5939,4344l3256,8193,5939,12041,8622,8193,5939,4344xe" filled="true" fillcolor="#ddedeb" stroked="false">
              <v:path arrowok="t"/>
              <v:fill type="solid"/>
            </v:shape>
            <v:shape style="position:absolute;left:3355;top:4486;width:5168;height:7413" coordorigin="3355,4486" coordsize="5168,7413" path="m5939,4486l3355,8193,5939,11899,8523,8193,5939,4486xe" filled="true" fillcolor="#deeeeb" stroked="false">
              <v:path arrowok="t"/>
              <v:fill type="solid"/>
            </v:shape>
            <v:shape style="position:absolute;left:3454;top:4628;width:4970;height:7128" coordorigin="3454,4629" coordsize="4970,7128" path="m5939,4629l3454,8193,5939,11756,8424,8193,5939,4629xe" filled="true" fillcolor="#e0efec" stroked="false">
              <v:path arrowok="t"/>
              <v:fill type="solid"/>
            </v:shape>
            <v:shape style="position:absolute;left:3553;top:4771;width:4771;height:6843" coordorigin="3554,4771" coordsize="4771,6843" path="m5939,4771l3554,8193,5939,11614,8324,8193,5939,4771xe" filled="true" fillcolor="#e1efec" stroked="false">
              <v:path arrowok="t"/>
              <v:fill type="solid"/>
            </v:shape>
            <v:shape style="position:absolute;left:3653;top:4913;width:4572;height:6558" coordorigin="3653,4914" coordsize="4572,6558" path="m5939,4914l3653,8193,5939,11471,8225,8193,5939,4914xe" filled="true" fillcolor="#e2f0ed" stroked="false">
              <v:path arrowok="t"/>
              <v:fill type="solid"/>
            </v:shape>
            <v:shape style="position:absolute;left:3752;top:5056;width:4373;height:6273" coordorigin="3753,5056" coordsize="4373,6273" path="m5939,5056l3753,8193,5939,11329,8125,8193,5939,5056xe" filled="true" fillcolor="#e3f0ee" stroked="false">
              <v:path arrowok="t"/>
              <v:fill type="solid"/>
            </v:shape>
            <v:shape style="position:absolute;left:3851;top:5198;width:4175;height:5988" coordorigin="3852,5199" coordsize="4175,5988" path="m5939,5199l3852,8193,5939,11186,8026,8193,5939,5199xe" filled="true" fillcolor="#e4f1ee" stroked="false">
              <v:path arrowok="t"/>
              <v:fill type="solid"/>
            </v:shape>
            <v:shape style="position:absolute;left:3951;top:5341;width:3976;height:5703" coordorigin="3951,5341" coordsize="3976,5703" path="m5939,5341l3951,8193,5939,11044,7927,8193,5939,5341xe" filled="true" fillcolor="#e5f1ef" stroked="false">
              <v:path arrowok="t"/>
              <v:fill type="solid"/>
            </v:shape>
            <v:shape style="position:absolute;left:4050;top:5484;width:3777;height:5417" coordorigin="4051,5484" coordsize="3777,5417" path="m5939,5484l4051,8193,5939,10901,7827,8193,5939,5484xe" filled="true" fillcolor="#e6f2ef" stroked="false">
              <v:path arrowok="t"/>
              <v:fill type="solid"/>
            </v:shape>
            <v:shape style="position:absolute;left:4150;top:5626;width:3578;height:5132" coordorigin="4150,5627" coordsize="3578,5132" path="m5939,5627l4150,8193,5939,10758,7728,8193,5939,5627xe" filled="true" fillcolor="#e7f3f0" stroked="false">
              <v:path arrowok="t"/>
              <v:fill type="solid"/>
            </v:shape>
            <v:shape style="position:absolute;left:4249;top:5769;width:3379;height:4847" coordorigin="4249,5769" coordsize="3379,4847" path="m5939,5769l4249,8193,5939,10616,7628,8193,5939,5769xe" filled="true" fillcolor="#e9f3f1" stroked="false">
              <v:path arrowok="t"/>
              <v:fill type="solid"/>
            </v:shape>
            <v:shape style="position:absolute;left:4348;top:5911;width:3181;height:4562" coordorigin="4349,5912" coordsize="3181,4562" path="m5939,5912l4349,8193,5939,10473,7529,8193,5939,5912xe" filled="true" fillcolor="#eaf4f2" stroked="false">
              <v:path arrowok="t"/>
              <v:fill type="solid"/>
            </v:shape>
            <v:shape style="position:absolute;left:4448;top:6054;width:2982;height:4277" coordorigin="4448,6054" coordsize="2982,4277" path="m5939,6054l4448,8193,5939,10331,7430,8193,5939,6054xe" filled="true" fillcolor="#ebf4f2" stroked="false">
              <v:path arrowok="t"/>
              <v:fill type="solid"/>
            </v:shape>
            <v:shape style="position:absolute;left:4547;top:6196;width:2783;height:3992" coordorigin="4548,6197" coordsize="2783,3992" path="m5939,6197l4548,8193,5939,10188,7330,8193,5939,6197xe" filled="true" fillcolor="#ecf5f3" stroked="false">
              <v:path arrowok="t"/>
              <v:fill type="solid"/>
            </v:shape>
            <v:shape style="position:absolute;left:4647;top:6339;width:2584;height:3707" coordorigin="4647,6339" coordsize="2584,3707" path="m5939,6339l4647,8193,5939,10046,7231,8193,5939,6339xe" filled="true" fillcolor="#edf6f4" stroked="false">
              <v:path arrowok="t"/>
              <v:fill type="solid"/>
            </v:shape>
            <v:shape style="position:absolute;left:4746;top:6481;width:2386;height:3422" coordorigin="4746,6482" coordsize="2386,3422" path="m5939,6482l4746,8193,5939,9903,7132,8193,5939,6482xe" filled="true" fillcolor="#eff7f5" stroked="false">
              <v:path arrowok="t"/>
              <v:fill type="solid"/>
            </v:shape>
            <v:shape style="position:absolute;left:4845;top:6624;width:2187;height:3137" coordorigin="4846,6624" coordsize="2187,3137" path="m5939,6624l4846,8193,5939,9761,7032,8193,5939,6624xe" filled="true" fillcolor="#f0f7f5" stroked="false">
              <v:path arrowok="t"/>
              <v:fill type="solid"/>
            </v:shape>
            <v:shape style="position:absolute;left:4945;top:6767;width:1988;height:2852" coordorigin="4945,6767" coordsize="1988,2852" path="m5939,6767l4945,8193,5939,9618,6933,8193,5939,6767xe" filled="true" fillcolor="#f1f8f6" stroked="false">
              <v:path arrowok="t"/>
              <v:fill type="solid"/>
            </v:shape>
            <v:shape style="position:absolute;left:5044;top:6909;width:1789;height:2566" coordorigin="5045,6910" coordsize="1789,2566" path="m5939,6910l5045,8193,5939,9476,6833,8193,5939,6910xe" filled="true" fillcolor="#f2f8f7" stroked="false">
              <v:path arrowok="t"/>
              <v:fill type="solid"/>
            </v:shape>
            <v:shape style="position:absolute;left:5143;top:7052;width:1591;height:2281" coordorigin="5144,7052" coordsize="1591,2281" path="m5939,7052l5144,8193,5939,9333,6734,8193,5939,7052xe" filled="true" fillcolor="#f3f9f8" stroked="false">
              <v:path arrowok="t"/>
              <v:fill type="solid"/>
            </v:shape>
            <v:shape style="position:absolute;left:5243;top:7194;width:1392;height:1996" coordorigin="5243,7195" coordsize="1392,1996" path="m5939,7195l5243,8193,5939,9190,6635,8193,5939,7195xe" filled="true" fillcolor="#f5f9f8" stroked="false">
              <v:path arrowok="t"/>
              <v:fill type="solid"/>
            </v:shape>
            <v:shape style="position:absolute;left:5342;top:7337;width:1193;height:1711" coordorigin="5343,7337" coordsize="1193,1711" path="m5939,7337l5343,8193,5939,9048,6535,8193,5939,7337xe" filled="true" fillcolor="#f6faf9" stroked="false">
              <v:path arrowok="t"/>
              <v:fill type="solid"/>
            </v:shape>
            <v:shape style="position:absolute;left:5442;top:7479;width:994;height:1426" coordorigin="5442,7480" coordsize="994,1426" path="m5939,7480l5442,8193,5939,8905,6436,8193,5939,7480xe" filled="true" fillcolor="#f8fbfa" stroked="false">
              <v:path arrowok="t"/>
              <v:fill type="solid"/>
            </v:shape>
            <v:shape style="position:absolute;left:5541;top:7622;width:796;height:1141" coordorigin="5541,7622" coordsize="796,1141" path="m5939,7622l5541,8193,5939,8763,6337,8193,5939,7622xe" filled="true" fillcolor="#f9fcfc" stroked="false">
              <v:path arrowok="t"/>
              <v:fill type="solid"/>
            </v:shape>
            <v:shape style="position:absolute;left:5640;top:7764;width:597;height:856" coordorigin="5641,7765" coordsize="597,856" path="m5939,7765l5641,8193,5939,8620,6237,8193,5939,7765xe" filled="true" fillcolor="#fbfdfd" stroked="false">
              <v:path arrowok="t"/>
              <v:fill type="solid"/>
            </v:shape>
            <v:shape style="position:absolute;left:5740;top:7907;width:398;height:571" coordorigin="5740,7907" coordsize="398,571" path="m5939,7907l5740,8193,5939,8478,6138,8193,5939,7907xe" filled="true" fillcolor="#fdfefe" stroked="false">
              <v:path arrowok="t"/>
              <v:fill type="solid"/>
            </v:shape>
            <v:shape style="position:absolute;left:5839;top:8049;width:199;height:286" coordorigin="5840,8050" coordsize="199,286" path="m5939,8050l5840,8193,5939,8335,6038,8193,5939,8050xe" filled="true" fillcolor="#ffffff" stroked="false">
              <v:path arrowok="t"/>
              <v:fill type="solid"/>
            </v:shape>
            <v:rect style="position:absolute;left:781;top:789;width:10316;height:14806" filled="false" stroked="true" strokeweight="1pt" strokecolor="#009483">
              <v:stroke dashstyle="solid"/>
            </v:rect>
            <v:rect style="position:absolute;left:1022;top:4305;width:4242;height:4200" filled="true" fillcolor="#ffffff" stroked="false">
              <v:fill type="solid"/>
            </v:rect>
            <v:shape style="position:absolute;left:1005;top:4300;width:9875;height:10450" coordorigin="1005,4300" coordsize="9875,10450" path="m1010,14750l10880,14750m1020,4300l5275,4300m1005,8512l5270,8512e" filled="false" stroked="true" strokeweight=".125pt" strokecolor="#231f20">
              <v:path arrowok="t"/>
              <v:stroke dashstyle="solid"/>
            </v:shape>
            <w10:wrap type="none"/>
          </v:group>
        </w:pict>
      </w:r>
    </w:p>
    <w:p>
      <w:pPr>
        <w:pStyle w:val="ListParagraph"/>
        <w:numPr>
          <w:ilvl w:val="2"/>
          <w:numId w:val="4"/>
        </w:numPr>
        <w:tabs>
          <w:tab w:pos="642" w:val="left" w:leader="none"/>
        </w:tabs>
        <w:spacing w:line="172" w:lineRule="exact" w:before="93" w:after="0"/>
        <w:ind w:left="641" w:right="0" w:hanging="241"/>
        <w:jc w:val="left"/>
        <w:rPr>
          <w:sz w:val="16"/>
        </w:rPr>
      </w:pPr>
      <w:r>
        <w:rPr>
          <w:color w:val="231F20"/>
          <w:sz w:val="16"/>
        </w:rPr>
        <w:t>See </w:t>
      </w:r>
      <w:r>
        <w:rPr>
          <w:i/>
          <w:color w:val="231F20"/>
          <w:sz w:val="16"/>
        </w:rPr>
        <w:t>Financial Statement and Budget Report </w:t>
      </w:r>
      <w:r>
        <w:rPr>
          <w:color w:val="231F20"/>
          <w:sz w:val="16"/>
        </w:rPr>
        <w:t>for the years 1993/94 to 1997/98 (November 1996</w:t>
      </w:r>
      <w:r>
        <w:rPr>
          <w:color w:val="231F20"/>
          <w:spacing w:val="-1"/>
          <w:sz w:val="16"/>
        </w:rPr>
        <w:t> </w:t>
      </w:r>
      <w:r>
        <w:rPr>
          <w:color w:val="231F20"/>
          <w:sz w:val="16"/>
        </w:rPr>
        <w:t>edition).</w:t>
      </w:r>
    </w:p>
    <w:p>
      <w:pPr>
        <w:pStyle w:val="ListParagraph"/>
        <w:numPr>
          <w:ilvl w:val="2"/>
          <w:numId w:val="4"/>
        </w:numPr>
        <w:tabs>
          <w:tab w:pos="642" w:val="left" w:leader="none"/>
        </w:tabs>
        <w:spacing w:line="208" w:lineRule="auto" w:before="8" w:after="0"/>
        <w:ind w:left="641" w:right="3407" w:hanging="240"/>
        <w:jc w:val="left"/>
        <w:rPr>
          <w:sz w:val="16"/>
        </w:rPr>
      </w:pPr>
      <w:r>
        <w:rPr>
          <w:color w:val="231F20"/>
          <w:sz w:val="16"/>
        </w:rPr>
        <w:t>The uncertainty of narrow money velocity is discussed in Janssen, N (1996), ‘Can we explain the </w:t>
      </w:r>
      <w:r>
        <w:rPr>
          <w:color w:val="231F20"/>
          <w:spacing w:val="-4"/>
          <w:sz w:val="16"/>
        </w:rPr>
        <w:t>shift </w:t>
      </w:r>
      <w:r>
        <w:rPr>
          <w:color w:val="231F20"/>
          <w:sz w:val="16"/>
        </w:rPr>
        <w:t>in M0 velocity? Some time-series and cross-section evidence’, </w:t>
      </w:r>
      <w:r>
        <w:rPr>
          <w:i/>
          <w:color w:val="231F20"/>
          <w:sz w:val="16"/>
        </w:rPr>
        <w:t>Quarterly Bulletin</w:t>
      </w:r>
      <w:r>
        <w:rPr>
          <w:color w:val="231F20"/>
          <w:sz w:val="16"/>
        </w:rPr>
        <w:t>,</w:t>
      </w:r>
      <w:r>
        <w:rPr>
          <w:color w:val="231F20"/>
          <w:spacing w:val="-2"/>
          <w:sz w:val="16"/>
        </w:rPr>
        <w:t> </w:t>
      </w:r>
      <w:r>
        <w:rPr>
          <w:color w:val="231F20"/>
          <w:sz w:val="16"/>
        </w:rPr>
        <w:t>February,</w:t>
      </w:r>
    </w:p>
    <w:p>
      <w:pPr>
        <w:spacing w:line="164" w:lineRule="exact" w:before="0"/>
        <w:ind w:left="641" w:right="0" w:firstLine="0"/>
        <w:jc w:val="left"/>
        <w:rPr>
          <w:sz w:val="16"/>
        </w:rPr>
      </w:pPr>
      <w:r>
        <w:rPr>
          <w:color w:val="231F20"/>
          <w:sz w:val="16"/>
        </w:rPr>
        <w:t>pages 39–50.</w:t>
      </w:r>
    </w:p>
    <w:p>
      <w:pPr>
        <w:spacing w:after="0" w:line="164" w:lineRule="exact"/>
        <w:jc w:val="left"/>
        <w:rPr>
          <w:sz w:val="16"/>
        </w:rPr>
        <w:sectPr>
          <w:type w:val="continuous"/>
          <w:pgSz w:w="11880" w:h="16840"/>
          <w:pgMar w:top="1040" w:bottom="280" w:left="640" w:right="640"/>
        </w:sectPr>
      </w:pPr>
    </w:p>
    <w:p>
      <w:pPr>
        <w:pStyle w:val="BodyText"/>
        <w:rPr>
          <w:sz w:val="20"/>
        </w:rPr>
      </w:pPr>
    </w:p>
    <w:p>
      <w:pPr>
        <w:spacing w:after="0"/>
        <w:rPr>
          <w:sz w:val="20"/>
        </w:rPr>
        <w:sectPr>
          <w:pgSz w:w="11880" w:h="16840"/>
          <w:pgMar w:header="566" w:footer="597" w:top="760" w:bottom="780" w:left="640" w:right="640"/>
        </w:sectPr>
      </w:pPr>
    </w:p>
    <w:p>
      <w:pPr>
        <w:pStyle w:val="BodyText"/>
        <w:spacing w:before="4"/>
        <w:rPr>
          <w:sz w:val="20"/>
        </w:rPr>
      </w:pPr>
    </w:p>
    <w:p>
      <w:pPr>
        <w:pStyle w:val="Heading5"/>
        <w:spacing w:line="242" w:lineRule="auto" w:before="1"/>
        <w:ind w:left="424" w:right="17" w:hanging="1"/>
      </w:pPr>
      <w:r>
        <w:rPr/>
        <w:pict>
          <v:group style="position:absolute;margin-left:39.230pt;margin-top:-22.526894pt;width:517.3pt;height:343.6pt;mso-position-horizontal-relative:page;mso-position-vertical-relative:paragraph;z-index:-20994560" coordorigin="785,-451" coordsize="10346,6872">
            <v:shape style="position:absolute;left:804;top:-431;width:10306;height:6833" coordorigin="805,-431" coordsize="10306,6833" path="m11110,-431l5988,-431,5927,-431,805,-431,805,2972,805,2999,805,6401,5927,6401,5987,6401,11110,6401,11110,2999,11110,2972,11110,-431xe" filled="true" fillcolor="#c3e0dc" stroked="false">
              <v:path arrowok="t"/>
              <v:fill type="solid"/>
            </v:shape>
            <v:shape style="position:absolute;left:884;top:-385;width:10147;height:6740" coordorigin="884,-385" coordsize="10147,6740" path="m5957,-385l884,2985,5957,6355,11031,2985,5957,-385xe" filled="true" fillcolor="#c4e1dd" stroked="false">
              <v:path arrowok="t"/>
              <v:fill type="solid"/>
            </v:shape>
            <v:shape style="position:absolute;left:983;top:-319;width:9948;height:6608" coordorigin="984,-318" coordsize="9948,6608" path="m5957,-318l984,2985,5957,6289,10931,2985,5957,-318xe" filled="true" fillcolor="#c5e1dd" stroked="false">
              <v:path arrowok="t"/>
              <v:fill type="solid"/>
            </v:shape>
            <v:shape style="position:absolute;left:1083;top:-253;width:9749;height:6476" coordorigin="1083,-252" coordsize="9749,6476" path="m5957,-252l1083,2985,5957,6223,10832,2985,5957,-252xe" filled="true" fillcolor="#c6e2de" stroked="false">
              <v:path arrowok="t"/>
              <v:fill type="solid"/>
            </v:shape>
            <v:shape style="position:absolute;left:1182;top:-187;width:9550;height:6344" coordorigin="1183,-186" coordsize="9550,6344" path="m5957,-186l1183,2985,5957,6157,10732,2985,5957,-186xe" filled="true" fillcolor="#c7e2df" stroked="false">
              <v:path arrowok="t"/>
              <v:fill type="solid"/>
            </v:shape>
            <v:shape style="position:absolute;left:1282;top:-121;width:9351;height:6212" coordorigin="1282,-120" coordsize="9351,6212" path="m5957,-120l1282,2985,5957,6091,10633,2985,5957,-120xe" filled="true" fillcolor="#c8e3df" stroked="false">
              <v:path arrowok="t"/>
              <v:fill type="solid"/>
            </v:shape>
            <v:shape style="position:absolute;left:1381;top:-55;width:9152;height:6080" coordorigin="1382,-54" coordsize="9152,6080" path="m5957,-54l1382,2985,5957,6025,10533,2985,5957,-54xe" filled="true" fillcolor="#c9e3e0" stroked="false">
              <v:path arrowok="t"/>
              <v:fill type="solid"/>
            </v:shape>
            <v:shape style="position:absolute;left:1481;top:11;width:8953;height:5947" coordorigin="1481,12" coordsize="8953,5947" path="m5957,12l1481,2985,5957,5959,10434,2985,5957,12xe" filled="true" fillcolor="#cae4e0" stroked="false">
              <v:path arrowok="t"/>
              <v:fill type="solid"/>
            </v:shape>
            <v:shape style="position:absolute;left:1580;top:77;width:8754;height:5815" coordorigin="1580,78" coordsize="8754,5815" path="m5957,78l1580,2985,5957,5893,10334,2985,5957,78xe" filled="true" fillcolor="#cbe4e1" stroked="false">
              <v:path arrowok="t"/>
              <v:fill type="solid"/>
            </v:shape>
            <v:shape style="position:absolute;left:1679;top:144;width:8555;height:5683" coordorigin="1680,144" coordsize="8555,5683" path="m5957,144l1680,2985,5957,5827,10235,2985,5957,144xe" filled="true" fillcolor="#cce5e1" stroked="false">
              <v:path arrowok="t"/>
              <v:fill type="solid"/>
            </v:shape>
            <v:shape style="position:absolute;left:1779;top:210;width:8356;height:5551" coordorigin="1779,210" coordsize="8356,5551" path="m5957,210l1779,2985,5957,5761,10135,2985,5957,210xe" filled="true" fillcolor="#cde5e2" stroked="false">
              <v:path arrowok="t"/>
              <v:fill type="solid"/>
            </v:shape>
            <v:shape style="position:absolute;left:1878;top:276;width:8157;height:5419" coordorigin="1879,276" coordsize="8157,5419" path="m5957,276l1879,2985,5957,5695,10036,2985,5957,276xe" filled="true" fillcolor="#cee6e3" stroked="false">
              <v:path arrowok="t"/>
              <v:fill type="solid"/>
            </v:shape>
            <v:shape style="position:absolute;left:1978;top:342;width:7959;height:5287" coordorigin="1978,342" coordsize="7959,5287" path="m5957,342l1978,2985,5957,5628,9936,2985,5957,342xe" filled="true" fillcolor="#cfe6e3" stroked="false">
              <v:path arrowok="t"/>
              <v:fill type="solid"/>
            </v:shape>
            <v:shape style="position:absolute;left:2077;top:408;width:7760;height:5155" coordorigin="2078,408" coordsize="7760,5155" path="m5957,408l2078,2985,5957,5562,9837,2985,5957,408xe" filled="true" fillcolor="#d0e7e4" stroked="false">
              <v:path arrowok="t"/>
              <v:fill type="solid"/>
            </v:shape>
            <v:shape style="position:absolute;left:2177;top:474;width:7561;height:5022" coordorigin="2177,474" coordsize="7561,5022" path="m5957,474l2177,2985,5957,5496,9737,2985,5957,474xe" filled="true" fillcolor="#d1e7e4" stroked="false">
              <v:path arrowok="t"/>
              <v:fill type="solid"/>
            </v:shape>
            <v:shape style="position:absolute;left:2276;top:540;width:7362;height:4890" coordorigin="2277,541" coordsize="7362,4890" path="m5957,541l2277,2985,5957,5430,9638,2985,5957,541xe" filled="true" fillcolor="#d3e8e5" stroked="false">
              <v:path arrowok="t"/>
              <v:fill type="solid"/>
            </v:shape>
            <v:shape style="position:absolute;left:2376;top:606;width:7163;height:4758" coordorigin="2376,607" coordsize="7163,4758" path="m5957,607l2376,2985,5957,5364,9539,2985,5957,607xe" filled="true" fillcolor="#d4e8e5" stroked="false">
              <v:path arrowok="t"/>
              <v:fill type="solid"/>
            </v:shape>
            <v:shape style="position:absolute;left:2475;top:672;width:6964;height:4626" coordorigin="2476,673" coordsize="6964,4626" path="m5957,673l2476,2985,5957,5298,9439,2985,5957,673xe" filled="true" fillcolor="#d5e9e6" stroked="false">
              <v:path arrowok="t"/>
              <v:fill type="solid"/>
            </v:shape>
            <v:shape style="position:absolute;left:2575;top:738;width:6765;height:4494" coordorigin="2575,739" coordsize="6765,4494" path="m5957,739l2575,2985,5957,5232,9340,2985,5957,739xe" filled="true" fillcolor="#d6eae7" stroked="false">
              <v:path arrowok="t"/>
              <v:fill type="solid"/>
            </v:shape>
            <v:shape style="position:absolute;left:2674;top:804;width:6566;height:4362" coordorigin="2675,805" coordsize="6566,4362" path="m5957,805l2675,2985,5957,5166,9240,2985,5957,805xe" filled="true" fillcolor="#d7eae7" stroked="false">
              <v:path arrowok="t"/>
              <v:fill type="solid"/>
            </v:shape>
            <v:shape style="position:absolute;left:2774;top:870;width:6367;height:4229" coordorigin="2774,871" coordsize="6367,4229" path="m5957,871l2774,2985,5957,5100,9141,2985,5957,871xe" filled="true" fillcolor="#d8ebe8" stroked="false">
              <v:path arrowok="t"/>
              <v:fill type="solid"/>
            </v:shape>
            <v:shape style="position:absolute;left:2873;top:936;width:6168;height:4097" coordorigin="2874,937" coordsize="6168,4097" path="m5957,937l2874,2985,5957,5034,9041,2985,5957,937xe" filled="true" fillcolor="#d9ebe8" stroked="false">
              <v:path arrowok="t"/>
              <v:fill type="solid"/>
            </v:shape>
            <v:shape style="position:absolute;left:2973;top:1003;width:5969;height:3965" coordorigin="2973,1003" coordsize="5969,3965" path="m5957,1003l2973,2985,5957,4968,8942,2985,5957,1003xe" filled="true" fillcolor="#daece9" stroked="false">
              <v:path arrowok="t"/>
              <v:fill type="solid"/>
            </v:shape>
            <v:shape style="position:absolute;left:3072;top:1069;width:5770;height:3833" coordorigin="3073,1069" coordsize="5770,3833" path="m5957,1069l3073,2985,5957,4902,8842,2985,5957,1069xe" filled="true" fillcolor="#dbece9" stroked="false">
              <v:path arrowok="t"/>
              <v:fill type="solid"/>
            </v:shape>
            <v:shape style="position:absolute;left:3172;top:1135;width:5571;height:3701" coordorigin="3172,1135" coordsize="5571,3701" path="m5957,1135l3172,2985,5957,4836,8743,2985,5957,1135xe" filled="true" fillcolor="#dcedea" stroked="false">
              <v:path arrowok="t"/>
              <v:fill type="solid"/>
            </v:shape>
            <v:shape style="position:absolute;left:3271;top:1201;width:5372;height:3569" coordorigin="3272,1201" coordsize="5372,3569" path="m5957,1201l3272,2985,5957,4769,8643,2985,5957,1201xe" filled="true" fillcolor="#ddedeb" stroked="false">
              <v:path arrowok="t"/>
              <v:fill type="solid"/>
            </v:shape>
            <v:shape style="position:absolute;left:3371;top:1267;width:5173;height:3437" coordorigin="3371,1267" coordsize="5173,3437" path="m5957,1267l3371,2985,5957,4703,8544,2985,5957,1267xe" filled="true" fillcolor="#deeeeb" stroked="false">
              <v:path arrowok="t"/>
              <v:fill type="solid"/>
            </v:shape>
            <v:shape style="position:absolute;left:3470;top:1333;width:4974;height:3304" coordorigin="3470,1333" coordsize="4974,3304" path="m5957,1333l3470,2985,5957,4637,8444,2985,5957,1333xe" filled="true" fillcolor="#e0efec" stroked="false">
              <v:path arrowok="t"/>
              <v:fill type="solid"/>
            </v:shape>
            <v:shape style="position:absolute;left:3569;top:1399;width:4775;height:3172" coordorigin="3570,1400" coordsize="4775,3172" path="m5957,1400l3570,2985,5957,4571,8345,2985,5957,1400xe" filled="true" fillcolor="#e1efec" stroked="false">
              <v:path arrowok="t"/>
              <v:fill type="solid"/>
            </v:shape>
            <v:shape style="position:absolute;left:3669;top:1465;width:4576;height:3040" coordorigin="3669,1466" coordsize="4576,3040" path="m5957,1466l3669,2985,5957,4505,8245,2985,5957,1466xe" filled="true" fillcolor="#e2f0ed" stroked="false">
              <v:path arrowok="t"/>
              <v:fill type="solid"/>
            </v:shape>
            <v:shape style="position:absolute;left:3768;top:1531;width:4377;height:2908" coordorigin="3769,1532" coordsize="4377,2908" path="m5957,1532l3769,2985,5957,4439,8146,2985,5957,1532xe" filled="true" fillcolor="#e3f0ee" stroked="false">
              <v:path arrowok="t"/>
              <v:fill type="solid"/>
            </v:shape>
            <v:shape style="position:absolute;left:3868;top:1597;width:4178;height:2776" coordorigin="3868,1598" coordsize="4178,2776" path="m5957,1598l3868,2985,5957,4373,8046,2985,5957,1598xe" filled="true" fillcolor="#e4f1ee" stroked="false">
              <v:path arrowok="t"/>
              <v:fill type="solid"/>
            </v:shape>
            <v:shape style="position:absolute;left:3967;top:1663;width:3980;height:2644" coordorigin="3968,1664" coordsize="3980,2644" path="m5957,1664l3968,2985,5957,4307,7947,2985,5957,1664xe" filled="true" fillcolor="#e5f1ef" stroked="false">
              <v:path arrowok="t"/>
              <v:fill type="solid"/>
            </v:shape>
            <v:shape style="position:absolute;left:4067;top:1729;width:3781;height:2511" coordorigin="4067,1730" coordsize="3781,2511" path="m5957,1730l4067,2985,5957,4241,7847,2985,5957,1730xe" filled="true" fillcolor="#e6f2ef" stroked="false">
              <v:path arrowok="t"/>
              <v:fill type="solid"/>
            </v:shape>
            <v:shape style="position:absolute;left:4166;top:1795;width:3582;height:2379" coordorigin="4167,1796" coordsize="3582,2379" path="m5957,1796l4167,2985,5957,4175,7748,2985,5957,1796xe" filled="true" fillcolor="#e7f3f0" stroked="false">
              <v:path arrowok="t"/>
              <v:fill type="solid"/>
            </v:shape>
            <v:shape style="position:absolute;left:4266;top:1862;width:3383;height:2247" coordorigin="4266,1862" coordsize="3383,2247" path="m5957,1862l4266,2985,5957,4109,7648,2985,5957,1862xe" filled="true" fillcolor="#e9f3f1" stroked="false">
              <v:path arrowok="t"/>
              <v:fill type="solid"/>
            </v:shape>
            <v:shape style="position:absolute;left:4365;top:1928;width:3184;height:2115" coordorigin="4366,1928" coordsize="3184,2115" path="m5957,1928l4366,2985,5957,4043,7549,2985,5957,1928xe" filled="true" fillcolor="#eaf4f2" stroked="false">
              <v:path arrowok="t"/>
              <v:fill type="solid"/>
            </v:shape>
            <v:shape style="position:absolute;left:4465;top:1994;width:2985;height:1983" coordorigin="4465,1994" coordsize="2985,1983" path="m5957,1994l4465,2985,5957,3977,7450,2985,5957,1994xe" filled="true" fillcolor="#ebf4f2" stroked="false">
              <v:path arrowok="t"/>
              <v:fill type="solid"/>
            </v:shape>
            <v:shape style="position:absolute;left:4564;top:2060;width:2786;height:1851" coordorigin="4565,2060" coordsize="2786,1851" path="m5957,2060l4565,2985,5957,3910,7350,2985,5957,2060xe" filled="true" fillcolor="#ecf5f3" stroked="false">
              <v:path arrowok="t"/>
              <v:fill type="solid"/>
            </v:shape>
            <v:shape style="position:absolute;left:4664;top:2126;width:2587;height:1718" coordorigin="4664,2126" coordsize="2587,1718" path="m5957,2126l4664,2985,5957,3844,7251,2985,5957,2126xe" filled="true" fillcolor="#edf6f4" stroked="false">
              <v:path arrowok="t"/>
              <v:fill type="solid"/>
            </v:shape>
            <v:shape style="position:absolute;left:4763;top:2192;width:2388;height:1586" coordorigin="4764,2192" coordsize="2388,1586" path="m5957,2192l4764,2985,5957,3778,7151,2985,5957,2192xe" filled="true" fillcolor="#eff7f5" stroked="false">
              <v:path arrowok="t"/>
              <v:fill type="solid"/>
            </v:shape>
            <v:shape style="position:absolute;left:4863;top:2258;width:2189;height:1454" coordorigin="4863,2259" coordsize="2189,1454" path="m5957,2259l4863,2985,5957,3712,7052,2985,5957,2259xe" filled="true" fillcolor="#f0f7f5" stroked="false">
              <v:path arrowok="t"/>
              <v:fill type="solid"/>
            </v:shape>
            <v:shape style="position:absolute;left:4962;top:2324;width:1990;height:1322" coordorigin="4963,2325" coordsize="1990,1322" path="m5957,2325l4963,2985,5957,3646,6952,2985,5957,2325xe" filled="true" fillcolor="#f1f8f6" stroked="false">
              <v:path arrowok="t"/>
              <v:fill type="solid"/>
            </v:shape>
            <v:shape style="position:absolute;left:5062;top:2390;width:1791;height:1190" coordorigin="5062,2391" coordsize="1791,1190" path="m5957,2391l5062,2985,5957,3580,6853,2985,5957,2391xe" filled="true" fillcolor="#f2f8f7" stroked="false">
              <v:path arrowok="t"/>
              <v:fill type="solid"/>
            </v:shape>
            <v:shape style="position:absolute;left:5161;top:2456;width:1592;height:1058" coordorigin="5162,2457" coordsize="1592,1058" path="m5957,2457l5162,2985,5957,3514,6753,2985,5957,2457xe" filled="true" fillcolor="#f3f9f8" stroked="false">
              <v:path arrowok="t"/>
              <v:fill type="solid"/>
            </v:shape>
            <v:shape style="position:absolute;left:5261;top:2522;width:1393;height:926" coordorigin="5261,2523" coordsize="1393,926" path="m5957,2523l5261,2985,5957,3448,6654,2985,5957,2523xe" filled="true" fillcolor="#f5f9f8" stroked="false">
              <v:path arrowok="t"/>
              <v:fill type="solid"/>
            </v:shape>
            <v:shape style="position:absolute;left:5360;top:2588;width:1194;height:793" coordorigin="5361,2589" coordsize="1194,793" path="m5957,2589l5361,2985,5957,3382,6554,2985,5957,2589xe" filled="true" fillcolor="#f6faf9" stroked="false">
              <v:path arrowok="t"/>
              <v:fill type="solid"/>
            </v:shape>
            <v:shape style="position:absolute;left:5460;top:2655;width:995;height:661" coordorigin="5460,2655" coordsize="995,661" path="m5957,2655l5460,2985,5957,3316,6455,2985,5957,2655xe" filled="true" fillcolor="#f8fbfa" stroked="false">
              <v:path arrowok="t"/>
              <v:fill type="solid"/>
            </v:shape>
            <v:shape style="position:absolute;left:5559;top:2721;width:796;height:529" coordorigin="5559,2721" coordsize="796,529" path="m5957,2721l5559,2985,5957,3250,6355,2985,5957,2721xe" filled="true" fillcolor="#f9fcfc" stroked="false">
              <v:path arrowok="t"/>
              <v:fill type="solid"/>
            </v:shape>
            <v:shape style="position:absolute;left:5658;top:2787;width:597;height:397" coordorigin="5659,2787" coordsize="597,397" path="m5957,2787l5659,2985,5957,3184,6256,2985,5957,2787xe" filled="true" fillcolor="#fbfdfd" stroked="false">
              <v:path arrowok="t"/>
              <v:fill type="solid"/>
            </v:shape>
            <v:shape style="position:absolute;left:5758;top:2853;width:398;height:265" type="#_x0000_t75" stroked="false">
              <v:imagedata r:id="rId13" o:title=""/>
            </v:shape>
            <v:rect style="position:absolute;left:794;top:-441;width:10326;height:6852" filled="false" stroked="true" strokeweight="1pt" strokecolor="#009483">
              <v:stroke dashstyle="solid"/>
            </v:rect>
            <v:rect style="position:absolute;left:6247;top:518;width:4380;height:3421" filled="true" fillcolor="#ffffff" stroked="false">
              <v:fill type="solid"/>
            </v:rect>
            <v:shape style="position:absolute;left:6257;top:708;width:4120;height:3000" coordorigin="6257,709" coordsize="4120,3000" path="m6377,3709l6257,3709m6377,3109l6257,3109m6377,2509l6257,2509m6377,1909l6257,1909m6377,1309l6257,1309m6377,709l6257,709m10377,3709l10237,3709m10377,3109l10237,3109m10377,2509l10237,2509m10377,1909l10237,1909m10377,1309l10237,1309m10377,709l10237,709m6437,3709l10197,3709m6437,3709l6437,3669m6557,3709l6557,3669m6697,3709l6697,3669m6837,3709l6837,3669m6977,3709l6977,3669m7117,3709l7117,3669m7257,3709l7257,3669m7397,3709l7397,3669m7537,3709l7537,3669m7677,3709l7677,3669m7797,3709l7797,3669m7937,3709l7937,3669m8077,3709l8077,3669m8217,3709l8217,3669m8357,3709l8357,3669m8497,3709l8497,3669m8637,3709l8637,3669m8777,3709l8777,3669m8917,3709l8917,3669m9057,3709l9057,3669m9197,3709l9197,3669m9317,3709l9317,3669m9457,3709l9457,3669m9597,3709l9597,3669m9737,3709l9737,3669m9877,3709l9877,3669m10017,3709l10017,3669m10157,3709l10157,3669m6437,3709l6437,3629m7117,3709l7117,3629m7797,3709l7797,3629m8497,3709l8497,3629m9197,3709l9197,3629m9877,3709l9877,3629e" filled="false" stroked="true" strokeweight=".5pt" strokecolor="#000000">
              <v:path arrowok="t"/>
              <v:stroke dashstyle="solid"/>
            </v:shape>
            <v:shape style="position:absolute;left:6417;top:2868;width:3300;height:540" coordorigin="6417,2869" coordsize="3300,540" path="m6417,3189l6457,3189,6497,3209,6537,3269,6557,3269,6597,3309,6637,3329,6677,3369,6697,3369,6737,3349,6777,3409,6797,3409,6837,3329,6877,3329,6917,3309,6937,3289,6977,3309,7077,3209m7077,3209l7117,3269,7157,3309,7197,3289,7217,3269,7257,3269,7297,3289,7317,3329,7397,3369,7437,3329,7497,3329,7537,3309,7557,3209,7597,3189,7637,3129,7677,3109,7737,3109m7737,3109l7797,3049,7837,3109,7877,3129,7917,3049,7937,2969,7977,3009,8017,2969,8057,3049,8077,3109,8117,3129,8157,3169,8197,3189,8217,3309,8357,3169,8397,3169m8397,3169l8437,3149,8457,3189,8537,3229,8557,3209,8637,3209,8677,3269,8697,3309,8737,3329,8777,3329,8877,3229,8917,3249,8937,3249,8977,3209,9017,3189,9057,3129m9057,3129l9077,3089,9117,3129,9157,3149,9197,3129,9217,3089,9297,3129,9317,3149,9357,3149,9437,3109,9457,3069,9497,3029,9537,3009,9577,2969,9597,2929,9637,2929,9677,2909,9717,2869e" filled="false" stroked="true" strokeweight="1pt" strokecolor="#0066a5">
              <v:path arrowok="t"/>
              <v:stroke dashstyle="solid"/>
            </v:shape>
            <v:shape style="position:absolute;left:9687;top:2618;width:520;height:260" type="#_x0000_t75" stroked="false">
              <v:imagedata r:id="rId14" o:title=""/>
            </v:shape>
            <v:shape style="position:absolute;left:6417;top:948;width:3300;height:2280" coordorigin="6417,949" coordsize="3300,2280" path="m6417,1429l6457,1409,6537,1449,6557,1549,6597,1509,6637,1529,6677,1629,6697,1809,6737,1849,6777,1949,6837,1889,6877,2109,6917,2229,6937,2269,6977,2429,7017,2209,7057,2049,7077,2009m7077,2009l7117,1829,7157,1709,7197,1669,7217,1549,7257,1469,7297,1509,7317,1509,7357,1289,7397,1209,7437,1229,7497,1289,7537,1349,7557,1269,7597,1289,7637,1289,7677,1329,7697,1149,7737,1049m7737,1049l7777,989,7797,949,7837,1029,7877,1089,7917,1189,7937,1249,7977,1349,8017,1389,8057,1389,8077,1409,8117,1429,8157,1509,8197,1549,8217,1589,8257,1689,8297,1669,8317,1709,8357,1769,8397,1849m8397,1849l8437,1949,8457,1969,8497,1989,8537,1949,8557,2029,8597,2089,8637,2189,8697,2309,8737,2349,8777,2409,8817,2429,8837,2449,8877,2549,8917,2589,8937,2629,8977,2689,9017,2689,9057,2769m9057,2769l9077,2849,9117,2929,9197,3049,9217,3109,9257,3129,9297,3189,9357,3189,9397,3209,9437,3209,9457,3229,9497,3209,9577,3209,9597,3189,9677,3149,9717,3169e" filled="false" stroked="true" strokeweight="1pt" strokecolor="#008256">
              <v:path arrowok="t"/>
              <v:stroke dashstyle="solid"/>
            </v:shape>
            <v:shape style="position:absolute;left:9687;top:3118;width:520;height:340" type="#_x0000_t75" stroked="false">
              <v:imagedata r:id="rId15" o:title=""/>
            </v:shape>
            <v:shape style="position:absolute;left:6417;top:2028;width:3300;height:1280" coordorigin="6417,2029" coordsize="3300,1280" path="m6417,2109l6457,2029,6497,2049,6537,2049,6557,2089,6597,2089,6637,2129,6677,2189,6697,2169,6737,2249,6777,2289,6797,2289,6837,2249,6877,2269,6937,2269,7017,2309,7057,2269,7077,2329m7077,2329l7117,2389,7157,2389,7217,2449,7257,2429,7297,2449,7317,2489,7357,2429,7397,2489,7437,2489,7457,2609,7497,2569,7537,2569,7557,2629,7597,2669,7677,2709,7697,2669,7737,2629m7737,2629l7777,2629,7797,2589,7837,2589,7877,2629,7917,2709,7937,2669,7977,2709,8017,2709,8057,2689,8077,2729,8157,2849,8197,2849,8217,2869,8297,2869,8317,2809,8357,2769,8397,2869m8397,2869l8437,2809,8457,2809,8497,2849,8537,2849,8557,2809,8597,2889,8637,2929,8677,2909,8697,2929,8737,2949,8777,3069,8817,3009,8837,3049,8877,3029,8937,3089,8977,3089,9017,3049,9057,3069m9057,3069l9117,3069,9157,3049,9197,2949,9217,2929,9257,3309,9297,3289,9317,3009,9357,2949,9397,2989,9437,2969,9457,2949,9497,2989,9537,3069,9577,3049,9597,3129,9637,3149,9677,3189,9717,3269e" filled="false" stroked="true" strokeweight="1pt" strokecolor="#faab54">
              <v:path arrowok="t"/>
              <v:stroke dashstyle="solid"/>
            </v:shape>
            <v:shape style="position:absolute;left:9687;top:3098;width:520;height:260" type="#_x0000_t75" stroked="false">
              <v:imagedata r:id="rId16" o:title=""/>
            </v:shape>
            <v:shape style="position:absolute;left:6248;top:28;width:4378;height:4373" coordorigin="6248,29" coordsize="4378,4373" path="m10626,3944l6248,3944,6248,4401,10626,4401,10626,3944xm10626,29l6248,29,6248,519,10626,519,10626,29xe" filled="true" fillcolor="#ffffff" stroked="false">
              <v:path arrowok="t"/>
              <v:fill type="solid"/>
            </v:shape>
            <v:shape style="position:absolute;left:1010;top:4399;width:9870;height:1163" coordorigin="1010,4400" coordsize="9870,1163" path="m10880,5562l1010,5562m6240,4400l10630,4400e" filled="false" stroked="true" strokeweight=".125pt" strokecolor="#231f20">
              <v:path arrowok="t"/>
              <v:stroke dashstyle="solid"/>
            </v:shape>
            <w10:wrap type="none"/>
          </v:group>
        </w:pict>
      </w:r>
      <w:bookmarkStart w:name="Personal sector" w:id="15"/>
      <w:bookmarkEnd w:id="15"/>
      <w:r>
        <w:rPr/>
      </w:r>
      <w:bookmarkStart w:name="_bookmark8" w:id="16"/>
      <w:bookmarkEnd w:id="16"/>
      <w:r>
        <w:rPr/>
      </w:r>
      <w:r>
        <w:rPr>
          <w:color w:val="231F20"/>
        </w:rPr>
        <w:t>the inflation target because of structural changes.</w:t>
      </w:r>
    </w:p>
    <w:p>
      <w:pPr>
        <w:pStyle w:val="BodyText"/>
        <w:spacing w:before="5"/>
        <w:rPr>
          <w:sz w:val="20"/>
        </w:rPr>
      </w:pPr>
      <w:r>
        <w:rPr/>
        <w:br w:type="column"/>
      </w:r>
      <w:r>
        <w:rPr>
          <w:sz w:val="20"/>
        </w:rPr>
      </w:r>
    </w:p>
    <w:p>
      <w:pPr>
        <w:pStyle w:val="Heading9"/>
        <w:spacing w:line="249" w:lineRule="auto" w:before="0"/>
        <w:ind w:left="424" w:right="1035"/>
      </w:pPr>
      <w:r>
        <w:rPr>
          <w:color w:val="0093C1"/>
        </w:rPr>
        <w:t>Broad money velocity in the United Kingdom, Germany and the United States</w:t>
      </w:r>
    </w:p>
    <w:p>
      <w:pPr>
        <w:spacing w:after="0" w:line="249" w:lineRule="auto"/>
        <w:sectPr>
          <w:type w:val="continuous"/>
          <w:pgSz w:w="11880" w:h="16840"/>
          <w:pgMar w:top="1040" w:bottom="280" w:left="640" w:right="640"/>
          <w:cols w:num="2" w:equalWidth="0">
            <w:col w:w="4279" w:space="925"/>
            <w:col w:w="5396"/>
          </w:cols>
        </w:sectPr>
      </w:pPr>
    </w:p>
    <w:p>
      <w:pPr>
        <w:pStyle w:val="BodyText"/>
        <w:rPr>
          <w:b/>
          <w:sz w:val="28"/>
        </w:rPr>
      </w:pPr>
    </w:p>
    <w:p>
      <w:pPr>
        <w:spacing w:line="242" w:lineRule="auto" w:before="0"/>
        <w:ind w:left="424" w:right="29" w:firstLine="0"/>
        <w:jc w:val="left"/>
        <w:rPr>
          <w:sz w:val="24"/>
        </w:rPr>
      </w:pPr>
      <w:r>
        <w:rPr>
          <w:color w:val="231F20"/>
          <w:sz w:val="24"/>
        </w:rPr>
        <w:t>Instead of using monitoring ranges, the MPC interprets the monetary aggregates in the context of a continuing assessment of the determinants of money demand. Recent research undertaken in the Bank has analysed personal sector M4,</w:t>
      </w:r>
      <w:r>
        <w:rPr>
          <w:color w:val="231F20"/>
          <w:position w:val="5"/>
          <w:sz w:val="16"/>
        </w:rPr>
        <w:t>(3) </w:t>
      </w:r>
      <w:r>
        <w:rPr>
          <w:color w:val="231F20"/>
          <w:sz w:val="24"/>
        </w:rPr>
        <w:t>corporate sector M4,</w:t>
      </w:r>
      <w:r>
        <w:rPr>
          <w:color w:val="231F20"/>
          <w:position w:val="5"/>
          <w:sz w:val="16"/>
        </w:rPr>
        <w:t>(4) </w:t>
      </w:r>
      <w:r>
        <w:rPr>
          <w:color w:val="231F20"/>
          <w:sz w:val="24"/>
        </w:rPr>
        <w:t>Divisia M4 (aggregate and sectoral),</w:t>
      </w:r>
      <w:r>
        <w:rPr>
          <w:color w:val="231F20"/>
          <w:position w:val="5"/>
          <w:sz w:val="16"/>
        </w:rPr>
        <w:t>(5) </w:t>
      </w:r>
      <w:r>
        <w:rPr>
          <w:color w:val="231F20"/>
          <w:sz w:val="24"/>
        </w:rPr>
        <w:t>and M0. The Bank is also conducting research on the demand for credit.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
        <w:rPr>
          <w:sz w:val="10"/>
        </w:rPr>
      </w:pPr>
    </w:p>
    <w:p>
      <w:pPr>
        <w:spacing w:before="0"/>
        <w:ind w:left="0" w:right="38" w:firstLine="0"/>
        <w:jc w:val="right"/>
        <w:rPr>
          <w:sz w:val="12"/>
        </w:rPr>
      </w:pPr>
      <w:r>
        <w:rPr>
          <w:sz w:val="12"/>
        </w:rPr>
        <w:t>UK M4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0"/>
        </w:rPr>
      </w:pPr>
    </w:p>
    <w:p>
      <w:pPr>
        <w:spacing w:before="0"/>
        <w:ind w:left="424" w:right="0" w:firstLine="0"/>
        <w:jc w:val="left"/>
        <w:rPr>
          <w:sz w:val="12"/>
        </w:rPr>
      </w:pPr>
      <w:r>
        <w:rPr>
          <w:sz w:val="12"/>
        </w:rPr>
        <w:t>German M3 (a)</w:t>
      </w:r>
    </w:p>
    <w:p>
      <w:pPr>
        <w:pStyle w:val="BodyText"/>
        <w:rPr>
          <w:sz w:val="12"/>
        </w:rPr>
      </w:pPr>
    </w:p>
    <w:p>
      <w:pPr>
        <w:pStyle w:val="BodyText"/>
        <w:spacing w:before="8"/>
        <w:rPr>
          <w:sz w:val="17"/>
        </w:rPr>
      </w:pPr>
    </w:p>
    <w:p>
      <w:pPr>
        <w:spacing w:before="1"/>
        <w:ind w:left="704" w:right="0" w:firstLine="0"/>
        <w:jc w:val="left"/>
        <w:rPr>
          <w:sz w:val="12"/>
        </w:rPr>
      </w:pPr>
      <w:r>
        <w:rPr>
          <w:sz w:val="12"/>
        </w:rPr>
        <w:t>US M2</w:t>
      </w:r>
    </w:p>
    <w:p>
      <w:pPr>
        <w:spacing w:line="213" w:lineRule="auto" w:before="0"/>
        <w:ind w:left="424" w:right="0" w:firstLine="0"/>
        <w:jc w:val="left"/>
        <w:rPr>
          <w:sz w:val="12"/>
        </w:rPr>
      </w:pPr>
      <w:r>
        <w:rPr/>
        <w:br w:type="column"/>
      </w:r>
      <w:r>
        <w:rPr>
          <w:sz w:val="12"/>
        </w:rPr>
        <w:t>1990 = 100</w:t>
      </w:r>
      <w:r>
        <w:rPr>
          <w:spacing w:val="15"/>
          <w:sz w:val="12"/>
        </w:rPr>
        <w:t> </w:t>
      </w:r>
      <w:r>
        <w:rPr>
          <w:position w:val="-7"/>
          <w:sz w:val="12"/>
        </w:rPr>
        <w:t>180</w:t>
      </w:r>
    </w:p>
    <w:p>
      <w:pPr>
        <w:pStyle w:val="BodyText"/>
        <w:rPr>
          <w:sz w:val="20"/>
        </w:rPr>
      </w:pPr>
    </w:p>
    <w:p>
      <w:pPr>
        <w:pStyle w:val="BodyText"/>
        <w:spacing w:before="5"/>
        <w:rPr>
          <w:sz w:val="20"/>
        </w:rPr>
      </w:pPr>
    </w:p>
    <w:p>
      <w:pPr>
        <w:spacing w:before="0"/>
        <w:ind w:left="997" w:right="613" w:firstLine="0"/>
        <w:jc w:val="center"/>
        <w:rPr>
          <w:sz w:val="12"/>
        </w:rPr>
      </w:pPr>
      <w:r>
        <w:rPr>
          <w:sz w:val="12"/>
        </w:rPr>
        <w:t>160</w:t>
      </w:r>
    </w:p>
    <w:p>
      <w:pPr>
        <w:pStyle w:val="BodyText"/>
        <w:rPr>
          <w:sz w:val="12"/>
        </w:rPr>
      </w:pPr>
    </w:p>
    <w:p>
      <w:pPr>
        <w:pStyle w:val="BodyText"/>
        <w:rPr>
          <w:sz w:val="12"/>
        </w:rPr>
      </w:pPr>
    </w:p>
    <w:p>
      <w:pPr>
        <w:pStyle w:val="BodyText"/>
        <w:spacing w:before="2"/>
        <w:rPr>
          <w:sz w:val="16"/>
        </w:rPr>
      </w:pPr>
    </w:p>
    <w:p>
      <w:pPr>
        <w:spacing w:before="0"/>
        <w:ind w:left="997" w:right="613" w:firstLine="0"/>
        <w:jc w:val="center"/>
        <w:rPr>
          <w:sz w:val="12"/>
        </w:rPr>
      </w:pPr>
      <w:r>
        <w:rPr>
          <w:sz w:val="12"/>
        </w:rPr>
        <w:t>140</w:t>
      </w:r>
    </w:p>
    <w:p>
      <w:pPr>
        <w:pStyle w:val="BodyText"/>
        <w:rPr>
          <w:sz w:val="12"/>
        </w:rPr>
      </w:pPr>
    </w:p>
    <w:p>
      <w:pPr>
        <w:pStyle w:val="BodyText"/>
        <w:rPr>
          <w:sz w:val="12"/>
        </w:rPr>
      </w:pPr>
    </w:p>
    <w:p>
      <w:pPr>
        <w:pStyle w:val="BodyText"/>
        <w:spacing w:before="2"/>
        <w:rPr>
          <w:sz w:val="16"/>
        </w:rPr>
      </w:pPr>
    </w:p>
    <w:p>
      <w:pPr>
        <w:spacing w:before="0"/>
        <w:ind w:left="997" w:right="613" w:firstLine="0"/>
        <w:jc w:val="center"/>
        <w:rPr>
          <w:sz w:val="12"/>
        </w:rPr>
      </w:pPr>
      <w:r>
        <w:rPr>
          <w:sz w:val="12"/>
        </w:rPr>
        <w:t>120</w:t>
      </w:r>
    </w:p>
    <w:p>
      <w:pPr>
        <w:pStyle w:val="BodyText"/>
        <w:rPr>
          <w:sz w:val="12"/>
        </w:rPr>
      </w:pPr>
    </w:p>
    <w:p>
      <w:pPr>
        <w:pStyle w:val="BodyText"/>
        <w:rPr>
          <w:sz w:val="12"/>
        </w:rPr>
      </w:pPr>
    </w:p>
    <w:p>
      <w:pPr>
        <w:pStyle w:val="BodyText"/>
        <w:spacing w:before="2"/>
        <w:rPr>
          <w:sz w:val="16"/>
        </w:rPr>
      </w:pPr>
    </w:p>
    <w:p>
      <w:pPr>
        <w:spacing w:before="0"/>
        <w:ind w:left="997" w:right="613" w:firstLine="0"/>
        <w:jc w:val="center"/>
        <w:rPr>
          <w:sz w:val="12"/>
        </w:rPr>
      </w:pPr>
      <w:r>
        <w:rPr>
          <w:sz w:val="12"/>
        </w:rPr>
        <w:t>100</w:t>
      </w:r>
    </w:p>
    <w:p>
      <w:pPr>
        <w:spacing w:after="0"/>
        <w:jc w:val="center"/>
        <w:rPr>
          <w:sz w:val="12"/>
        </w:rPr>
        <w:sectPr>
          <w:type w:val="continuous"/>
          <w:pgSz w:w="11880" w:h="16840"/>
          <w:pgMar w:top="1040" w:bottom="280" w:left="640" w:right="640"/>
          <w:cols w:num="3" w:equalWidth="0">
            <w:col w:w="5012" w:space="1231"/>
            <w:col w:w="1535" w:space="992"/>
            <w:col w:w="1830"/>
          </w:cols>
        </w:sectPr>
      </w:pPr>
    </w:p>
    <w:p>
      <w:pPr>
        <w:pStyle w:val="BodyText"/>
        <w:spacing w:before="4"/>
        <w:rPr>
          <w:sz w:val="12"/>
        </w:rPr>
      </w:pPr>
    </w:p>
    <w:p>
      <w:pPr>
        <w:spacing w:after="0"/>
        <w:rPr>
          <w:sz w:val="12"/>
        </w:rPr>
        <w:sectPr>
          <w:type w:val="continuous"/>
          <w:pgSz w:w="11880" w:h="16840"/>
          <w:pgMar w:top="1040" w:bottom="280" w:left="640" w:right="640"/>
        </w:sectPr>
      </w:pPr>
    </w:p>
    <w:p>
      <w:pPr>
        <w:pStyle w:val="Heading5"/>
        <w:spacing w:line="242" w:lineRule="auto" w:before="170"/>
        <w:ind w:left="424"/>
      </w:pPr>
      <w:r>
        <w:rPr>
          <w:color w:val="231F20"/>
        </w:rPr>
        <w:t>So though the MPC is not at present reinstating the use of monitoring ranges, it regards the monetary aggregates as an integral part of its assessment of monetary conditions. Its analysis of the monetary aggregates will continue to be set out in Section 2 of the </w:t>
      </w:r>
      <w:r>
        <w:rPr>
          <w:i/>
          <w:color w:val="231F20"/>
        </w:rPr>
        <w:t>Inflation Report</w:t>
      </w:r>
      <w:r>
        <w:rPr>
          <w:color w:val="231F20"/>
        </w:rPr>
        <w:t>.</w:t>
      </w:r>
      <w:r>
        <w:rPr>
          <w:color w:val="231F20"/>
          <w:spacing w:val="58"/>
        </w:rPr>
        <w:t> </w:t>
      </w:r>
      <w:r>
        <w:rPr>
          <w:color w:val="231F20"/>
          <w:spacing w:val="-6"/>
        </w:rPr>
        <w:t>And</w:t>
      </w:r>
    </w:p>
    <w:p>
      <w:pPr>
        <w:spacing w:line="129" w:lineRule="exact" w:before="95"/>
        <w:ind w:left="4707" w:right="0" w:firstLine="0"/>
        <w:jc w:val="left"/>
        <w:rPr>
          <w:sz w:val="12"/>
        </w:rPr>
      </w:pPr>
      <w:r>
        <w:rPr/>
        <w:br w:type="column"/>
      </w:r>
      <w:r>
        <w:rPr>
          <w:sz w:val="12"/>
        </w:rPr>
        <w:t>80</w:t>
      </w:r>
    </w:p>
    <w:p>
      <w:pPr>
        <w:tabs>
          <w:tab w:pos="1606" w:val="left" w:leader="none"/>
          <w:tab w:pos="2306" w:val="left" w:leader="none"/>
          <w:tab w:pos="2986" w:val="left" w:leader="none"/>
          <w:tab w:pos="3686" w:val="left" w:leader="none"/>
          <w:tab w:pos="4226" w:val="left" w:leader="none"/>
        </w:tabs>
        <w:spacing w:line="129" w:lineRule="exact" w:before="0"/>
        <w:ind w:left="847" w:right="0" w:firstLine="0"/>
        <w:jc w:val="left"/>
        <w:rPr>
          <w:sz w:val="12"/>
        </w:rPr>
      </w:pPr>
      <w:r>
        <w:rPr>
          <w:sz w:val="12"/>
        </w:rPr>
        <w:t>1970</w:t>
        <w:tab/>
        <w:t>75</w:t>
        <w:tab/>
        <w:t>80</w:t>
        <w:tab/>
        <w:t>85</w:t>
        <w:tab/>
        <w:t>90</w:t>
        <w:tab/>
        <w:t>95</w:t>
      </w:r>
    </w:p>
    <w:p>
      <w:pPr>
        <w:spacing w:before="51"/>
        <w:ind w:left="488" w:right="0" w:firstLine="0"/>
        <w:jc w:val="left"/>
        <w:rPr>
          <w:sz w:val="12"/>
        </w:rPr>
      </w:pPr>
      <w:r>
        <w:rPr>
          <w:color w:val="231F20"/>
          <w:sz w:val="12"/>
        </w:rPr>
        <w:t>Sources: Bank of England and BIS.</w:t>
      </w:r>
    </w:p>
    <w:p>
      <w:pPr>
        <w:spacing w:before="102"/>
        <w:ind w:left="488" w:right="0" w:firstLine="0"/>
        <w:jc w:val="left"/>
        <w:rPr>
          <w:sz w:val="12"/>
        </w:rPr>
      </w:pPr>
      <w:r>
        <w:rPr>
          <w:color w:val="231F20"/>
          <w:sz w:val="12"/>
        </w:rPr>
        <w:t>(a) Pan-German data from 1991.</w:t>
      </w:r>
    </w:p>
    <w:p>
      <w:pPr>
        <w:pStyle w:val="BodyText"/>
        <w:rPr>
          <w:sz w:val="12"/>
        </w:rPr>
      </w:pPr>
    </w:p>
    <w:p>
      <w:pPr>
        <w:pStyle w:val="Heading5"/>
        <w:spacing w:line="242" w:lineRule="auto" w:before="94"/>
        <w:ind w:left="424" w:right="454" w:hanging="1"/>
        <w:jc w:val="both"/>
      </w:pPr>
      <w:r>
        <w:rPr>
          <w:color w:val="231F20"/>
        </w:rPr>
        <w:t>if the velocity of money in the United </w:t>
      </w:r>
      <w:r>
        <w:rPr>
          <w:color w:val="231F20"/>
          <w:spacing w:val="-3"/>
        </w:rPr>
        <w:t>Kingdom </w:t>
      </w:r>
      <w:r>
        <w:rPr>
          <w:color w:val="231F20"/>
        </w:rPr>
        <w:t>were to stabilise, the MPC could reconsider the use of monitoring ranges.</w:t>
      </w:r>
    </w:p>
    <w:p>
      <w:pPr>
        <w:spacing w:after="0" w:line="242" w:lineRule="auto"/>
        <w:jc w:val="both"/>
        <w:sectPr>
          <w:type w:val="continuous"/>
          <w:pgSz w:w="11880" w:h="16840"/>
          <w:pgMar w:top="1040" w:bottom="280" w:left="640" w:right="640"/>
          <w:cols w:num="2" w:equalWidth="0">
            <w:col w:w="5071" w:space="69"/>
            <w:col w:w="5460"/>
          </w:cols>
        </w:sectPr>
      </w:pPr>
    </w:p>
    <w:p>
      <w:pPr>
        <w:pStyle w:val="BodyText"/>
        <w:spacing w:before="9"/>
        <w:rPr>
          <w:sz w:val="14"/>
        </w:rPr>
      </w:pPr>
    </w:p>
    <w:p>
      <w:pPr>
        <w:pStyle w:val="ListParagraph"/>
        <w:numPr>
          <w:ilvl w:val="2"/>
          <w:numId w:val="4"/>
        </w:numPr>
        <w:tabs>
          <w:tab w:pos="647" w:val="left" w:leader="none"/>
        </w:tabs>
        <w:spacing w:line="172" w:lineRule="exact" w:before="0" w:after="0"/>
        <w:ind w:left="646" w:right="0" w:hanging="241"/>
        <w:jc w:val="left"/>
        <w:rPr>
          <w:sz w:val="16"/>
        </w:rPr>
      </w:pPr>
      <w:r>
        <w:rPr>
          <w:color w:val="231F20"/>
          <w:sz w:val="16"/>
        </w:rPr>
        <w:t>Thomas, R (1997), ‘The demand for M4: A sectoral analysis part 1—the personal sector’, </w:t>
      </w:r>
      <w:r>
        <w:rPr>
          <w:i/>
          <w:color w:val="231F20"/>
          <w:sz w:val="16"/>
        </w:rPr>
        <w:t>Bank of England Working Paper</w:t>
      </w:r>
      <w:r>
        <w:rPr>
          <w:color w:val="231F20"/>
          <w:sz w:val="16"/>
        </w:rPr>
        <w:t>, No</w:t>
      </w:r>
      <w:r>
        <w:rPr>
          <w:color w:val="231F20"/>
          <w:spacing w:val="-1"/>
          <w:sz w:val="16"/>
        </w:rPr>
        <w:t> </w:t>
      </w:r>
      <w:r>
        <w:rPr>
          <w:color w:val="231F20"/>
          <w:sz w:val="16"/>
        </w:rPr>
        <w:t>61.</w:t>
      </w:r>
    </w:p>
    <w:p>
      <w:pPr>
        <w:pStyle w:val="ListParagraph"/>
        <w:numPr>
          <w:ilvl w:val="2"/>
          <w:numId w:val="4"/>
        </w:numPr>
        <w:tabs>
          <w:tab w:pos="647" w:val="left" w:leader="none"/>
        </w:tabs>
        <w:spacing w:line="160" w:lineRule="exact" w:before="0" w:after="0"/>
        <w:ind w:left="646" w:right="0" w:hanging="241"/>
        <w:jc w:val="left"/>
        <w:rPr>
          <w:sz w:val="16"/>
        </w:rPr>
      </w:pPr>
      <w:r>
        <w:rPr>
          <w:color w:val="231F20"/>
          <w:sz w:val="16"/>
        </w:rPr>
        <w:t>Thomas, R (1997), ‘The demand for M4: A sectoral analysis part 2—the corporate sector’, </w:t>
      </w:r>
      <w:r>
        <w:rPr>
          <w:i/>
          <w:color w:val="231F20"/>
          <w:sz w:val="16"/>
        </w:rPr>
        <w:t>Bank of England Working Paper</w:t>
      </w:r>
      <w:r>
        <w:rPr>
          <w:color w:val="231F20"/>
          <w:sz w:val="16"/>
        </w:rPr>
        <w:t>, No</w:t>
      </w:r>
      <w:r>
        <w:rPr>
          <w:color w:val="231F20"/>
          <w:spacing w:val="-1"/>
          <w:sz w:val="16"/>
        </w:rPr>
        <w:t> </w:t>
      </w:r>
      <w:r>
        <w:rPr>
          <w:color w:val="231F20"/>
          <w:sz w:val="16"/>
        </w:rPr>
        <w:t>62.</w:t>
      </w:r>
    </w:p>
    <w:p>
      <w:pPr>
        <w:pStyle w:val="ListParagraph"/>
        <w:numPr>
          <w:ilvl w:val="2"/>
          <w:numId w:val="4"/>
        </w:numPr>
        <w:tabs>
          <w:tab w:pos="647" w:val="left" w:leader="none"/>
        </w:tabs>
        <w:spacing w:line="208" w:lineRule="auto" w:before="8" w:after="0"/>
        <w:ind w:left="646" w:right="1145" w:hanging="240"/>
        <w:jc w:val="left"/>
        <w:rPr>
          <w:sz w:val="16"/>
        </w:rPr>
      </w:pPr>
      <w:r>
        <w:rPr>
          <w:color w:val="231F20"/>
          <w:sz w:val="16"/>
        </w:rPr>
        <w:t>Fisher, P, Hudson, S and Pradhan, M (1993), ‘Divisia indices for money: An appraisal of theory and practice’, </w:t>
      </w:r>
      <w:r>
        <w:rPr>
          <w:i/>
          <w:color w:val="231F20"/>
          <w:sz w:val="16"/>
        </w:rPr>
        <w:t>Bank of England </w:t>
      </w:r>
      <w:r>
        <w:rPr>
          <w:i/>
          <w:color w:val="231F20"/>
          <w:spacing w:val="-3"/>
          <w:sz w:val="16"/>
        </w:rPr>
        <w:t>Working </w:t>
      </w:r>
      <w:r>
        <w:rPr>
          <w:i/>
          <w:color w:val="231F20"/>
          <w:sz w:val="16"/>
        </w:rPr>
        <w:t>Paper</w:t>
      </w:r>
      <w:r>
        <w:rPr>
          <w:color w:val="231F20"/>
          <w:sz w:val="16"/>
        </w:rPr>
        <w:t>, No</w:t>
      </w:r>
      <w:r>
        <w:rPr>
          <w:color w:val="231F20"/>
          <w:spacing w:val="-1"/>
          <w:sz w:val="16"/>
        </w:rPr>
        <w:t> </w:t>
      </w:r>
      <w:r>
        <w:rPr>
          <w:color w:val="231F20"/>
          <w:sz w:val="16"/>
        </w:rPr>
        <w:t>9.</w:t>
      </w:r>
    </w:p>
    <w:p>
      <w:pPr>
        <w:pStyle w:val="BodyText"/>
        <w:rPr>
          <w:sz w:val="20"/>
        </w:rPr>
      </w:pPr>
    </w:p>
    <w:p>
      <w:pPr>
        <w:spacing w:after="0"/>
        <w:rPr>
          <w:sz w:val="20"/>
        </w:rPr>
        <w:sectPr>
          <w:type w:val="continuous"/>
          <w:pgSz w:w="11880" w:h="16840"/>
          <w:pgMar w:top="1040" w:bottom="280" w:left="640" w:right="640"/>
        </w:sectPr>
      </w:pPr>
    </w:p>
    <w:p>
      <w:pPr>
        <w:pStyle w:val="BodyText"/>
        <w:spacing w:before="5"/>
        <w:rPr>
          <w:sz w:val="21"/>
        </w:rPr>
      </w:pPr>
    </w:p>
    <w:p>
      <w:pPr>
        <w:pStyle w:val="Heading9"/>
        <w:spacing w:before="0"/>
        <w:ind w:left="172"/>
      </w:pPr>
      <w:r>
        <w:rPr>
          <w:color w:val="0093C1"/>
        </w:rPr>
        <w:t>Chart 2.3</w:t>
      </w:r>
    </w:p>
    <w:p>
      <w:pPr>
        <w:spacing w:before="10"/>
        <w:ind w:left="172" w:right="0" w:firstLine="0"/>
        <w:jc w:val="left"/>
        <w:rPr>
          <w:b/>
          <w:sz w:val="20"/>
        </w:rPr>
      </w:pPr>
      <w:r>
        <w:rPr>
          <w:b/>
          <w:color w:val="0093C1"/>
          <w:sz w:val="20"/>
        </w:rPr>
        <w:t>Ratio of OFIs’ M4 to total financial assets</w:t>
      </w:r>
    </w:p>
    <w:p>
      <w:pPr>
        <w:spacing w:before="82"/>
        <w:ind w:left="3260" w:right="0" w:firstLine="0"/>
        <w:jc w:val="left"/>
        <w:rPr>
          <w:sz w:val="12"/>
        </w:rPr>
      </w:pPr>
      <w:r>
        <w:rPr/>
        <w:pict>
          <v:group style="position:absolute;margin-left:43.529999pt;margin-top:12.201568pt;width:164pt;height:138.75pt;mso-position-horizontal-relative:page;mso-position-vertical-relative:paragraph;z-index:-20993536" coordorigin="871,244" coordsize="3280,2775">
            <v:shape style="position:absolute;left:870;top:249;width:100;height:2500" coordorigin="871,249" coordsize="100,2500" path="m971,2749l871,2749m971,2249l871,2249m971,1749l871,1749m971,1249l871,1249m971,749l871,749m971,249l871,249e" filled="false" stroked="true" strokeweight=".5pt" strokecolor="#000000">
              <v:path arrowok="t"/>
              <v:stroke dashstyle="solid"/>
            </v:shape>
            <v:shape style="position:absolute;left:1010;top:329;width:2720;height:2680" coordorigin="1011,329" coordsize="2720,2680" path="m1011,3009l1071,2949,1151,2989,1211,2809,1291,1909,1371,1909,1431,1929,1511,1689,1571,1529,1651,1749,1711,1669,1791,1549,1851,1489,1931,1009,2011,929,2071,329,2151,489,2211,1089,2371,1529m2371,1529l2431,1329,2511,1349,2571,1409,2651,1509,2711,1989,2791,2289,2871,2489,2931,2589,3011,2749,3071,2529,3151,2349,3231,2329,3291,2269,3371,2169,3431,2049,3511,2109,3571,2189,3651,2089,3731,2069e" filled="false" stroked="true" strokeweight="1pt" strokecolor="#ed1b2d">
              <v:path arrowok="t"/>
              <v:stroke dashstyle="solid"/>
            </v:shape>
            <v:line style="position:absolute" from="4151,1749" to="4051,1749" stroked="true" strokeweight=".5pt" strokecolor="#000000">
              <v:stroke dashstyle="solid"/>
            </v:line>
            <v:shape style="position:absolute;left:3730;top:1809;width:280;height:260" coordorigin="3731,1809" coordsize="280,260" path="m3731,2069l3791,1989,3871,2009,3931,1809,4011,1829e" filled="false" stroked="true" strokeweight="1pt" strokecolor="#ed1b2d">
              <v:path arrowok="t"/>
              <v:stroke dashstyle="solid"/>
            </v:shape>
            <w10:wrap type="none"/>
          </v:group>
        </w:pict>
      </w:r>
      <w:r>
        <w:rPr/>
        <w:pict>
          <v:line style="position:absolute;mso-position-horizontal-relative:page;mso-position-vertical-relative:paragraph;z-index:-20990976" from="207.529999pt,12.451568pt" to="202.529999pt,12.451568pt" stroked="true" strokeweight=".5pt" strokecolor="#000000">
            <v:stroke dashstyle="solid"/>
            <w10:wrap type="none"/>
          </v:line>
        </w:pict>
      </w:r>
      <w:r>
        <w:rPr>
          <w:sz w:val="12"/>
        </w:rPr>
        <w:t>Ratio</w:t>
      </w:r>
      <w:r>
        <w:rPr>
          <w:spacing w:val="3"/>
          <w:sz w:val="12"/>
        </w:rPr>
        <w:t> </w:t>
      </w:r>
      <w:r>
        <w:rPr>
          <w:position w:val="-8"/>
          <w:sz w:val="12"/>
        </w:rPr>
        <w:t>0.11</w:t>
      </w:r>
    </w:p>
    <w:p>
      <w:pPr>
        <w:pStyle w:val="BodyText"/>
        <w:spacing w:before="2"/>
        <w:rPr>
          <w:sz w:val="31"/>
        </w:rPr>
      </w:pPr>
    </w:p>
    <w:p>
      <w:pPr>
        <w:spacing w:before="0"/>
        <w:ind w:left="3553" w:right="0" w:firstLine="0"/>
        <w:jc w:val="left"/>
        <w:rPr>
          <w:sz w:val="12"/>
        </w:rPr>
      </w:pPr>
      <w:r>
        <w:rPr/>
        <w:pict>
          <v:line style="position:absolute;mso-position-horizontal-relative:page;mso-position-vertical-relative:paragraph;z-index:15746560" from="207.529999pt,4.018559pt" to="202.529999pt,4.018559pt" stroked="true" strokeweight=".5pt" strokecolor="#000000">
            <v:stroke dashstyle="solid"/>
            <w10:wrap type="none"/>
          </v:line>
        </w:pict>
      </w:r>
      <w:r>
        <w:rPr>
          <w:sz w:val="12"/>
        </w:rPr>
        <w:t>0.10</w:t>
      </w:r>
    </w:p>
    <w:p>
      <w:pPr>
        <w:pStyle w:val="BodyText"/>
        <w:rPr>
          <w:sz w:val="12"/>
        </w:rPr>
      </w:pPr>
    </w:p>
    <w:p>
      <w:pPr>
        <w:pStyle w:val="BodyText"/>
        <w:rPr>
          <w:sz w:val="12"/>
        </w:rPr>
      </w:pPr>
    </w:p>
    <w:p>
      <w:pPr>
        <w:spacing w:before="96"/>
        <w:ind w:left="3553" w:right="0" w:firstLine="0"/>
        <w:jc w:val="left"/>
        <w:rPr>
          <w:sz w:val="12"/>
        </w:rPr>
      </w:pPr>
      <w:r>
        <w:rPr/>
        <w:pict>
          <v:line style="position:absolute;mso-position-horizontal-relative:page;mso-position-vertical-relative:paragraph;z-index:15746048" from="207.529999pt,8.31856pt" to="202.529999pt,8.31856pt" stroked="true" strokeweight=".5pt" strokecolor="#000000">
            <v:stroke dashstyle="solid"/>
            <w10:wrap type="none"/>
          </v:line>
        </w:pict>
      </w:r>
      <w:r>
        <w:rPr>
          <w:sz w:val="12"/>
        </w:rPr>
        <w:t>0.09</w:t>
      </w:r>
    </w:p>
    <w:p>
      <w:pPr>
        <w:pStyle w:val="BodyText"/>
        <w:spacing w:before="1"/>
        <w:rPr>
          <w:sz w:val="21"/>
        </w:rPr>
      </w:pPr>
      <w:r>
        <w:rPr/>
        <w:br w:type="column"/>
      </w:r>
      <w:r>
        <w:rPr>
          <w:sz w:val="21"/>
        </w:rPr>
      </w:r>
    </w:p>
    <w:p>
      <w:pPr>
        <w:pStyle w:val="Heading5"/>
        <w:spacing w:line="242" w:lineRule="auto"/>
        <w:ind w:left="172" w:right="155"/>
      </w:pPr>
      <w:r>
        <w:rPr>
          <w:color w:val="231F20"/>
          <w:spacing w:val="-3"/>
        </w:rPr>
        <w:t>have </w:t>
      </w:r>
      <w:r>
        <w:rPr>
          <w:color w:val="231F20"/>
        </w:rPr>
        <w:t>risen.  So financial intermediaries may </w:t>
      </w:r>
      <w:r>
        <w:rPr>
          <w:color w:val="231F20"/>
          <w:spacing w:val="-3"/>
        </w:rPr>
        <w:t>have </w:t>
      </w:r>
      <w:r>
        <w:rPr>
          <w:color w:val="231F20"/>
        </w:rPr>
        <w:t>built up money holdings to maintain the share of broad </w:t>
      </w:r>
      <w:r>
        <w:rPr>
          <w:color w:val="231F20"/>
          <w:spacing w:val="-4"/>
        </w:rPr>
        <w:t>money </w:t>
      </w:r>
      <w:r>
        <w:rPr>
          <w:color w:val="231F20"/>
        </w:rPr>
        <w:t>in their portfolio of assets. But Chart 2.3 shows that OFIs’ deposits </w:t>
      </w:r>
      <w:r>
        <w:rPr>
          <w:color w:val="231F20"/>
          <w:spacing w:val="-3"/>
        </w:rPr>
        <w:t>have </w:t>
      </w:r>
      <w:r>
        <w:rPr>
          <w:color w:val="231F20"/>
        </w:rPr>
        <w:t>increased as a proportion of their financial wealth, suggesting that they may </w:t>
      </w:r>
      <w:r>
        <w:rPr>
          <w:color w:val="231F20"/>
          <w:spacing w:val="-3"/>
        </w:rPr>
        <w:t>have </w:t>
      </w:r>
      <w:r>
        <w:rPr>
          <w:color w:val="231F20"/>
        </w:rPr>
        <w:t>built up additional money holdings to minimise the risk from potential future falls in asset</w:t>
      </w:r>
      <w:r>
        <w:rPr>
          <w:color w:val="231F20"/>
          <w:spacing w:val="-1"/>
        </w:rPr>
        <w:t> </w:t>
      </w:r>
      <w:r>
        <w:rPr>
          <w:color w:val="231F20"/>
        </w:rPr>
        <w:t>prices.</w:t>
      </w:r>
    </w:p>
    <w:p>
      <w:pPr>
        <w:spacing w:after="0" w:line="242" w:lineRule="auto"/>
        <w:sectPr>
          <w:type w:val="continuous"/>
          <w:pgSz w:w="11880" w:h="16840"/>
          <w:pgMar w:top="1040" w:bottom="280" w:left="640" w:right="640"/>
          <w:cols w:num="2" w:equalWidth="0">
            <w:col w:w="3804" w:space="988"/>
            <w:col w:w="5808"/>
          </w:cols>
        </w:sectPr>
      </w:pPr>
    </w:p>
    <w:p>
      <w:pPr>
        <w:pStyle w:val="BodyText"/>
        <w:spacing w:before="3"/>
        <w:rPr>
          <w:sz w:val="9"/>
        </w:rPr>
      </w:pPr>
    </w:p>
    <w:p>
      <w:pPr>
        <w:spacing w:after="0"/>
        <w:rPr>
          <w:sz w:val="9"/>
        </w:rPr>
        <w:sectPr>
          <w:type w:val="continuous"/>
          <w:pgSz w:w="11880" w:h="16840"/>
          <w:pgMar w:top="104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4"/>
        </w:rPr>
      </w:pPr>
    </w:p>
    <w:p>
      <w:pPr>
        <w:spacing w:before="0"/>
        <w:ind w:left="460" w:right="0" w:firstLine="0"/>
        <w:jc w:val="left"/>
        <w:rPr>
          <w:sz w:val="12"/>
        </w:rPr>
      </w:pPr>
      <w:r>
        <w:rPr>
          <w:sz w:val="12"/>
        </w:rPr>
        <w:t>1987 88 89 90 91 92 93 94 95 96 97</w:t>
      </w:r>
    </w:p>
    <w:p>
      <w:pPr>
        <w:spacing w:before="67"/>
        <w:ind w:left="172" w:right="0" w:firstLine="0"/>
        <w:jc w:val="left"/>
        <w:rPr>
          <w:sz w:val="12"/>
        </w:rPr>
      </w:pPr>
      <w:r>
        <w:rPr>
          <w:color w:val="231F20"/>
          <w:sz w:val="12"/>
        </w:rPr>
        <w:t>Sources: ONS and Bank of England.</w:t>
      </w:r>
    </w:p>
    <w:p>
      <w:pPr>
        <w:spacing w:before="95"/>
        <w:ind w:left="113" w:right="0" w:firstLine="0"/>
        <w:jc w:val="left"/>
        <w:rPr>
          <w:sz w:val="12"/>
        </w:rPr>
      </w:pPr>
      <w:r>
        <w:rPr/>
        <w:br w:type="column"/>
      </w:r>
      <w:r>
        <w:rPr>
          <w:sz w:val="12"/>
        </w:rPr>
        <w:t>0.08</w:t>
      </w:r>
    </w:p>
    <w:p>
      <w:pPr>
        <w:pStyle w:val="BodyText"/>
        <w:rPr>
          <w:sz w:val="12"/>
        </w:rPr>
      </w:pPr>
    </w:p>
    <w:p>
      <w:pPr>
        <w:pStyle w:val="BodyText"/>
        <w:rPr>
          <w:sz w:val="12"/>
        </w:rPr>
      </w:pPr>
    </w:p>
    <w:p>
      <w:pPr>
        <w:spacing w:before="81"/>
        <w:ind w:left="113" w:right="0" w:firstLine="0"/>
        <w:jc w:val="left"/>
        <w:rPr>
          <w:sz w:val="12"/>
        </w:rPr>
      </w:pPr>
      <w:r>
        <w:rPr/>
        <w:pict>
          <v:line style="position:absolute;mso-position-horizontal-relative:page;mso-position-vertical-relative:paragraph;z-index:15745536" from="207.529999pt,7.81856pt" to="202.529999pt,7.81856pt" stroked="true" strokeweight=".5pt" strokecolor="#000000">
            <v:stroke dashstyle="solid"/>
            <w10:wrap type="none"/>
          </v:line>
        </w:pict>
      </w:r>
      <w:r>
        <w:rPr>
          <w:sz w:val="12"/>
        </w:rPr>
        <w:t>0.07</w:t>
      </w:r>
    </w:p>
    <w:p>
      <w:pPr>
        <w:pStyle w:val="BodyText"/>
        <w:rPr>
          <w:sz w:val="12"/>
        </w:rPr>
      </w:pPr>
    </w:p>
    <w:p>
      <w:pPr>
        <w:pStyle w:val="BodyText"/>
        <w:rPr>
          <w:sz w:val="12"/>
        </w:rPr>
      </w:pPr>
    </w:p>
    <w:p>
      <w:pPr>
        <w:spacing w:before="91"/>
        <w:ind w:left="113" w:right="0" w:firstLine="0"/>
        <w:jc w:val="left"/>
        <w:rPr>
          <w:sz w:val="12"/>
        </w:rPr>
      </w:pPr>
      <w:r>
        <w:rPr/>
        <w:pict>
          <v:line style="position:absolute;mso-position-horizontal-relative:page;mso-position-vertical-relative:paragraph;z-index:15745024" from="207.529999pt,8.06856pt" to="202.529999pt,8.06856pt" stroked="true" strokeweight=".5pt" strokecolor="#000000">
            <v:stroke dashstyle="solid"/>
            <w10:wrap type="none"/>
          </v:line>
        </w:pict>
      </w:r>
      <w:r>
        <w:rPr>
          <w:sz w:val="12"/>
        </w:rPr>
        <w:t>0.06</w:t>
      </w:r>
    </w:p>
    <w:p>
      <w:pPr>
        <w:pStyle w:val="BodyText"/>
        <w:rPr>
          <w:sz w:val="12"/>
        </w:rPr>
      </w:pPr>
    </w:p>
    <w:p>
      <w:pPr>
        <w:pStyle w:val="BodyText"/>
        <w:rPr>
          <w:sz w:val="12"/>
        </w:rPr>
      </w:pPr>
    </w:p>
    <w:p>
      <w:pPr>
        <w:spacing w:before="86"/>
        <w:ind w:left="113" w:right="0" w:firstLine="0"/>
        <w:jc w:val="left"/>
        <w:rPr>
          <w:sz w:val="12"/>
        </w:rPr>
      </w:pPr>
      <w:r>
        <w:rPr/>
        <w:pict>
          <v:group style="position:absolute;margin-left:43.529999pt;margin-top:7.56856pt;width:165.25pt;height:7.5pt;mso-position-horizontal-relative:page;mso-position-vertical-relative:paragraph;z-index:15744000" coordorigin="871,151" coordsize="3305,150">
            <v:shape style="position:absolute;left:870;top:156;width:3280;height:140" coordorigin="871,156" coordsize="3280,140" path="m971,156l871,156m4151,156l4051,156m991,296l4011,296m991,296l991,256m1071,296l1071,256m1151,296l1151,256m1211,296l1211,256m1291,296l1291,256m1351,296l1351,256m1431,296l1431,256m1511,296l1511,256m1571,296l1571,256m1651,296l1651,256m1711,296l1711,256m1791,296l1791,256m1851,296l1851,256m1931,296l1931,256m2011,296l2011,256m2071,296l2071,256m2151,296l2151,256m2211,296l2211,256m2291,296l2291,256m2371,296l2371,256m2431,296l2431,256m2511,296l2511,256m2571,296l2571,256m2651,296l2651,256m2711,296l2711,256m2791,296l2791,256m2871,296l2871,256m2931,296l2931,256m3011,296l3011,256m3071,296l3071,256m3151,296l3151,256m3231,296l3231,256m3291,296l3291,256m3371,296l3371,256m3431,296l3431,256m3511,296l3511,256m3571,296l3571,256m3651,296l3651,256m3731,296l3731,256m3791,296l3791,256m3871,296l3871,256m3931,296l3931,256m4011,296l4011,256m1071,296l1071,216m1351,296l1351,216m1651,296l1651,216m1931,296l1931,216m2211,296l2211,216m2511,296l2511,216m2791,296l2791,216m3071,296l3071,216m3371,296l3371,216m3651,296l3651,216m3931,296l3931,216m1011,296l871,296m4151,296l3976,296e" filled="false" stroked="true" strokeweight=".5pt" strokecolor="#000000">
              <v:path arrowok="t"/>
              <v:stroke dashstyle="solid"/>
            </v:shape>
            <v:shape style="position:absolute;left:934;top:159;width:3235;height:135" coordorigin="935,160" coordsize="3235,135" path="m4150,160l4150,194,4130,210,4170,224,4130,244,4170,260,4146,270,4146,294m955,163l955,190,935,206,975,220,935,240,975,257,951,267,951,290e" filled="false" stroked="true" strokeweight=".5pt" strokecolor="#000000">
              <v:path arrowok="t"/>
              <v:stroke dashstyle="solid"/>
            </v:shape>
            <w10:wrap type="none"/>
          </v:group>
        </w:pict>
      </w:r>
      <w:r>
        <w:rPr>
          <w:sz w:val="12"/>
        </w:rPr>
        <w:t>0.05</w:t>
      </w:r>
    </w:p>
    <w:p>
      <w:pPr>
        <w:spacing w:before="12"/>
        <w:ind w:left="113" w:right="0" w:firstLine="0"/>
        <w:jc w:val="left"/>
        <w:rPr>
          <w:sz w:val="12"/>
        </w:rPr>
      </w:pPr>
      <w:r>
        <w:rPr>
          <w:sz w:val="12"/>
        </w:rPr>
        <w:t>0.00</w:t>
      </w:r>
    </w:p>
    <w:p>
      <w:pPr>
        <w:pStyle w:val="Heading5"/>
        <w:spacing w:line="242" w:lineRule="auto" w:before="183"/>
        <w:ind w:left="172" w:right="161"/>
      </w:pPr>
      <w:r>
        <w:rPr/>
        <w:br w:type="column"/>
      </w:r>
      <w:r>
        <w:rPr>
          <w:color w:val="231F20"/>
        </w:rPr>
        <w:t>OFIs could use their deposits to buy financial assets from persons and companies. So the implications for inflation of rapidly growing OFIs’ deposits depend partly on the behaviour of the personal sector and companies. These sectors could use deposits transferred from OFIs to repay debt, without inflationary implications. But fast growth of OFIs’ deposits could signal inflationary pressures if these sectors use such additional deposits to increase consumption and investment spending. And increased OFIs’ demand for assets may </w:t>
      </w:r>
      <w:r>
        <w:rPr>
          <w:color w:val="231F20"/>
          <w:spacing w:val="-3"/>
        </w:rPr>
        <w:t>have </w:t>
      </w:r>
      <w:r>
        <w:rPr>
          <w:color w:val="231F20"/>
        </w:rPr>
        <w:t>contributed to higher asset prices, </w:t>
      </w:r>
      <w:r>
        <w:rPr>
          <w:color w:val="231F20"/>
          <w:spacing w:val="-3"/>
        </w:rPr>
        <w:t>which </w:t>
      </w:r>
      <w:r>
        <w:rPr>
          <w:color w:val="231F20"/>
        </w:rPr>
        <w:t>in turn stimulate consumption and</w:t>
      </w:r>
      <w:r>
        <w:rPr>
          <w:color w:val="231F20"/>
          <w:spacing w:val="-4"/>
        </w:rPr>
        <w:t> </w:t>
      </w:r>
      <w:r>
        <w:rPr>
          <w:color w:val="231F20"/>
        </w:rPr>
        <w:t>investment.</w:t>
      </w:r>
    </w:p>
    <w:p>
      <w:pPr>
        <w:pStyle w:val="BodyText"/>
        <w:spacing w:before="8"/>
        <w:rPr>
          <w:sz w:val="32"/>
        </w:rPr>
      </w:pPr>
    </w:p>
    <w:p>
      <w:pPr>
        <w:pStyle w:val="Heading6"/>
        <w:ind w:left="173"/>
        <w:rPr>
          <w:i/>
        </w:rPr>
      </w:pPr>
      <w:r>
        <w:rPr>
          <w:i/>
          <w:color w:val="009483"/>
        </w:rPr>
        <w:t>Personal sector</w:t>
      </w:r>
    </w:p>
    <w:p>
      <w:pPr>
        <w:spacing w:line="242" w:lineRule="auto" w:before="124"/>
        <w:ind w:left="173" w:right="155" w:firstLine="0"/>
        <w:jc w:val="left"/>
        <w:rPr>
          <w:sz w:val="24"/>
        </w:rPr>
      </w:pPr>
      <w:r>
        <w:rPr>
          <w:color w:val="231F20"/>
          <w:sz w:val="24"/>
        </w:rPr>
        <w:t>The personal sector’s demand for broad money depends largely on its income, wealth, consumption and relative rates of return. The personal sector’s deposits and holdings of broad money have continued growing strongly. They rose by 7.5% in the year to 1997 Q3,</w:t>
      </w:r>
    </w:p>
    <w:p>
      <w:pPr>
        <w:spacing w:after="0" w:line="242" w:lineRule="auto"/>
        <w:jc w:val="left"/>
        <w:rPr>
          <w:sz w:val="24"/>
        </w:rPr>
        <w:sectPr>
          <w:type w:val="continuous"/>
          <w:pgSz w:w="11880" w:h="16840"/>
          <w:pgMar w:top="1040" w:bottom="280" w:left="640" w:right="640"/>
          <w:cols w:num="3" w:equalWidth="0">
            <w:col w:w="3401" w:space="40"/>
            <w:col w:w="364" w:space="987"/>
            <w:col w:w="5808"/>
          </w:cols>
        </w:sectPr>
      </w:pPr>
    </w:p>
    <w:p>
      <w:pPr>
        <w:pStyle w:val="BodyText"/>
        <w:rPr>
          <w:sz w:val="20"/>
        </w:rPr>
      </w:pPr>
    </w:p>
    <w:p>
      <w:pPr>
        <w:spacing w:after="0"/>
        <w:rPr>
          <w:sz w:val="20"/>
        </w:rPr>
        <w:sectPr>
          <w:headerReference w:type="even" r:id="rId17"/>
          <w:headerReference w:type="default" r:id="rId18"/>
          <w:footerReference w:type="even" r:id="rId19"/>
          <w:footerReference w:type="default" r:id="rId20"/>
          <w:pgSz w:w="11880" w:h="16840"/>
          <w:pgMar w:header="566" w:footer="597" w:top="760" w:bottom="780" w:left="640" w:right="640"/>
          <w:pgNumType w:start="10"/>
        </w:sectPr>
      </w:pPr>
    </w:p>
    <w:p>
      <w:pPr>
        <w:pStyle w:val="BodyText"/>
        <w:spacing w:before="10"/>
        <w:rPr>
          <w:sz w:val="19"/>
        </w:rPr>
      </w:pPr>
    </w:p>
    <w:p>
      <w:pPr>
        <w:pStyle w:val="Heading9"/>
        <w:spacing w:before="1"/>
        <w:ind w:left="155"/>
      </w:pPr>
      <w:bookmarkStart w:name="Industrial and commercial companies (ICC" w:id="17"/>
      <w:bookmarkEnd w:id="17"/>
      <w:r>
        <w:rPr>
          <w:b w:val="0"/>
        </w:rPr>
      </w:r>
      <w:bookmarkStart w:name="Divisia money" w:id="18"/>
      <w:bookmarkEnd w:id="18"/>
      <w:r>
        <w:rPr>
          <w:b w:val="0"/>
        </w:rPr>
      </w:r>
      <w:bookmarkStart w:name="_bookmark9" w:id="19"/>
      <w:bookmarkEnd w:id="19"/>
      <w:r>
        <w:rPr>
          <w:b w:val="0"/>
        </w:rPr>
      </w:r>
      <w:r>
        <w:rPr>
          <w:color w:val="0093C1"/>
        </w:rPr>
        <w:t>Chart 2.4</w:t>
      </w:r>
    </w:p>
    <w:p>
      <w:pPr>
        <w:spacing w:line="249" w:lineRule="auto" w:before="10"/>
        <w:ind w:left="155" w:right="318" w:firstLine="0"/>
        <w:jc w:val="left"/>
        <w:rPr>
          <w:b/>
          <w:sz w:val="20"/>
        </w:rPr>
      </w:pPr>
      <w:r>
        <w:rPr>
          <w:b/>
          <w:color w:val="0093C1"/>
          <w:sz w:val="20"/>
        </w:rPr>
        <w:t>Annual growth in ICCs’ deposits and investment</w:t>
      </w:r>
    </w:p>
    <w:p>
      <w:pPr>
        <w:spacing w:line="119" w:lineRule="exact" w:before="48"/>
        <w:ind w:left="1723" w:right="0" w:firstLine="0"/>
        <w:jc w:val="left"/>
        <w:rPr>
          <w:sz w:val="12"/>
        </w:rPr>
      </w:pPr>
      <w:r>
        <w:rPr>
          <w:sz w:val="12"/>
        </w:rPr>
        <w:t>Percentage changes on a year earlier</w:t>
      </w:r>
    </w:p>
    <w:p>
      <w:pPr>
        <w:spacing w:line="119" w:lineRule="exact" w:before="0"/>
        <w:ind w:left="3517" w:right="0" w:firstLine="0"/>
        <w:jc w:val="left"/>
        <w:rPr>
          <w:sz w:val="12"/>
        </w:rPr>
      </w:pPr>
      <w:r>
        <w:rPr/>
        <w:pict>
          <v:line style="position:absolute;mso-position-horizontal-relative:page;mso-position-vertical-relative:paragraph;z-index:15755776" from="44.349998pt,2.154856pt" to="39.349998pt,2.154856pt" stroked="true" strokeweight=".5pt" strokecolor="#000000">
            <v:stroke dashstyle="solid"/>
            <w10:wrap type="none"/>
          </v:line>
        </w:pict>
      </w:r>
      <w:r>
        <w:rPr/>
        <w:pict>
          <v:line style="position:absolute;mso-position-horizontal-relative:page;mso-position-vertical-relative:paragraph;z-index:15758848" from="205.350006pt,2.154856pt" to="200.350006pt,2.154856pt" stroked="true" strokeweight=".5pt" strokecolor="#000000">
            <v:stroke dashstyle="solid"/>
            <w10:wrap type="none"/>
          </v:line>
        </w:pict>
      </w:r>
      <w:r>
        <w:rPr>
          <w:sz w:val="12"/>
        </w:rPr>
        <w:t>60</w:t>
      </w:r>
    </w:p>
    <w:p>
      <w:pPr>
        <w:pStyle w:val="BodyText"/>
        <w:rPr>
          <w:sz w:val="12"/>
        </w:rPr>
      </w:pPr>
    </w:p>
    <w:p>
      <w:pPr>
        <w:spacing w:before="84"/>
        <w:ind w:left="0" w:right="38" w:firstLine="0"/>
        <w:jc w:val="right"/>
        <w:rPr>
          <w:sz w:val="12"/>
        </w:rPr>
      </w:pPr>
      <w:r>
        <w:rPr/>
        <w:pict>
          <v:group style="position:absolute;margin-left:39.349998pt;margin-top:1.80554pt;width:166pt;height:125pt;mso-position-horizontal-relative:page;mso-position-vertical-relative:paragraph;z-index:15754240" coordorigin="787,36" coordsize="3320,2500">
            <v:shape style="position:absolute;left:787;top:546;width:3320;height:1880" coordorigin="787,546" coordsize="3320,1880" path="m927,2046l3947,2046m887,2046l787,2046m4107,2046l4007,2046m887,2426l787,2426m887,1666l787,1666m887,1286l787,1286m887,926l787,926m887,546l787,546e" filled="false" stroked="true" strokeweight=".5pt" strokecolor="#000000">
              <v:path arrowok="t"/>
              <v:stroke dashstyle="solid"/>
            </v:shape>
            <v:shape style="position:absolute;left:927;top:46;width:2980;height:2480" coordorigin="927,46" coordsize="2980,2480" path="m927,1566l967,1886,987,1946,1007,1886,1027,2026,1047,2086,1067,2066,1087,2146,1127,2066,1147,1886,1167,2266,1187,2406,1207,2046,1227,2006,1267,1426,1287,546,1307,1666,1327,1466,1347,1586,1367,1966m1367,1966l1387,1346,1407,1486,1447,1566,1467,1746,1487,1906,1507,1926,1527,1906,1567,2006,1587,1666,1607,1646,1627,1866,1647,1386,1667,926,1687,1266,1707,946,1747,986,1767,1546,1787,1166,1807,1046m1807,1046l1827,1246,1847,1186,1867,1486,1907,1226,1927,1706,1947,1746,1967,1166,1987,1406,2007,1126,2047,1286,2067,1066,2087,1506,2107,1066,2127,166,2147,926,2167,866,2207,1226,2227,1546,2247,1526m2247,1526l2267,1186,2287,1146,2307,1586,2327,1626,2367,1906,2387,1906,2407,2006,2427,2046,2447,2026,2467,2126,2507,1966,2527,1926,2547,1706,2567,1806,2587,1866,2607,2066,2627,2226,2667,1706,2687,1526m2687,1526l2707,1006,2727,826,2747,946,2767,46,2787,1166,2827,1166,2847,1426,2867,2146,2907,1786,2927,1786,2967,1746,2987,1126,3007,1166,3027,846,3047,1166,3067,1106,3087,1366,3107,1346m3107,1346l3147,1086,3167,1126,3187,1146,3207,1686m3207,1686l3227,1586,3267,1766,3287,2046,3307,2106,3327,2306,3347,2526,3367,2426,3387,2286,3427,2286,3447,2206,3467,2186,3487,2206,3507,2146,3527,1966,3547,2186,3587,1866,3607,2146,3627,2246,3647,1886m3647,1886l3667,2026,3687,1766,3707,1246,3747,1486,3767,1486,3787,1266,3807,1806,3827,1806,3847,1506,3887,1606,3907,1506e" filled="false" stroked="true" strokeweight="1pt" strokecolor="#ed1b2d">
              <v:path arrowok="t"/>
              <v:stroke dashstyle="solid"/>
            </v:shape>
            <v:shape style="position:absolute;left:987;top:246;width:2700;height:2140" coordorigin="987,246" coordsize="2700,2140" path="m987,1726l1007,2046,1027,2026,1047,1946,1067,2026,1087,1846,1127,1826,1147,2006,1167,1966,1207,2006,1227,1846,1267,1606,1287,1666,1307,1526,1327,1466,1347,1866,1367,1706,1387,1966,1407,2386m1407,2386l1447,2206,1467,2386,1487,2326,1507,1926,1527,1966,1567,1906,1587,1446,1607,1326,1627,1306,1647,826,1667,986,1687,646,1707,266,1747,346,1767,246,1787,666,1807,526,1827,706,1847,1206m1847,1206l1867,1446,1907,2146,1927,2346,1947,2086,1967,2106,1987,1646,2007,1586,2047,1686,2067,1366,2087,1446,2107,1486,2127,1506,2147,1766,2167,1766,2207,1406,2227,1186,2247,1206,2267,1346,2287,1626m2287,1626l2307,1966,2327,1886,2367,2066,2387,2146,2407,2186,2427,2126,2447,1706,2467,1366,2507,1046,2527,806,2547,866,2567,1166,2587,1266,2607,1726,2627,1926,2687,1926,2707,1626,2727,1626m2727,1626l2747,1346,2767,1366,2787,1486,2827,1346,2847,1586,2867,1486,2887,1566,2907,1626,2927,1606,2967,1546,2987,1246,3007,986,3027,866,3047,1106,3087,1386,3107,1326,3147,1286,3167,1426m3167,1426l3187,1526,3207,1706,3227,1626,3247,1526m3247,1526l3287,1526,3307,1386,3327,1426,3367,1666,3387,1926,3427,2046,3447,1946,3467,1926,3487,1686,3507,1726,3527,1806,3547,1806,3587,2026,3607,1946,3627,1946,3647,1906,3667,1746,3687,1606e" filled="false" stroked="true" strokeweight="1pt" strokecolor="#0066a5">
              <v:path arrowok="t"/>
              <v:stroke dashstyle="solid"/>
            </v:shape>
            <v:line style="position:absolute" from="4107,1666" to="4007,1666" stroked="true" strokeweight=".5pt" strokecolor="#000000">
              <v:stroke dashstyle="solid"/>
            </v:line>
            <v:shape style="position:absolute;left:3677;top:1596;width:280;height:360" type="#_x0000_t75" stroked="false">
              <v:imagedata r:id="rId21" o:title=""/>
            </v:shape>
            <v:shape style="position:absolute;left:1076;top:229;width:604;height:133" type="#_x0000_t202" filled="false" stroked="false">
              <v:textbox inset="0,0,0,0">
                <w:txbxContent>
                  <w:p>
                    <w:pPr>
                      <w:spacing w:line="133" w:lineRule="exact" w:before="0"/>
                      <w:ind w:left="0" w:right="0" w:firstLine="0"/>
                      <w:jc w:val="left"/>
                      <w:rPr>
                        <w:sz w:val="12"/>
                      </w:rPr>
                    </w:pPr>
                    <w:r>
                      <w:rPr>
                        <w:sz w:val="12"/>
                      </w:rPr>
                      <w:t>Deposits (a)</w:t>
                    </w:r>
                  </w:p>
                </w:txbxContent>
              </v:textbox>
              <w10:wrap type="none"/>
            </v:shape>
            <v:shape style="position:absolute;left:2597;top:2399;width:724;height:133" type="#_x0000_t202" filled="false" stroked="false">
              <v:textbox inset="0,0,0,0">
                <w:txbxContent>
                  <w:p>
                    <w:pPr>
                      <w:spacing w:line="133" w:lineRule="exact" w:before="0"/>
                      <w:ind w:left="0" w:right="0" w:firstLine="0"/>
                      <w:jc w:val="left"/>
                      <w:rPr>
                        <w:sz w:val="12"/>
                      </w:rPr>
                    </w:pPr>
                    <w:r>
                      <w:rPr>
                        <w:sz w:val="12"/>
                      </w:rPr>
                      <w:t>Investment (b)</w:t>
                    </w:r>
                  </w:p>
                </w:txbxContent>
              </v:textbox>
              <w10:wrap type="none"/>
            </v:shape>
            <w10:wrap type="none"/>
          </v:group>
        </w:pict>
      </w:r>
      <w:r>
        <w:rPr/>
        <w:pict>
          <v:line style="position:absolute;mso-position-horizontal-relative:page;mso-position-vertical-relative:paragraph;z-index:15755264" from="44.349998pt,8.305539pt" to="39.349998pt,8.305539pt" stroked="true" strokeweight=".5pt" strokecolor="#000000">
            <v:stroke dashstyle="solid"/>
            <w10:wrap type="none"/>
          </v:line>
        </w:pict>
      </w:r>
      <w:r>
        <w:rPr/>
        <w:pict>
          <v:line style="position:absolute;mso-position-horizontal-relative:page;mso-position-vertical-relative:paragraph;z-index:15758336" from="205.350006pt,8.305539pt" to="200.350006pt,8.305539pt" stroked="true" strokeweight=".5pt" strokecolor="#000000">
            <v:stroke dashstyle="solid"/>
            <w10:wrap type="none"/>
          </v:line>
        </w:pict>
      </w:r>
      <w:r>
        <w:rPr>
          <w:sz w:val="12"/>
        </w:rPr>
        <w:t>50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757824" from="205.350006pt,9.303586pt" to="200.350006pt,9.303586pt" stroked="true" strokeweight=".5pt" strokecolor="#000000">
            <v:stroke dashstyle="solid"/>
            <w10:wrap type="none"/>
          </v:line>
        </w:pict>
      </w:r>
      <w:r>
        <w:rPr>
          <w:sz w:val="12"/>
        </w:rPr>
        <w:t>40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757312" from="205.350006pt,9.301572pt" to="200.350006pt,9.301572pt" stroked="true" strokeweight=".5pt" strokecolor="#000000">
            <v:stroke dashstyle="solid"/>
            <w10:wrap type="none"/>
          </v:line>
        </w:pict>
      </w:r>
      <w:r>
        <w:rPr>
          <w:sz w:val="12"/>
        </w:rPr>
        <w:t>30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756800" from="205.350006pt,8.299558pt" to="200.350006pt,8.299558pt" stroked="true" strokeweight=".5pt" strokecolor="#000000">
            <v:stroke dashstyle="solid"/>
            <w10:wrap type="none"/>
          </v:line>
        </w:pict>
      </w:r>
      <w:r>
        <w:rPr>
          <w:sz w:val="12"/>
        </w:rPr>
        <w:t>20</w:t>
      </w:r>
    </w:p>
    <w:p>
      <w:pPr>
        <w:pStyle w:val="BodyText"/>
        <w:rPr>
          <w:sz w:val="12"/>
        </w:rPr>
      </w:pPr>
    </w:p>
    <w:p>
      <w:pPr>
        <w:spacing w:before="104"/>
        <w:ind w:left="0" w:right="38" w:firstLine="0"/>
        <w:jc w:val="right"/>
        <w:rPr>
          <w:sz w:val="12"/>
        </w:rPr>
      </w:pPr>
      <w:r>
        <w:rPr>
          <w:sz w:val="12"/>
        </w:rPr>
        <w:t>10</w:t>
      </w:r>
    </w:p>
    <w:p>
      <w:pPr>
        <w:spacing w:before="35"/>
        <w:ind w:left="3487" w:right="0" w:firstLine="0"/>
        <w:jc w:val="left"/>
        <w:rPr>
          <w:sz w:val="16"/>
        </w:rPr>
      </w:pPr>
      <w:r>
        <w:rPr>
          <w:sz w:val="16"/>
        </w:rPr>
        <w:t>+</w:t>
      </w:r>
    </w:p>
    <w:p>
      <w:pPr>
        <w:spacing w:line="115" w:lineRule="exact" w:before="4"/>
        <w:ind w:left="3577" w:right="0" w:firstLine="0"/>
        <w:jc w:val="left"/>
        <w:rPr>
          <w:sz w:val="12"/>
        </w:rPr>
      </w:pPr>
      <w:r>
        <w:rPr>
          <w:sz w:val="12"/>
        </w:rPr>
        <w:t>0</w:t>
      </w:r>
    </w:p>
    <w:p>
      <w:pPr>
        <w:spacing w:line="161" w:lineRule="exact" w:before="0"/>
        <w:ind w:left="3487" w:right="0" w:firstLine="0"/>
        <w:jc w:val="left"/>
        <w:rPr>
          <w:sz w:val="16"/>
        </w:rPr>
      </w:pPr>
      <w:r>
        <w:rPr>
          <w:sz w:val="16"/>
        </w:rPr>
        <w:t>_</w:t>
      </w:r>
    </w:p>
    <w:p>
      <w:pPr>
        <w:spacing w:before="103"/>
        <w:ind w:left="0" w:right="38" w:firstLine="0"/>
        <w:jc w:val="right"/>
        <w:rPr>
          <w:sz w:val="12"/>
        </w:rPr>
      </w:pPr>
      <w:r>
        <w:rPr/>
        <w:pict>
          <v:line style="position:absolute;mso-position-horizontal-relative:page;mso-position-vertical-relative:paragraph;z-index:15756288" from="205.350006pt,9.251573pt" to="200.350006pt,9.251573pt" stroked="true" strokeweight=".5pt" strokecolor="#000000">
            <v:stroke dashstyle="solid"/>
            <w10:wrap type="none"/>
          </v:line>
        </w:pict>
      </w:r>
      <w:r>
        <w:rPr>
          <w:sz w:val="12"/>
        </w:rPr>
        <w:t>10</w:t>
      </w:r>
    </w:p>
    <w:p>
      <w:pPr>
        <w:pStyle w:val="BodyText"/>
        <w:rPr>
          <w:sz w:val="12"/>
        </w:rPr>
      </w:pPr>
    </w:p>
    <w:p>
      <w:pPr>
        <w:spacing w:line="55" w:lineRule="exact" w:before="104"/>
        <w:ind w:left="3517" w:right="0" w:firstLine="0"/>
        <w:jc w:val="left"/>
        <w:rPr>
          <w:sz w:val="12"/>
        </w:rPr>
      </w:pPr>
      <w:r>
        <w:rPr/>
        <w:pict>
          <v:shape style="position:absolute;margin-left:39.349998pt;margin-top:4.299558pt;width:166pt;height:5pt;mso-position-horizontal-relative:page;mso-position-vertical-relative:paragraph;z-index:15754752" coordorigin="787,86" coordsize="3320,100" path="m887,186l787,186m4107,186l4007,186m927,186l3947,186m927,186l927,146m1027,186l1027,146m1127,186l1127,146m1207,186l1207,146m1307,186l1307,146m1387,186l1387,146m1487,186l1487,146m1587,186l1587,146m1667,186l1667,146m1767,186l1767,146m1847,186l1847,146m1947,186l1947,146m2047,186l2047,146m2127,186l2127,146m2227,186l2227,146m2307,186l2307,146m2407,186l2407,146m2507,186l2507,146m2587,186l2587,146m2687,186l2687,146m2767,186l2767,146m2867,186l2867,146m2967,186l2967,146m3047,186l3047,146m3147,186l3147,146m3227,186l3227,146m3327,186l3327,146m3427,186l3427,146m3507,186l3507,146m3607,186l3607,146m3687,186l3687,146m3787,186l3787,146m3867,186l3867,146m927,186l927,86m1387,186l1387,86m1847,186l1847,86m2307,186l2307,86m2767,186l2767,86m3227,186l3227,86m3687,186l3687,86e" filled="false" stroked="true" strokeweight=".5pt" strokecolor="#000000">
            <v:path arrowok="t"/>
            <v:stroke dashstyle="solid"/>
            <w10:wrap type="none"/>
          </v:shape>
        </w:pict>
      </w:r>
      <w:r>
        <w:rPr>
          <w:sz w:val="12"/>
        </w:rPr>
        <w:t>20</w:t>
      </w:r>
    </w:p>
    <w:p>
      <w:pPr>
        <w:pStyle w:val="Heading5"/>
        <w:spacing w:line="242" w:lineRule="auto" w:before="220"/>
        <w:ind w:left="155" w:right="194"/>
        <w:rPr>
          <w:sz w:val="16"/>
        </w:rPr>
      </w:pPr>
      <w:r>
        <w:rPr/>
        <w:br w:type="column"/>
      </w:r>
      <w:r>
        <w:rPr>
          <w:color w:val="231F20"/>
        </w:rPr>
        <w:t>following an increase of 7.8% in the year to 1997 Q2, which was their highest rate of growth for six years. Slower growth of deposits might be expected following building society conversions, because savers in former building societies would no longer </w:t>
      </w:r>
      <w:r>
        <w:rPr>
          <w:color w:val="231F20"/>
          <w:spacing w:val="-3"/>
        </w:rPr>
        <w:t>have </w:t>
      </w:r>
      <w:r>
        <w:rPr>
          <w:color w:val="231F20"/>
        </w:rPr>
        <w:t>an incentive to hold high balances to maximise their allocation of shares. But retail deposits held in building society accounts </w:t>
      </w:r>
      <w:r>
        <w:rPr>
          <w:color w:val="231F20"/>
          <w:spacing w:val="-3"/>
        </w:rPr>
        <w:t>have </w:t>
      </w:r>
      <w:r>
        <w:rPr>
          <w:color w:val="231F20"/>
        </w:rPr>
        <w:t>continued to grow </w:t>
      </w:r>
      <w:r>
        <w:rPr>
          <w:color w:val="231F20"/>
          <w:spacing w:val="-3"/>
        </w:rPr>
        <w:t>rapidly, </w:t>
      </w:r>
      <w:r>
        <w:rPr>
          <w:color w:val="231F20"/>
        </w:rPr>
        <w:t>suggesting </w:t>
      </w:r>
      <w:r>
        <w:rPr>
          <w:color w:val="231F20"/>
          <w:spacing w:val="-4"/>
        </w:rPr>
        <w:t>that </w:t>
      </w:r>
      <w:r>
        <w:rPr>
          <w:color w:val="231F20"/>
        </w:rPr>
        <w:t>there may </w:t>
      </w:r>
      <w:r>
        <w:rPr>
          <w:color w:val="231F20"/>
          <w:spacing w:val="-3"/>
        </w:rPr>
        <w:t>have </w:t>
      </w:r>
      <w:r>
        <w:rPr>
          <w:color w:val="231F20"/>
        </w:rPr>
        <w:t>been speculative inflows in anticipation of future building society conversions.</w:t>
      </w:r>
      <w:r>
        <w:rPr>
          <w:color w:val="231F20"/>
          <w:position w:val="5"/>
          <w:sz w:val="16"/>
        </w:rPr>
        <w:t>(1)</w:t>
      </w:r>
    </w:p>
    <w:p>
      <w:pPr>
        <w:pStyle w:val="BodyText"/>
        <w:spacing w:before="5"/>
        <w:rPr>
          <w:sz w:val="25"/>
        </w:rPr>
      </w:pPr>
    </w:p>
    <w:p>
      <w:pPr>
        <w:spacing w:line="242" w:lineRule="auto" w:before="0"/>
        <w:ind w:left="155" w:right="0" w:firstLine="0"/>
        <w:jc w:val="left"/>
        <w:rPr>
          <w:sz w:val="24"/>
        </w:rPr>
      </w:pPr>
      <w:r>
        <w:rPr>
          <w:color w:val="231F20"/>
          <w:sz w:val="24"/>
        </w:rPr>
        <w:t>Personal sector wealth has risen rapidly recently: in the year to 1997 Q2, gross financial wealth rose by 13% and was nearly 30% higher than two years earlier. Rising</w:t>
      </w:r>
    </w:p>
    <w:p>
      <w:pPr>
        <w:spacing w:after="0" w:line="242" w:lineRule="auto"/>
        <w:jc w:val="left"/>
        <w:rPr>
          <w:sz w:val="24"/>
        </w:rPr>
        <w:sectPr>
          <w:type w:val="continuous"/>
          <w:pgSz w:w="11880" w:h="16840"/>
          <w:pgMar w:top="1040" w:bottom="280" w:left="640" w:right="640"/>
          <w:cols w:num="2" w:equalWidth="0">
            <w:col w:w="3678" w:space="1127"/>
            <w:col w:w="5795"/>
          </w:cols>
        </w:sectPr>
      </w:pPr>
    </w:p>
    <w:p>
      <w:pPr>
        <w:spacing w:before="55"/>
        <w:ind w:left="196" w:right="0" w:firstLine="0"/>
        <w:jc w:val="left"/>
        <w:rPr>
          <w:sz w:val="12"/>
        </w:rPr>
      </w:pPr>
      <w:r>
        <w:rPr>
          <w:sz w:val="12"/>
        </w:rPr>
        <w:t>1965</w:t>
      </w:r>
    </w:p>
    <w:p>
      <w:pPr>
        <w:tabs>
          <w:tab w:pos="636" w:val="left" w:leader="none"/>
          <w:tab w:pos="1116" w:val="left" w:leader="none"/>
          <w:tab w:pos="1556" w:val="left" w:leader="none"/>
          <w:tab w:pos="2016" w:val="left" w:leader="none"/>
          <w:tab w:pos="2476" w:val="left" w:leader="none"/>
        </w:tabs>
        <w:spacing w:before="55"/>
        <w:ind w:left="196" w:right="0" w:firstLine="0"/>
        <w:jc w:val="left"/>
        <w:rPr>
          <w:sz w:val="12"/>
        </w:rPr>
      </w:pPr>
      <w:r>
        <w:rPr/>
        <w:br w:type="column"/>
      </w:r>
      <w:r>
        <w:rPr>
          <w:sz w:val="12"/>
        </w:rPr>
        <w:t>70</w:t>
        <w:tab/>
        <w:t>75</w:t>
        <w:tab/>
        <w:t>80</w:t>
        <w:tab/>
        <w:t>85</w:t>
        <w:tab/>
        <w:t>90</w:t>
        <w:tab/>
        <w:t>95</w:t>
      </w:r>
    </w:p>
    <w:p>
      <w:pPr>
        <w:pStyle w:val="Heading5"/>
        <w:spacing w:line="255" w:lineRule="exact"/>
        <w:ind w:left="196"/>
      </w:pPr>
      <w:r>
        <w:rPr/>
        <w:br w:type="column"/>
      </w:r>
      <w:r>
        <w:rPr>
          <w:color w:val="231F20"/>
        </w:rPr>
        <w:t>equity and house prices have contributed to the increase</w:t>
      </w:r>
    </w:p>
    <w:p>
      <w:pPr>
        <w:spacing w:after="0" w:line="255" w:lineRule="exact"/>
        <w:sectPr>
          <w:type w:val="continuous"/>
          <w:pgSz w:w="11880" w:h="16840"/>
          <w:pgMar w:top="1040" w:bottom="280" w:left="640" w:right="640"/>
          <w:cols w:num="3" w:equalWidth="0">
            <w:col w:w="477" w:space="63"/>
            <w:col w:w="2637" w:space="1585"/>
            <w:col w:w="5838"/>
          </w:cols>
        </w:sectPr>
      </w:pPr>
    </w:p>
    <w:p>
      <w:pPr>
        <w:spacing w:line="133" w:lineRule="exact" w:before="0"/>
        <w:ind w:left="157" w:right="0" w:firstLine="0"/>
        <w:jc w:val="left"/>
        <w:rPr>
          <w:sz w:val="12"/>
        </w:rPr>
      </w:pPr>
      <w:r>
        <w:rPr>
          <w:color w:val="231F20"/>
          <w:sz w:val="12"/>
        </w:rPr>
        <w:t>Sources: ONS and Bank of England.</w:t>
      </w:r>
    </w:p>
    <w:p>
      <w:pPr>
        <w:pStyle w:val="ListParagraph"/>
        <w:numPr>
          <w:ilvl w:val="0"/>
          <w:numId w:val="5"/>
        </w:numPr>
        <w:tabs>
          <w:tab w:pos="397" w:val="left" w:leader="none"/>
        </w:tabs>
        <w:spacing w:line="129" w:lineRule="exact" w:before="102" w:after="0"/>
        <w:ind w:left="397" w:right="0" w:hanging="240"/>
        <w:jc w:val="left"/>
        <w:rPr>
          <w:sz w:val="12"/>
        </w:rPr>
      </w:pPr>
      <w:r>
        <w:rPr>
          <w:color w:val="231F20"/>
          <w:sz w:val="12"/>
        </w:rPr>
        <w:t>ICCs’ deposit growth lagged by four quarters.</w:t>
      </w:r>
    </w:p>
    <w:p>
      <w:pPr>
        <w:pStyle w:val="ListParagraph"/>
        <w:numPr>
          <w:ilvl w:val="0"/>
          <w:numId w:val="5"/>
        </w:numPr>
        <w:tabs>
          <w:tab w:pos="397" w:val="left" w:leader="none"/>
        </w:tabs>
        <w:spacing w:line="129" w:lineRule="exact" w:before="0" w:after="0"/>
        <w:ind w:left="397" w:right="0" w:hanging="240"/>
        <w:jc w:val="left"/>
        <w:rPr>
          <w:sz w:val="12"/>
        </w:rPr>
      </w:pPr>
      <w:r>
        <w:rPr>
          <w:color w:val="231F20"/>
          <w:sz w:val="12"/>
        </w:rPr>
        <w:t>At current market prices.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pStyle w:val="Heading9"/>
        <w:spacing w:before="0"/>
        <w:ind w:left="164"/>
      </w:pPr>
      <w:r>
        <w:rPr>
          <w:color w:val="0093C1"/>
        </w:rPr>
        <w:t>Table 2.B</w:t>
      </w:r>
    </w:p>
    <w:p>
      <w:pPr>
        <w:spacing w:before="11"/>
        <w:ind w:left="164" w:right="0" w:firstLine="0"/>
        <w:jc w:val="left"/>
        <w:rPr>
          <w:b/>
          <w:sz w:val="20"/>
        </w:rPr>
      </w:pPr>
      <w:r>
        <w:rPr>
          <w:b/>
          <w:color w:val="0093C1"/>
          <w:sz w:val="20"/>
        </w:rPr>
        <w:t>Divisia and M4 annual growth rates</w:t>
      </w:r>
    </w:p>
    <w:p>
      <w:pPr>
        <w:spacing w:before="106"/>
        <w:ind w:left="164" w:right="0" w:firstLine="0"/>
        <w:jc w:val="left"/>
        <w:rPr>
          <w:sz w:val="14"/>
        </w:rPr>
      </w:pPr>
      <w:r>
        <w:rPr>
          <w:color w:val="231F20"/>
          <w:sz w:val="14"/>
        </w:rPr>
        <w:t>Percentage change in the year to 1997 Q3</w:t>
      </w:r>
    </w:p>
    <w:p>
      <w:pPr>
        <w:tabs>
          <w:tab w:pos="3283" w:val="left" w:leader="none"/>
        </w:tabs>
        <w:spacing w:before="119"/>
        <w:ind w:left="1844" w:right="0" w:firstLine="0"/>
        <w:jc w:val="left"/>
        <w:rPr>
          <w:sz w:val="14"/>
        </w:rPr>
      </w:pPr>
      <w:r>
        <w:rPr>
          <w:color w:val="231F20"/>
          <w:sz w:val="14"/>
        </w:rPr>
        <w:t>Divisia</w:t>
        <w:tab/>
        <w:t>M4</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405"/>
        <w:gridCol w:w="1039"/>
        <w:gridCol w:w="313"/>
      </w:tblGrid>
      <w:tr>
        <w:trPr>
          <w:trHeight w:val="252" w:hRule="atLeast"/>
        </w:trPr>
        <w:tc>
          <w:tcPr>
            <w:tcW w:w="1731" w:type="dxa"/>
          </w:tcPr>
          <w:p>
            <w:pPr>
              <w:pStyle w:val="TableParagraph"/>
              <w:spacing w:line="133" w:lineRule="exact" w:before="99"/>
              <w:ind w:left="50"/>
              <w:rPr>
                <w:sz w:val="14"/>
              </w:rPr>
            </w:pPr>
            <w:r>
              <w:rPr>
                <w:color w:val="231F20"/>
                <w:sz w:val="14"/>
              </w:rPr>
              <w:t>Personal sector</w:t>
            </w:r>
          </w:p>
        </w:tc>
        <w:tc>
          <w:tcPr>
            <w:tcW w:w="405" w:type="dxa"/>
            <w:tcBorders>
              <w:top w:val="single" w:sz="2" w:space="0" w:color="231F20"/>
            </w:tcBorders>
          </w:tcPr>
          <w:p>
            <w:pPr>
              <w:pStyle w:val="TableParagraph"/>
              <w:spacing w:line="133" w:lineRule="exact" w:before="94"/>
              <w:ind w:right="43"/>
              <w:jc w:val="right"/>
              <w:rPr>
                <w:sz w:val="14"/>
              </w:rPr>
            </w:pPr>
            <w:r>
              <w:rPr>
                <w:color w:val="231F20"/>
                <w:sz w:val="14"/>
              </w:rPr>
              <w:t>7.9</w:t>
            </w:r>
          </w:p>
        </w:tc>
        <w:tc>
          <w:tcPr>
            <w:tcW w:w="1039" w:type="dxa"/>
          </w:tcPr>
          <w:p>
            <w:pPr>
              <w:pStyle w:val="TableParagraph"/>
              <w:rPr>
                <w:sz w:val="18"/>
              </w:rPr>
            </w:pPr>
          </w:p>
        </w:tc>
        <w:tc>
          <w:tcPr>
            <w:tcW w:w="313" w:type="dxa"/>
            <w:tcBorders>
              <w:top w:val="single" w:sz="6" w:space="0" w:color="231F20"/>
            </w:tcBorders>
          </w:tcPr>
          <w:p>
            <w:pPr>
              <w:pStyle w:val="TableParagraph"/>
              <w:spacing w:line="133" w:lineRule="exact" w:before="99"/>
              <w:ind w:left="78" w:right="16"/>
              <w:jc w:val="center"/>
              <w:rPr>
                <w:sz w:val="14"/>
              </w:rPr>
            </w:pPr>
            <w:r>
              <w:rPr>
                <w:color w:val="231F20"/>
                <w:sz w:val="14"/>
              </w:rPr>
              <w:t>7.5</w:t>
            </w:r>
          </w:p>
        </w:tc>
      </w:tr>
      <w:tr>
        <w:trPr>
          <w:trHeight w:val="140" w:hRule="atLeast"/>
        </w:trPr>
        <w:tc>
          <w:tcPr>
            <w:tcW w:w="1731" w:type="dxa"/>
          </w:tcPr>
          <w:p>
            <w:pPr>
              <w:pStyle w:val="TableParagraph"/>
              <w:spacing w:line="120" w:lineRule="exact"/>
              <w:ind w:left="50"/>
              <w:rPr>
                <w:sz w:val="14"/>
              </w:rPr>
            </w:pPr>
            <w:r>
              <w:rPr>
                <w:color w:val="231F20"/>
                <w:sz w:val="14"/>
              </w:rPr>
              <w:t>OFIs</w:t>
            </w:r>
          </w:p>
        </w:tc>
        <w:tc>
          <w:tcPr>
            <w:tcW w:w="405" w:type="dxa"/>
          </w:tcPr>
          <w:p>
            <w:pPr>
              <w:pStyle w:val="TableParagraph"/>
              <w:spacing w:line="120" w:lineRule="exact"/>
              <w:ind w:right="43"/>
              <w:jc w:val="right"/>
              <w:rPr>
                <w:sz w:val="14"/>
              </w:rPr>
            </w:pPr>
            <w:r>
              <w:rPr>
                <w:color w:val="231F20"/>
                <w:sz w:val="14"/>
              </w:rPr>
              <w:t>33.8</w:t>
            </w:r>
          </w:p>
        </w:tc>
        <w:tc>
          <w:tcPr>
            <w:tcW w:w="1039" w:type="dxa"/>
          </w:tcPr>
          <w:p>
            <w:pPr>
              <w:pStyle w:val="TableParagraph"/>
              <w:rPr>
                <w:sz w:val="8"/>
              </w:rPr>
            </w:pPr>
          </w:p>
        </w:tc>
        <w:tc>
          <w:tcPr>
            <w:tcW w:w="313" w:type="dxa"/>
          </w:tcPr>
          <w:p>
            <w:pPr>
              <w:pStyle w:val="TableParagraph"/>
              <w:spacing w:line="120" w:lineRule="exact"/>
              <w:ind w:left="11" w:right="16"/>
              <w:jc w:val="center"/>
              <w:rPr>
                <w:sz w:val="14"/>
              </w:rPr>
            </w:pPr>
            <w:r>
              <w:rPr>
                <w:color w:val="231F20"/>
                <w:sz w:val="14"/>
              </w:rPr>
              <w:t>25.7</w:t>
            </w:r>
          </w:p>
        </w:tc>
      </w:tr>
      <w:tr>
        <w:trPr>
          <w:trHeight w:val="140" w:hRule="atLeast"/>
        </w:trPr>
        <w:tc>
          <w:tcPr>
            <w:tcW w:w="1731" w:type="dxa"/>
          </w:tcPr>
          <w:p>
            <w:pPr>
              <w:pStyle w:val="TableParagraph"/>
              <w:spacing w:line="120" w:lineRule="exact"/>
              <w:ind w:left="50"/>
              <w:rPr>
                <w:sz w:val="14"/>
              </w:rPr>
            </w:pPr>
            <w:r>
              <w:rPr>
                <w:color w:val="231F20"/>
                <w:sz w:val="14"/>
              </w:rPr>
              <w:t>ICCs</w:t>
            </w:r>
          </w:p>
        </w:tc>
        <w:tc>
          <w:tcPr>
            <w:tcW w:w="405" w:type="dxa"/>
          </w:tcPr>
          <w:p>
            <w:pPr>
              <w:pStyle w:val="TableParagraph"/>
              <w:spacing w:line="120" w:lineRule="exact"/>
              <w:ind w:right="43"/>
              <w:jc w:val="right"/>
              <w:rPr>
                <w:sz w:val="14"/>
              </w:rPr>
            </w:pPr>
            <w:r>
              <w:rPr>
                <w:color w:val="231F20"/>
                <w:sz w:val="14"/>
              </w:rPr>
              <w:t>10.6</w:t>
            </w:r>
          </w:p>
        </w:tc>
        <w:tc>
          <w:tcPr>
            <w:tcW w:w="1039" w:type="dxa"/>
          </w:tcPr>
          <w:p>
            <w:pPr>
              <w:pStyle w:val="TableParagraph"/>
              <w:rPr>
                <w:sz w:val="8"/>
              </w:rPr>
            </w:pPr>
          </w:p>
        </w:tc>
        <w:tc>
          <w:tcPr>
            <w:tcW w:w="313" w:type="dxa"/>
          </w:tcPr>
          <w:p>
            <w:pPr>
              <w:pStyle w:val="TableParagraph"/>
              <w:spacing w:line="120" w:lineRule="exact"/>
              <w:ind w:left="11" w:right="16"/>
              <w:jc w:val="center"/>
              <w:rPr>
                <w:sz w:val="14"/>
              </w:rPr>
            </w:pPr>
            <w:r>
              <w:rPr>
                <w:color w:val="231F20"/>
                <w:sz w:val="14"/>
              </w:rPr>
              <w:t>11.2</w:t>
            </w:r>
          </w:p>
        </w:tc>
      </w:tr>
      <w:tr>
        <w:trPr>
          <w:trHeight w:val="198" w:hRule="atLeast"/>
        </w:trPr>
        <w:tc>
          <w:tcPr>
            <w:tcW w:w="1731" w:type="dxa"/>
          </w:tcPr>
          <w:p>
            <w:pPr>
              <w:pStyle w:val="TableParagraph"/>
              <w:spacing w:line="148" w:lineRule="exact"/>
              <w:ind w:left="50"/>
              <w:rPr>
                <w:b/>
                <w:sz w:val="14"/>
              </w:rPr>
            </w:pPr>
            <w:r>
              <w:rPr>
                <w:b/>
                <w:color w:val="231F20"/>
                <w:sz w:val="14"/>
              </w:rPr>
              <w:t>Aggregate</w:t>
            </w:r>
          </w:p>
        </w:tc>
        <w:tc>
          <w:tcPr>
            <w:tcW w:w="405" w:type="dxa"/>
          </w:tcPr>
          <w:p>
            <w:pPr>
              <w:pStyle w:val="TableParagraph"/>
              <w:spacing w:line="148" w:lineRule="exact"/>
              <w:ind w:right="44"/>
              <w:jc w:val="right"/>
              <w:rPr>
                <w:b/>
                <w:sz w:val="14"/>
              </w:rPr>
            </w:pPr>
            <w:r>
              <w:rPr>
                <w:b/>
                <w:color w:val="231F20"/>
                <w:sz w:val="14"/>
              </w:rPr>
              <w:t>10.9</w:t>
            </w:r>
          </w:p>
        </w:tc>
        <w:tc>
          <w:tcPr>
            <w:tcW w:w="1039" w:type="dxa"/>
          </w:tcPr>
          <w:p>
            <w:pPr>
              <w:pStyle w:val="TableParagraph"/>
              <w:rPr>
                <w:sz w:val="12"/>
              </w:rPr>
            </w:pPr>
          </w:p>
        </w:tc>
        <w:tc>
          <w:tcPr>
            <w:tcW w:w="313" w:type="dxa"/>
          </w:tcPr>
          <w:p>
            <w:pPr>
              <w:pStyle w:val="TableParagraph"/>
              <w:spacing w:line="148" w:lineRule="exact"/>
              <w:ind w:left="10" w:right="16"/>
              <w:jc w:val="center"/>
              <w:rPr>
                <w:b/>
                <w:sz w:val="14"/>
              </w:rPr>
            </w:pPr>
            <w:r>
              <w:rPr>
                <w:b/>
                <w:color w:val="231F20"/>
                <w:sz w:val="14"/>
              </w:rPr>
              <w:t>11.7</w:t>
            </w:r>
          </w:p>
        </w:tc>
      </w:tr>
      <w:tr>
        <w:trPr>
          <w:trHeight w:val="184" w:hRule="atLeast"/>
        </w:trPr>
        <w:tc>
          <w:tcPr>
            <w:tcW w:w="1731" w:type="dxa"/>
          </w:tcPr>
          <w:p>
            <w:pPr>
              <w:pStyle w:val="TableParagraph"/>
              <w:spacing w:line="118" w:lineRule="exact" w:before="46"/>
              <w:ind w:left="50"/>
              <w:rPr>
                <w:sz w:val="12"/>
              </w:rPr>
            </w:pPr>
            <w:r>
              <w:rPr>
                <w:color w:val="231F20"/>
                <w:sz w:val="12"/>
              </w:rPr>
              <w:t>Source: Bank of England.</w:t>
            </w:r>
          </w:p>
        </w:tc>
        <w:tc>
          <w:tcPr>
            <w:tcW w:w="405" w:type="dxa"/>
          </w:tcPr>
          <w:p>
            <w:pPr>
              <w:pStyle w:val="TableParagraph"/>
              <w:rPr>
                <w:sz w:val="12"/>
              </w:rPr>
            </w:pPr>
          </w:p>
        </w:tc>
        <w:tc>
          <w:tcPr>
            <w:tcW w:w="1039" w:type="dxa"/>
          </w:tcPr>
          <w:p>
            <w:pPr>
              <w:pStyle w:val="TableParagraph"/>
              <w:rPr>
                <w:sz w:val="12"/>
              </w:rPr>
            </w:pPr>
          </w:p>
        </w:tc>
        <w:tc>
          <w:tcPr>
            <w:tcW w:w="313" w:type="dxa"/>
          </w:tcPr>
          <w:p>
            <w:pPr>
              <w:pStyle w:val="TableParagraph"/>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7"/>
        </w:rPr>
      </w:pPr>
    </w:p>
    <w:p>
      <w:pPr>
        <w:pStyle w:val="Heading9"/>
        <w:spacing w:before="0"/>
        <w:ind w:left="164"/>
      </w:pPr>
      <w:r>
        <w:rPr>
          <w:color w:val="0093C1"/>
        </w:rPr>
        <w:t>Chart 2.5</w:t>
      </w:r>
    </w:p>
    <w:p>
      <w:pPr>
        <w:spacing w:before="10"/>
        <w:ind w:left="164" w:right="0" w:firstLine="0"/>
        <w:jc w:val="left"/>
        <w:rPr>
          <w:sz w:val="12"/>
        </w:rPr>
      </w:pPr>
      <w:r>
        <w:rPr>
          <w:b/>
          <w:color w:val="0093C1"/>
          <w:sz w:val="20"/>
        </w:rPr>
        <w:t>M4 and Divisia money velocity</w:t>
      </w:r>
      <w:r>
        <w:rPr>
          <w:color w:val="231F20"/>
          <w:position w:val="4"/>
          <w:sz w:val="12"/>
        </w:rPr>
        <w:t>(a)</w:t>
      </w:r>
    </w:p>
    <w:p>
      <w:pPr>
        <w:spacing w:before="77"/>
        <w:ind w:left="2964" w:right="0" w:firstLine="0"/>
        <w:jc w:val="left"/>
        <w:rPr>
          <w:sz w:val="12"/>
        </w:rPr>
      </w:pPr>
      <w:r>
        <w:rPr/>
        <w:pict>
          <v:line style="position:absolute;mso-position-horizontal-relative:page;mso-position-vertical-relative:paragraph;z-index:15751168" from="47.23pt,11.951555pt" to="42.23pt,11.951555pt" stroked="true" strokeweight=".5pt" strokecolor="#000000">
            <v:stroke dashstyle="solid"/>
            <w10:wrap type="none"/>
          </v:line>
        </w:pict>
      </w:r>
      <w:r>
        <w:rPr>
          <w:sz w:val="12"/>
        </w:rPr>
        <w:t>1990 = 1</w:t>
      </w:r>
      <w:r>
        <w:rPr>
          <w:sz w:val="12"/>
          <w:u w:val="single"/>
        </w:rPr>
        <w:t>00</w:t>
      </w:r>
      <w:r>
        <w:rPr>
          <w:sz w:val="12"/>
        </w:rPr>
        <w:t> </w:t>
      </w:r>
      <w:r>
        <w:rPr>
          <w:position w:val="-8"/>
          <w:sz w:val="12"/>
        </w:rPr>
        <w:t>180</w:t>
      </w:r>
    </w:p>
    <w:p>
      <w:pPr>
        <w:pStyle w:val="Heading5"/>
        <w:spacing w:line="242" w:lineRule="auto" w:before="15"/>
        <w:ind w:left="157" w:right="123"/>
      </w:pPr>
      <w:r>
        <w:rPr/>
        <w:br w:type="column"/>
      </w:r>
      <w:r>
        <w:rPr>
          <w:color w:val="231F20"/>
        </w:rPr>
        <w:t>in personal sector wealth. Despite recent equity price volatility, the F</w:t>
      </w:r>
      <w:r>
        <w:rPr>
          <w:color w:val="231F20"/>
          <w:sz w:val="20"/>
        </w:rPr>
        <w:t>T-SE </w:t>
      </w:r>
      <w:r>
        <w:rPr>
          <w:color w:val="231F20"/>
        </w:rPr>
        <w:t>100 index was only 0.5% below its average level in 1997 Q3 on 5 November and remains around 8% above its level in 1997 Q2. Insofar as the rise in equity prices reflects higher profit expectations, the rapid growth in wealth is consistent with robust consumption gro</w:t>
      </w:r>
      <w:hyperlink w:history="true" w:anchor="_bookmark17">
        <w:r>
          <w:rPr>
            <w:color w:val="231F20"/>
          </w:rPr>
          <w:t>wth (see Section</w:t>
        </w:r>
      </w:hyperlink>
      <w:r>
        <w:rPr>
          <w:color w:val="231F20"/>
        </w:rPr>
        <w:t> 3).</w:t>
      </w:r>
    </w:p>
    <w:p>
      <w:pPr>
        <w:pStyle w:val="BodyText"/>
        <w:spacing w:before="3"/>
        <w:rPr>
          <w:sz w:val="30"/>
        </w:rPr>
      </w:pPr>
    </w:p>
    <w:p>
      <w:pPr>
        <w:pStyle w:val="Heading6"/>
        <w:spacing w:before="1"/>
        <w:ind w:left="157"/>
        <w:rPr>
          <w:i/>
        </w:rPr>
      </w:pPr>
      <w:r>
        <w:rPr>
          <w:i/>
          <w:color w:val="009483"/>
        </w:rPr>
        <w:t>Industrial and commercial companies (ICCs)</w:t>
      </w:r>
    </w:p>
    <w:p>
      <w:pPr>
        <w:spacing w:line="242" w:lineRule="auto" w:before="124"/>
        <w:ind w:left="157" w:right="256" w:hanging="1"/>
        <w:jc w:val="left"/>
        <w:rPr>
          <w:sz w:val="24"/>
        </w:rPr>
      </w:pPr>
      <w:r>
        <w:rPr>
          <w:color w:val="231F20"/>
          <w:sz w:val="24"/>
        </w:rPr>
        <w:t>Deposits held by ICCs rose by 11.2% in the year to 1997 Q3, their highest rate of growth for more than a</w:t>
      </w:r>
    </w:p>
    <w:p>
      <w:pPr>
        <w:spacing w:line="242" w:lineRule="auto" w:before="2"/>
        <w:ind w:left="157" w:right="123" w:firstLine="0"/>
        <w:jc w:val="left"/>
        <w:rPr>
          <w:sz w:val="24"/>
        </w:rPr>
      </w:pPr>
      <w:r>
        <w:rPr>
          <w:color w:val="231F20"/>
          <w:sz w:val="24"/>
        </w:rPr>
        <w:t>year. Changes in ICCs’ deposits tend to precede changes in investment. Chart 2.4 shows that, following strong deposit growth in the first half of 1996, ICCs’ nominal investment spending rose by 14.2% in the year to</w:t>
      </w:r>
    </w:p>
    <w:p>
      <w:pPr>
        <w:spacing w:line="242" w:lineRule="auto" w:before="6"/>
        <w:ind w:left="158" w:right="123" w:hanging="1"/>
        <w:jc w:val="left"/>
        <w:rPr>
          <w:sz w:val="24"/>
        </w:rPr>
      </w:pPr>
      <w:r>
        <w:rPr>
          <w:color w:val="231F20"/>
          <w:sz w:val="24"/>
        </w:rPr>
        <w:t>1997 Q2, compared with an average annual growth rate of 9.7% each quarter in the previous year.</w:t>
      </w:r>
    </w:p>
    <w:p>
      <w:pPr>
        <w:spacing w:after="0" w:line="242" w:lineRule="auto"/>
        <w:jc w:val="left"/>
        <w:rPr>
          <w:sz w:val="24"/>
        </w:rPr>
        <w:sectPr>
          <w:type w:val="continuous"/>
          <w:pgSz w:w="11880" w:h="16840"/>
          <w:pgMar w:top="1040" w:bottom="280" w:left="640" w:right="640"/>
          <w:cols w:num="2" w:equalWidth="0">
            <w:col w:w="3755" w:space="1047"/>
            <w:col w:w="5798"/>
          </w:cols>
        </w:sectPr>
      </w:pPr>
    </w:p>
    <w:p>
      <w:pPr>
        <w:pStyle w:val="BodyText"/>
        <w:spacing w:before="2"/>
        <w:rPr>
          <w:sz w:val="20"/>
        </w:rPr>
      </w:pPr>
    </w:p>
    <w:p>
      <w:pPr>
        <w:spacing w:after="0"/>
        <w:rPr>
          <w:sz w:val="20"/>
        </w:rPr>
        <w:sectPr>
          <w:type w:val="continuous"/>
          <w:pgSz w:w="11880" w:h="16840"/>
          <w:pgMar w:top="1040" w:bottom="280" w:left="64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spacing w:line="20" w:lineRule="exact"/>
        <w:ind w:left="19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7"/>
        </w:rPr>
      </w:pPr>
      <w:r>
        <w:rPr/>
        <w:pict>
          <v:shape style="position:absolute;margin-left:42.23pt;margin-top:17.750977pt;width:5pt;height:.1pt;mso-position-horizontal-relative:page;mso-position-vertical-relative:paragraph;z-index:-15709184;mso-wrap-distance-left:0;mso-wrap-distance-right:0" coordorigin="845,355" coordsize="100,0" path="m945,355l845,355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spacing w:before="8"/>
        <w:rPr>
          <w:sz w:val="14"/>
        </w:rPr>
      </w:pPr>
    </w:p>
    <w:p>
      <w:pPr>
        <w:tabs>
          <w:tab w:pos="1259" w:val="left" w:leader="none"/>
          <w:tab w:pos="2119" w:val="left" w:leader="none"/>
          <w:tab w:pos="2999" w:val="left" w:leader="none"/>
        </w:tabs>
        <w:spacing w:before="1"/>
        <w:ind w:left="274" w:right="0" w:firstLine="0"/>
        <w:jc w:val="left"/>
        <w:rPr>
          <w:sz w:val="12"/>
        </w:rPr>
      </w:pPr>
      <w:r>
        <w:rPr>
          <w:sz w:val="12"/>
        </w:rPr>
        <w:t>1980</w:t>
        <w:tab/>
        <w:t>85</w:t>
        <w:tab/>
        <w:t>90</w:t>
        <w:tab/>
        <w:t>95</w:t>
      </w:r>
    </w:p>
    <w:p>
      <w:pPr>
        <w:spacing w:before="77"/>
        <w:ind w:left="164" w:right="0" w:firstLine="0"/>
        <w:jc w:val="left"/>
        <w:rPr>
          <w:sz w:val="12"/>
        </w:rPr>
      </w:pPr>
      <w:r>
        <w:rPr>
          <w:color w:val="231F20"/>
          <w:sz w:val="12"/>
        </w:rPr>
        <w:t>Sources: ONS and Bank of England.</w:t>
      </w:r>
    </w:p>
    <w:p>
      <w:pPr>
        <w:spacing w:before="102"/>
        <w:ind w:left="164" w:right="0" w:firstLine="0"/>
        <w:jc w:val="left"/>
        <w:rPr>
          <w:sz w:val="12"/>
        </w:rPr>
      </w:pPr>
      <w:r>
        <w:rPr>
          <w:color w:val="231F20"/>
          <w:sz w:val="12"/>
        </w:rPr>
        <w:t>(a) Defined as the ratio of nominal GDP to the stock of money.</w:t>
      </w:r>
    </w:p>
    <w:p>
      <w:pPr>
        <w:pStyle w:val="BodyText"/>
        <w:spacing w:before="8"/>
        <w:rPr>
          <w:sz w:val="9"/>
        </w:rPr>
      </w:pPr>
      <w:r>
        <w:rPr/>
        <w:br w:type="column"/>
      </w:r>
      <w:r>
        <w:rPr>
          <w:sz w:val="9"/>
        </w:rPr>
      </w:r>
    </w:p>
    <w:p>
      <w:pPr>
        <w:spacing w:before="0"/>
        <w:ind w:left="164" w:right="0" w:firstLine="0"/>
        <w:jc w:val="left"/>
        <w:rPr>
          <w:sz w:val="12"/>
        </w:rPr>
      </w:pPr>
      <w:r>
        <w:rPr>
          <w:sz w:val="12"/>
        </w:rPr>
        <w:t>160</w:t>
      </w:r>
    </w:p>
    <w:p>
      <w:pPr>
        <w:pStyle w:val="BodyText"/>
        <w:rPr>
          <w:sz w:val="12"/>
        </w:rPr>
      </w:pPr>
    </w:p>
    <w:p>
      <w:pPr>
        <w:pStyle w:val="BodyText"/>
        <w:rPr>
          <w:sz w:val="12"/>
        </w:rPr>
      </w:pPr>
    </w:p>
    <w:p>
      <w:pPr>
        <w:pStyle w:val="BodyText"/>
        <w:spacing w:before="2"/>
        <w:rPr>
          <w:sz w:val="16"/>
        </w:rPr>
      </w:pPr>
    </w:p>
    <w:p>
      <w:pPr>
        <w:spacing w:before="0"/>
        <w:ind w:left="164" w:right="0" w:firstLine="0"/>
        <w:jc w:val="left"/>
        <w:rPr>
          <w:sz w:val="12"/>
        </w:rPr>
      </w:pPr>
      <w:r>
        <w:rPr/>
        <w:pict>
          <v:group style="position:absolute;margin-left:42.23pt;margin-top:-45.398445pt;width:165pt;height:127pt;mso-position-horizontal-relative:page;mso-position-vertical-relative:paragraph;z-index:-20987392" coordorigin="845,-908" coordsize="3300,2540">
            <v:shape style="position:absolute;left:844;top:-518;width:100;height:600" coordorigin="845,-518" coordsize="100,600" path="m945,82l845,82m945,-518l845,-518e" filled="false" stroked="true" strokeweight=".5pt" strokecolor="#000000">
              <v:path arrowok="t"/>
              <v:stroke dashstyle="solid"/>
            </v:shape>
            <v:shape style="position:absolute;left:1004;top:-898;width:2480;height:2300" coordorigin="1005,-898" coordsize="2480,2300" path="m1005,-898l1085,-778,1125,-678,1165,-618,1205,-518,1265,-478,1305,-478,1345,-458,1385,-418,1425,-358,1465,-318,1525,-278,1565,-178,1605,-198,1645,-158,1685,-98,1745,2,1785,102,1825,122m1825,122l1865,122,1905,102,1945,182,2005,222,2045,342,2125,462,2205,542,2265,582,2305,602,2345,682,2385,742,2485,842,2525,842,2565,922,2605,1022,2645,1082m2645,1082l2705,1142,2785,1262,2825,1282,2865,1362,2945,1362,3005,1382,3045,1362,3085,1402,3125,1382,3225,1382,3265,1342,3305,1342,3345,1322,3385,1342,3445,1342,3485,1322e" filled="false" stroked="true" strokeweight="1pt" strokecolor="#ed1b2d">
              <v:path arrowok="t"/>
              <v:stroke dashstyle="solid"/>
            </v:shape>
            <v:line style="position:absolute" from="4145,1282" to="4045,1282" stroked="true" strokeweight=".5pt" strokecolor="#000000">
              <v:stroke dashstyle="solid"/>
            </v:line>
            <v:shape style="position:absolute;left:3484;top:1282;width:520;height:340" coordorigin="3485,1282" coordsize="520,340" path="m3485,1322l3525,1282,3565,1282,3605,1322,3645,1342,3705,1402,3785,1442,3865,1522,3925,1522,3965,1602,4005,1622e" filled="false" stroked="true" strokeweight="1pt" strokecolor="#ed1b2d">
              <v:path arrowok="t"/>
              <v:stroke dashstyle="solid"/>
            </v:shape>
            <v:shape style="position:absolute;left:1004;top:262;width:3000;height:1040" coordorigin="1005,262" coordsize="3000,1040" path="m1005,262l1045,302,1085,282,1125,342,1165,362,1205,402,1265,422,1345,382,1425,422,1465,402,1525,442,1565,482,1605,402,1685,362,1745,402,1785,462,1825,462m1825,462l1865,422,1905,342,1945,382,2005,402,2085,562,2125,662,2205,702,2265,762,2305,742,2345,802,2385,922,2425,982,2485,1022,2525,1022,2565,1062,2645,1182m2645,1182l2705,1222,2745,1242,2785,1282,2825,1262,2865,1302,2905,1282,2945,1242,3005,1262,3045,1222,3085,1242,3125,1202,3185,1182,3225,1202,3265,1122,3345,1082,3385,1102,3445,1082,3485,1042m3485,1042l3565,1002,3605,1002,3645,1022,3705,1082,3745,1102,3825,1182,3865,1202,3925,1202,4005,1282e" filled="false" stroked="true" strokeweight="1pt" strokecolor="#952e40">
              <v:path arrowok="t"/>
              <v:stroke dashstyle="solid"/>
            </v:shape>
            <v:shape style="position:absolute;left:1754;top:-175;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1654;top:505;width:367;height:133" type="#_x0000_t202" filled="false" stroked="false">
              <v:textbox inset="0,0,0,0">
                <w:txbxContent>
                  <w:p>
                    <w:pPr>
                      <w:spacing w:line="133" w:lineRule="exact" w:before="0"/>
                      <w:ind w:left="0" w:right="0" w:firstLine="0"/>
                      <w:jc w:val="left"/>
                      <w:rPr>
                        <w:sz w:val="12"/>
                      </w:rPr>
                    </w:pPr>
                    <w:r>
                      <w:rPr>
                        <w:sz w:val="12"/>
                      </w:rPr>
                      <w:t>Divisia</w:t>
                    </w:r>
                  </w:p>
                </w:txbxContent>
              </v:textbox>
              <w10:wrap type="none"/>
            </v:shape>
            <w10:wrap type="none"/>
          </v:group>
        </w:pict>
      </w:r>
      <w:r>
        <w:rPr/>
        <w:pict>
          <v:line style="position:absolute;mso-position-horizontal-relative:page;mso-position-vertical-relative:paragraph;z-index:15752192" from="207.229996pt,4.101555pt" to="202.229996pt,4.101555pt" stroked="true" strokeweight=".5pt" strokecolor="#000000">
            <v:stroke dashstyle="solid"/>
            <w10:wrap type="none"/>
          </v:line>
        </w:pict>
      </w:r>
      <w:r>
        <w:rPr/>
        <w:pict>
          <v:line style="position:absolute;mso-position-horizontal-relative:page;mso-position-vertical-relative:paragraph;z-index:15752704" from="207.229996pt,-25.898445pt" to="202.229996pt,-25.898445pt" stroked="true" strokeweight=".5pt" strokecolor="#000000">
            <v:stroke dashstyle="solid"/>
            <w10:wrap type="none"/>
          </v:line>
        </w:pict>
      </w:r>
      <w:r>
        <w:rPr>
          <w:sz w:val="12"/>
        </w:rPr>
        <w:t>140</w:t>
      </w:r>
    </w:p>
    <w:p>
      <w:pPr>
        <w:pStyle w:val="BodyText"/>
        <w:rPr>
          <w:sz w:val="12"/>
        </w:rPr>
      </w:pPr>
    </w:p>
    <w:p>
      <w:pPr>
        <w:pStyle w:val="BodyText"/>
        <w:rPr>
          <w:sz w:val="12"/>
        </w:rPr>
      </w:pPr>
    </w:p>
    <w:p>
      <w:pPr>
        <w:pStyle w:val="BodyText"/>
        <w:spacing w:before="2"/>
        <w:rPr>
          <w:sz w:val="16"/>
        </w:rPr>
      </w:pPr>
    </w:p>
    <w:p>
      <w:pPr>
        <w:spacing w:before="0"/>
        <w:ind w:left="164" w:right="0" w:firstLine="0"/>
        <w:jc w:val="left"/>
        <w:rPr>
          <w:sz w:val="12"/>
        </w:rPr>
      </w:pPr>
      <w:r>
        <w:rPr/>
        <w:pict>
          <v:line style="position:absolute;mso-position-horizontal-relative:page;mso-position-vertical-relative:paragraph;z-index:15751680" from="207.229996pt,4.101555pt" to="202.229996pt,4.101555pt" stroked="true" strokeweight=".5pt" strokecolor="#000000">
            <v:stroke dashstyle="solid"/>
            <w10:wrap type="none"/>
          </v:line>
        </w:pict>
      </w:r>
      <w:r>
        <w:rPr>
          <w:sz w:val="12"/>
        </w:rPr>
        <w:t>120</w:t>
      </w:r>
    </w:p>
    <w:p>
      <w:pPr>
        <w:pStyle w:val="BodyText"/>
        <w:rPr>
          <w:sz w:val="12"/>
        </w:rPr>
      </w:pPr>
    </w:p>
    <w:p>
      <w:pPr>
        <w:pStyle w:val="BodyText"/>
        <w:rPr>
          <w:sz w:val="12"/>
        </w:rPr>
      </w:pPr>
    </w:p>
    <w:p>
      <w:pPr>
        <w:pStyle w:val="BodyText"/>
        <w:spacing w:before="2"/>
        <w:rPr>
          <w:sz w:val="16"/>
        </w:rPr>
      </w:pPr>
    </w:p>
    <w:p>
      <w:pPr>
        <w:spacing w:before="0"/>
        <w:ind w:left="164" w:right="0" w:firstLine="0"/>
        <w:jc w:val="left"/>
        <w:rPr>
          <w:sz w:val="12"/>
        </w:rPr>
      </w:pPr>
      <w:r>
        <w:rPr>
          <w:sz w:val="12"/>
        </w:rPr>
        <w:t>100</w:t>
      </w:r>
    </w:p>
    <w:p>
      <w:pPr>
        <w:pStyle w:val="BodyText"/>
        <w:rPr>
          <w:sz w:val="12"/>
        </w:rPr>
      </w:pPr>
    </w:p>
    <w:p>
      <w:pPr>
        <w:pStyle w:val="BodyText"/>
        <w:rPr>
          <w:sz w:val="12"/>
        </w:rPr>
      </w:pPr>
    </w:p>
    <w:p>
      <w:pPr>
        <w:pStyle w:val="BodyText"/>
        <w:spacing w:before="2"/>
        <w:rPr>
          <w:sz w:val="16"/>
        </w:rPr>
      </w:pPr>
    </w:p>
    <w:p>
      <w:pPr>
        <w:spacing w:before="1"/>
        <w:ind w:left="224" w:right="0" w:firstLine="0"/>
        <w:jc w:val="left"/>
        <w:rPr>
          <w:sz w:val="12"/>
        </w:rPr>
      </w:pPr>
      <w:r>
        <w:rPr/>
        <w:pict>
          <v:shape style="position:absolute;margin-left:42.23pt;margin-top:-.848445pt;width:165pt;height:5pt;mso-position-horizontal-relative:page;mso-position-vertical-relative:paragraph;z-index:15749120" coordorigin="845,-17" coordsize="3300,100" path="m945,83l845,83m4145,83l4045,83m985,83l4005,83m985,83l985,43m1165,83l1165,43m1345,83l1345,43m1525,83l1525,43m1685,83l1685,43m1865,83l1865,43m2045,83l2045,43m2205,83l2205,43m2385,83l2385,43m2565,83l2565,43m2745,83l2745,43m2905,83l2905,43m3085,83l3085,43m3265,83l3265,43m3445,83l3445,43m3605,83l3605,43m3785,83l3785,43m3965,83l3965,43m985,83l985,-17m1865,83l1865,-17m2745,83l2745,-17m3605,83l3605,-17e" filled="false" stroked="true" strokeweight=".5pt" strokecolor="#000000">
            <v:path arrowok="t"/>
            <v:stroke dashstyle="solid"/>
            <w10:wrap type="none"/>
          </v:shape>
        </w:pict>
      </w:r>
      <w:r>
        <w:rPr>
          <w:sz w:val="12"/>
        </w:rPr>
        <w:t>80</w:t>
      </w:r>
    </w:p>
    <w:p>
      <w:pPr>
        <w:pStyle w:val="Heading6"/>
        <w:spacing w:before="90"/>
        <w:ind w:left="166"/>
        <w:rPr>
          <w:i/>
        </w:rPr>
      </w:pPr>
      <w:r>
        <w:rPr>
          <w:i w:val="0"/>
        </w:rPr>
        <w:br w:type="column"/>
      </w:r>
      <w:r>
        <w:rPr>
          <w:i/>
          <w:color w:val="009483"/>
        </w:rPr>
        <w:t>Divisia money</w:t>
      </w:r>
    </w:p>
    <w:p>
      <w:pPr>
        <w:spacing w:line="242" w:lineRule="auto" w:before="124"/>
        <w:ind w:left="164" w:right="158" w:firstLine="1"/>
        <w:jc w:val="left"/>
        <w:rPr>
          <w:sz w:val="24"/>
        </w:rPr>
      </w:pPr>
      <w:r>
        <w:rPr>
          <w:color w:val="231F20"/>
          <w:sz w:val="24"/>
        </w:rPr>
        <w:t>The Divisia measure of money weights the components of M4 to reflect </w:t>
      </w:r>
      <w:r>
        <w:rPr>
          <w:color w:val="231F20"/>
          <w:spacing w:val="-3"/>
          <w:sz w:val="24"/>
        </w:rPr>
        <w:t>how </w:t>
      </w:r>
      <w:r>
        <w:rPr>
          <w:color w:val="231F20"/>
          <w:sz w:val="24"/>
        </w:rPr>
        <w:t>much they are used in transactions, and so can help to distinguish transactions from </w:t>
      </w:r>
      <w:r>
        <w:rPr>
          <w:color w:val="231F20"/>
          <w:spacing w:val="-3"/>
          <w:sz w:val="24"/>
        </w:rPr>
        <w:t>portfolio </w:t>
      </w:r>
      <w:r>
        <w:rPr>
          <w:color w:val="231F20"/>
          <w:sz w:val="24"/>
        </w:rPr>
        <w:t>effects of money growth.</w:t>
      </w:r>
      <w:r>
        <w:rPr>
          <w:color w:val="231F20"/>
          <w:position w:val="5"/>
          <w:sz w:val="16"/>
        </w:rPr>
        <w:t>(2) </w:t>
      </w:r>
      <w:r>
        <w:rPr>
          <w:color w:val="231F20"/>
          <w:sz w:val="24"/>
        </w:rPr>
        <w:t>In the year to 1997 Q3, aggregate Divisia money grew by 10.9%, as </w:t>
      </w:r>
      <w:r>
        <w:rPr>
          <w:color w:val="231F20"/>
          <w:spacing w:val="-4"/>
          <w:sz w:val="24"/>
        </w:rPr>
        <w:t>Table </w:t>
      </w:r>
      <w:r>
        <w:rPr>
          <w:color w:val="231F20"/>
          <w:sz w:val="24"/>
        </w:rPr>
        <w:t>2.B shows, and its annual growth rate has been above 6% for the past two years. Chart 2.5 shows that the velocity of Divisia money has behaved like M4 </w:t>
      </w:r>
      <w:r>
        <w:rPr>
          <w:color w:val="231F20"/>
          <w:spacing w:val="-3"/>
          <w:sz w:val="24"/>
        </w:rPr>
        <w:t>velocity, </w:t>
      </w:r>
      <w:r>
        <w:rPr>
          <w:color w:val="231F20"/>
          <w:sz w:val="24"/>
        </w:rPr>
        <w:t>though it has tended to be more stable.  The continuation of current rates of Divisia money growth is also unlikely</w:t>
      </w:r>
      <w:r>
        <w:rPr>
          <w:color w:val="231F20"/>
          <w:spacing w:val="-19"/>
          <w:sz w:val="24"/>
        </w:rPr>
        <w:t> </w:t>
      </w:r>
      <w:r>
        <w:rPr>
          <w:color w:val="231F20"/>
          <w:sz w:val="24"/>
        </w:rPr>
        <w:t>to</w:t>
      </w:r>
    </w:p>
    <w:p>
      <w:pPr>
        <w:pStyle w:val="BodyText"/>
        <w:spacing w:before="7"/>
        <w:rPr>
          <w:sz w:val="11"/>
        </w:rPr>
      </w:pPr>
      <w:r>
        <w:rPr/>
        <w:pict>
          <v:shape style="position:absolute;margin-left:279.119995pt;margin-top:8.771054pt;width:277.9pt;height:.1pt;mso-position-horizontal-relative:page;mso-position-vertical-relative:paragraph;z-index:-15708672;mso-wrap-distance-left:0;mso-wrap-distance-right:0" coordorigin="5582,175" coordsize="5558,0" path="m5582,175l11140,175e" filled="false" stroked="true" strokeweight=".125pt" strokecolor="#231f20">
            <v:path arrowok="t"/>
            <v:stroke dashstyle="solid"/>
            <w10:wrap type="topAndBottom"/>
          </v:shape>
        </w:pict>
      </w:r>
    </w:p>
    <w:p>
      <w:pPr>
        <w:pStyle w:val="ListParagraph"/>
        <w:numPr>
          <w:ilvl w:val="0"/>
          <w:numId w:val="6"/>
        </w:numPr>
        <w:tabs>
          <w:tab w:pos="405" w:val="left" w:leader="none"/>
        </w:tabs>
        <w:spacing w:line="208" w:lineRule="auto" w:before="0" w:after="0"/>
        <w:ind w:left="404" w:right="693" w:hanging="240"/>
        <w:jc w:val="left"/>
        <w:rPr>
          <w:sz w:val="16"/>
        </w:rPr>
      </w:pPr>
      <w:r>
        <w:rPr>
          <w:color w:val="231F20"/>
          <w:sz w:val="16"/>
        </w:rPr>
        <w:t>The majority of retail deposits are held by the personal sector, so </w:t>
      </w:r>
      <w:r>
        <w:rPr>
          <w:color w:val="231F20"/>
          <w:spacing w:val="-3"/>
          <w:sz w:val="16"/>
        </w:rPr>
        <w:t>changes </w:t>
      </w:r>
      <w:r>
        <w:rPr>
          <w:color w:val="231F20"/>
          <w:sz w:val="16"/>
        </w:rPr>
        <w:t>in retail deposits largely reflect changes in personal sector deposits. Though retail deposits will include some placed by the corporate sector (including the newly reclassified unlimited liability partnerships), most companies hold wholesale rather than retail deposits.</w:t>
      </w:r>
    </w:p>
    <w:p>
      <w:pPr>
        <w:pStyle w:val="ListParagraph"/>
        <w:numPr>
          <w:ilvl w:val="0"/>
          <w:numId w:val="6"/>
        </w:numPr>
        <w:tabs>
          <w:tab w:pos="405" w:val="left" w:leader="none"/>
        </w:tabs>
        <w:spacing w:line="208" w:lineRule="auto" w:before="0" w:after="0"/>
        <w:ind w:left="404" w:right="697" w:hanging="240"/>
        <w:jc w:val="left"/>
        <w:rPr>
          <w:sz w:val="16"/>
        </w:rPr>
      </w:pPr>
      <w:r>
        <w:rPr>
          <w:color w:val="231F20"/>
          <w:sz w:val="16"/>
        </w:rPr>
        <w:t>The Divisia index of money weights the components of money according to their liquidity, proxied by the inverse of their relative interest rates. Current accounts, for example, have a high weight in Divisia money because they pay lower interest rates than other accounts which have restrictions on withdrawals.</w:t>
      </w:r>
    </w:p>
    <w:p>
      <w:pPr>
        <w:spacing w:after="0" w:line="208" w:lineRule="auto"/>
        <w:jc w:val="left"/>
        <w:rPr>
          <w:sz w:val="16"/>
        </w:rPr>
        <w:sectPr>
          <w:type w:val="continuous"/>
          <w:pgSz w:w="11880" w:h="16840"/>
          <w:pgMar w:top="1040" w:bottom="280" w:left="640" w:right="640"/>
          <w:cols w:num="3" w:equalWidth="0">
            <w:col w:w="3311" w:space="59"/>
            <w:col w:w="385" w:space="1039"/>
            <w:col w:w="5806"/>
          </w:cols>
        </w:sectPr>
      </w:pPr>
    </w:p>
    <w:p>
      <w:pPr>
        <w:pStyle w:val="BodyText"/>
        <w:rPr>
          <w:sz w:val="20"/>
        </w:rPr>
      </w:pPr>
    </w:p>
    <w:p>
      <w:pPr>
        <w:pStyle w:val="Heading5"/>
        <w:spacing w:line="242" w:lineRule="auto" w:before="220"/>
        <w:ind w:left="4964" w:right="420"/>
      </w:pPr>
      <w:bookmarkStart w:name="Narrow money" w:id="20"/>
      <w:bookmarkEnd w:id="20"/>
      <w:r>
        <w:rPr/>
      </w:r>
      <w:bookmarkStart w:name="Credit" w:id="21"/>
      <w:bookmarkEnd w:id="21"/>
      <w:r>
        <w:rPr/>
      </w:r>
      <w:bookmarkStart w:name="Other financial institutions (OFIs)" w:id="22"/>
      <w:bookmarkEnd w:id="22"/>
      <w:r>
        <w:rPr/>
      </w:r>
      <w:bookmarkStart w:name="_bookmark10" w:id="23"/>
      <w:bookmarkEnd w:id="23"/>
      <w:r>
        <w:rPr/>
      </w:r>
      <w:r>
        <w:rPr>
          <w:color w:val="231F20"/>
        </w:rPr>
        <w:t>be compatible with the inflation target in the medium term.</w:t>
      </w:r>
    </w:p>
    <w:p>
      <w:pPr>
        <w:pStyle w:val="BodyText"/>
        <w:spacing w:before="6"/>
      </w:pPr>
    </w:p>
    <w:p>
      <w:pPr>
        <w:spacing w:after="0"/>
        <w:sectPr>
          <w:pgSz w:w="11880" w:h="16840"/>
          <w:pgMar w:header="566" w:footer="597" w:top="760" w:bottom="780" w:left="640" w:right="640"/>
        </w:sectPr>
      </w:pPr>
    </w:p>
    <w:p>
      <w:pPr>
        <w:pStyle w:val="BodyText"/>
        <w:rPr>
          <w:sz w:val="22"/>
        </w:rPr>
      </w:pPr>
    </w:p>
    <w:p>
      <w:pPr>
        <w:pStyle w:val="Heading9"/>
        <w:spacing w:before="165"/>
        <w:ind w:left="184"/>
      </w:pPr>
      <w:r>
        <w:rPr>
          <w:color w:val="0093C1"/>
        </w:rPr>
        <w:t>Chart 2.6</w:t>
      </w:r>
    </w:p>
    <w:p>
      <w:pPr>
        <w:spacing w:line="249" w:lineRule="auto" w:before="10"/>
        <w:ind w:left="184" w:right="0" w:firstLine="0"/>
        <w:jc w:val="left"/>
        <w:rPr>
          <w:b/>
          <w:sz w:val="20"/>
        </w:rPr>
      </w:pPr>
      <w:r>
        <w:rPr>
          <w:b/>
          <w:color w:val="0093C1"/>
          <w:sz w:val="20"/>
        </w:rPr>
        <w:t>Growth of notes and coins and </w:t>
      </w:r>
      <w:r>
        <w:rPr>
          <w:b/>
          <w:color w:val="0093C1"/>
          <w:spacing w:val="-3"/>
          <w:sz w:val="20"/>
        </w:rPr>
        <w:t>nominal </w:t>
      </w:r>
      <w:r>
        <w:rPr>
          <w:b/>
          <w:color w:val="0093C1"/>
          <w:sz w:val="20"/>
        </w:rPr>
        <w:t>retail sales</w:t>
      </w:r>
    </w:p>
    <w:p>
      <w:pPr>
        <w:spacing w:before="40"/>
        <w:ind w:left="1825" w:right="0" w:firstLine="0"/>
        <w:jc w:val="left"/>
        <w:rPr>
          <w:sz w:val="12"/>
        </w:rPr>
      </w:pPr>
      <w:r>
        <w:rPr/>
        <w:pict>
          <v:group style="position:absolute;margin-left:45.470001pt;margin-top:8.853567pt;width:165pt;height:138.75pt;mso-position-horizontal-relative:page;mso-position-vertical-relative:paragraph;z-index:-20974592" coordorigin="909,177" coordsize="3300,2775">
            <v:shape style="position:absolute;left:909;top:182;width:100;height:1760" coordorigin="909,182" coordsize="100,1760" path="m1009,1942l909,1942m1009,1682l909,1682m1009,1442l909,1442m1009,1182l909,1182m1009,942l909,942m1009,682l909,682m1009,442l909,442m1009,182l909,182e" filled="false" stroked="true" strokeweight=".5pt" strokecolor="#000000">
              <v:path arrowok="t"/>
              <v:stroke dashstyle="solid"/>
            </v:shape>
            <v:shape style="position:absolute;left:1049;top:242;width:2540;height:2580" coordorigin="1049,242" coordsize="2540,2580" path="m1049,602l1089,242,1109,1162,1149,1122,1189,1402,1209,1722,1249,1282,1289,1102,1309,1282,1349,1582,1389,1262,1409,1582,1449,1522,1489,1262,1509,1282,1589,1442,1609,682,1649,1382,1689,982m1689,982l1709,822,1749,1782,1789,1582,1829,2102,1849,2042,1889,2222,1909,2262,1949,2222,1989,2202,2029,2262,2089,2022,2109,2182,2149,1982,2189,1962,2229,2022,2249,2282,2289,2102,2309,2182m2309,2182l2349,2182,2389,2002,2429,2062,2449,1982,2489,2122,2509,2062,2549,2102,2589,2122,2629,2062,2649,2262,2689,2262,2729,2202,2789,1902,2829,2002,2849,1982,2889,2022,2929,2182,2949,2282m2949,2282l2989,2442,3029,2442,3049,2242,3089,2242,3129,2302,3149,2562,3189,2682,3229,2682,3249,2582,3289,2522,3389,2822,3429,2722,3449,2562,3489,2522,3529,2422,3549,2502,3589,2582e" filled="false" stroked="true" strokeweight="1pt" strokecolor="#0099d8">
              <v:path arrowok="t"/>
              <v:stroke dashstyle="solid"/>
            </v:shape>
            <v:shape style="position:absolute;left:4109;top:2442;width:100;height:260" coordorigin="4109,2442" coordsize="100,260" path="m4209,2702l4109,2702m4209,2442l4109,2442e" filled="false" stroked="true" strokeweight=".5pt" strokecolor="#000000">
              <v:path arrowok="t"/>
              <v:stroke dashstyle="solid"/>
            </v:shape>
            <v:shape style="position:absolute;left:3589;top:2422;width:480;height:380" coordorigin="3589,2422" coordsize="480,380" path="m3589,2582l3629,2622,3649,2702,3689,2702,3729,2802,3749,2762,3789,2742,3829,2642,3849,2582,3889,2482,3929,2502,3949,2482,3989,2462,4029,2462,4069,2422e" filled="false" stroked="true" strokeweight="1pt" strokecolor="#0099d8">
              <v:path arrowok="t"/>
              <v:stroke dashstyle="solid"/>
            </v:shape>
            <v:shape style="position:absolute;left:1049;top:1142;width:2540;height:1800" coordorigin="1049,1142" coordsize="2540,1800" path="m1049,1282l1089,1162,1149,1702,1189,1722,1209,1742,1249,1642,1289,1662,1309,1762,1349,1802,1389,1922,1409,1762,1449,1482,1489,1362,1509,1142,1549,1262,1589,1322,1609,1522,1649,1722,1689,1662m1689,1662l1709,1942,1749,2042,1789,2202,1829,2502,1849,2522,1889,2462,1909,2542,1949,2562,1989,2622,2029,2942,2049,2842,2089,2762,2109,2622,2149,2302,2189,2342,2229,2362,2249,2482,2289,2542,2309,2522m2309,2522l2349,2522,2389,2442,2429,2502,2449,2642,2489,2742,2509,2742,2549,2782,2629,2582,2649,2642,2729,2602,2749,2582,2789,2502,2829,2362,2849,2202,2889,2222,2929,2322,2949,2422m2949,2422l2989,2522,3029,2482,3049,2382,3089,2342,3129,2522,3149,2742,3189,2862,3229,2942,3249,2922,3289,2862,3329,2942,3349,2942,3389,2922,3429,2842,3449,2642,3489,2622,3549,2502,3589,2462e" filled="false" stroked="true" strokeweight="1pt" strokecolor="#0066a5">
              <v:path arrowok="t"/>
              <v:stroke dashstyle="solid"/>
            </v:shape>
            <v:line style="position:absolute" from="4209,2202" to="4109,2202" stroked="true" strokeweight=".5pt" strokecolor="#000000">
              <v:stroke dashstyle="solid"/>
            </v:line>
            <v:shape style="position:absolute;left:3589;top:2262;width:480;height:240" coordorigin="3589,2262" coordsize="480,240" path="m3589,2462l3629,2382,3649,2382,3689,2362,3729,2422,3789,2482,3829,2502,3849,2422,3889,2362,3929,2262,3949,2282,3989,2382,4069,2502e" filled="false" stroked="true" strokeweight="1pt" strokecolor="#0066a5">
              <v:path arrowok="t"/>
              <v:stroke dashstyle="solid"/>
            </v:shape>
            <v:shape style="position:absolute;left:1779;top:945;width:980;height:133" type="#_x0000_t202" filled="false" stroked="false">
              <v:textbox inset="0,0,0,0">
                <w:txbxContent>
                  <w:p>
                    <w:pPr>
                      <w:spacing w:line="133" w:lineRule="exact" w:before="0"/>
                      <w:ind w:left="0" w:right="0" w:firstLine="0"/>
                      <w:jc w:val="left"/>
                      <w:rPr>
                        <w:sz w:val="12"/>
                      </w:rPr>
                    </w:pPr>
                    <w:r>
                      <w:rPr>
                        <w:sz w:val="12"/>
                      </w:rPr>
                      <w:t>Nominal retail sales</w:t>
                    </w:r>
                  </w:p>
                </w:txbxContent>
              </v:textbox>
              <w10:wrap type="none"/>
            </v:shape>
            <v:shape style="position:absolute;left:2089;top:2795;width:787;height:133" type="#_x0000_t202" filled="false" stroked="false">
              <v:textbox inset="0,0,0,0">
                <w:txbxContent>
                  <w:p>
                    <w:pPr>
                      <w:spacing w:line="133" w:lineRule="exact" w:before="0"/>
                      <w:ind w:left="0" w:right="0" w:firstLine="0"/>
                      <w:jc w:val="left"/>
                      <w:rPr>
                        <w:sz w:val="12"/>
                      </w:rPr>
                    </w:pPr>
                    <w:r>
                      <w:rPr>
                        <w:sz w:val="12"/>
                      </w:rPr>
                      <w:t>Notes and coins</w:t>
                    </w:r>
                  </w:p>
                </w:txbxContent>
              </v:textbox>
              <w10:wrap type="none"/>
            </v:shape>
            <w10:wrap type="none"/>
          </v:group>
        </w:pict>
      </w:r>
      <w:r>
        <w:rPr>
          <w:sz w:val="12"/>
        </w:rPr>
        <w:t>Percentage changes on a year earl</w:t>
      </w:r>
      <w:r>
        <w:rPr>
          <w:sz w:val="12"/>
          <w:u w:val="single"/>
        </w:rPr>
        <w:t>ie</w:t>
      </w:r>
      <w:r>
        <w:rPr>
          <w:sz w:val="12"/>
        </w:rPr>
        <w:t>r</w:t>
      </w:r>
      <w:r>
        <w:rPr>
          <w:spacing w:val="-6"/>
          <w:sz w:val="12"/>
        </w:rPr>
        <w:t> </w:t>
      </w:r>
      <w:r>
        <w:rPr>
          <w:position w:val="-6"/>
          <w:sz w:val="12"/>
        </w:rPr>
        <w:t>24</w:t>
      </w:r>
    </w:p>
    <w:p>
      <w:pPr>
        <w:spacing w:before="122"/>
        <w:ind w:left="0" w:right="38" w:firstLine="0"/>
        <w:jc w:val="right"/>
        <w:rPr>
          <w:sz w:val="12"/>
        </w:rPr>
      </w:pPr>
      <w:r>
        <w:rPr/>
        <w:pict>
          <v:line style="position:absolute;mso-position-horizontal-relative:page;mso-position-vertical-relative:paragraph;z-index:15767552" from="210.470001pt,9.701552pt" to="205.470001pt,9.701552pt" stroked="true" strokeweight=".5pt" strokecolor="#000000">
            <v:stroke dashstyle="solid"/>
            <w10:wrap type="none"/>
          </v:line>
        </w:pict>
      </w:r>
      <w:r>
        <w:rPr>
          <w:sz w:val="12"/>
        </w:rPr>
        <w:t>22</w:t>
      </w:r>
    </w:p>
    <w:p>
      <w:pPr>
        <w:spacing w:before="102"/>
        <w:ind w:left="0" w:right="38" w:firstLine="0"/>
        <w:jc w:val="right"/>
        <w:rPr>
          <w:sz w:val="12"/>
        </w:rPr>
      </w:pPr>
      <w:r>
        <w:rPr/>
        <w:pict>
          <v:line style="position:absolute;mso-position-horizontal-relative:page;mso-position-vertical-relative:paragraph;z-index:15767040" from="210.470001pt,8.701552pt" to="205.470001pt,8.701552pt" stroked="true" strokeweight=".5pt" strokecolor="#000000">
            <v:stroke dashstyle="solid"/>
            <w10:wrap type="none"/>
          </v:line>
        </w:pict>
      </w:r>
      <w:r>
        <w:rPr>
          <w:sz w:val="12"/>
        </w:rPr>
        <w:t>20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66528" from="210.470001pt,3.601553pt" to="205.470001pt,3.601553pt" stroked="true" strokeweight=".5pt" strokecolor="#000000">
            <v:stroke dashstyle="solid"/>
            <w10:wrap type="none"/>
          </v:line>
        </w:pict>
      </w:r>
      <w:r>
        <w:rPr>
          <w:sz w:val="12"/>
        </w:rPr>
        <w:t>18</w:t>
      </w:r>
    </w:p>
    <w:p>
      <w:pPr>
        <w:spacing w:before="102"/>
        <w:ind w:left="0" w:right="38" w:firstLine="0"/>
        <w:jc w:val="right"/>
        <w:rPr>
          <w:sz w:val="12"/>
        </w:rPr>
      </w:pPr>
      <w:r>
        <w:rPr/>
        <w:pict>
          <v:line style="position:absolute;mso-position-horizontal-relative:page;mso-position-vertical-relative:paragraph;z-index:15766016" from="210.470001pt,8.701552pt" to="205.470001pt,8.701552pt" stroked="true" strokeweight=".5pt" strokecolor="#000000">
            <v:stroke dashstyle="solid"/>
            <w10:wrap type="none"/>
          </v:line>
        </w:pict>
      </w:r>
      <w:r>
        <w:rPr>
          <w:sz w:val="12"/>
        </w:rPr>
        <w:t>16</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65504" from="210.470001pt,3.601553pt" to="205.470001pt,3.601553pt" stroked="true" strokeweight=".5pt" strokecolor="#000000">
            <v:stroke dashstyle="solid"/>
            <w10:wrap type="none"/>
          </v:line>
        </w:pict>
      </w:r>
      <w:r>
        <w:rPr>
          <w:sz w:val="12"/>
        </w:rPr>
        <w:t>14</w:t>
      </w:r>
    </w:p>
    <w:p>
      <w:pPr>
        <w:spacing w:before="102"/>
        <w:ind w:left="0" w:right="38" w:firstLine="0"/>
        <w:jc w:val="right"/>
        <w:rPr>
          <w:sz w:val="12"/>
        </w:rPr>
      </w:pPr>
      <w:r>
        <w:rPr/>
        <w:pict>
          <v:line style="position:absolute;mso-position-horizontal-relative:page;mso-position-vertical-relative:paragraph;z-index:15764992" from="210.470001pt,8.701552pt" to="205.470001pt,8.701552pt" stroked="true" strokeweight=".5pt" strokecolor="#000000">
            <v:stroke dashstyle="solid"/>
            <w10:wrap type="none"/>
          </v:line>
        </w:pict>
      </w:r>
      <w:r>
        <w:rPr>
          <w:sz w:val="12"/>
        </w:rPr>
        <w:t>12</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64480" from="210.470001pt,3.601553pt" to="205.470001pt,3.601553pt" stroked="true" strokeweight=".5pt" strokecolor="#000000">
            <v:stroke dashstyle="solid"/>
            <w10:wrap type="none"/>
          </v:line>
        </w:pict>
      </w:r>
      <w:r>
        <w:rPr>
          <w:sz w:val="12"/>
        </w:rPr>
        <w:t>10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20976128" from="50.470001pt,3.601553pt" to="45.470001pt,3.601553pt" stroked="true" strokeweight=".5pt" strokecolor="#000000">
            <v:stroke dashstyle="solid"/>
            <w10:wrap type="none"/>
          </v:line>
        </w:pict>
      </w:r>
      <w:r>
        <w:rPr>
          <w:sz w:val="12"/>
        </w:rPr>
        <w:t>8</w:t>
      </w:r>
    </w:p>
    <w:p>
      <w:pPr>
        <w:spacing w:before="102"/>
        <w:ind w:left="0" w:right="38" w:firstLine="0"/>
        <w:jc w:val="right"/>
        <w:rPr>
          <w:sz w:val="12"/>
        </w:rPr>
      </w:pPr>
      <w:r>
        <w:rPr/>
        <w:pict>
          <v:line style="position:absolute;mso-position-horizontal-relative:page;mso-position-vertical-relative:paragraph;z-index:-20976640" from="50.470001pt,8.701552pt" to="45.470001pt,8.701552pt" stroked="true" strokeweight=".5pt" strokecolor="#000000">
            <v:stroke dashstyle="solid"/>
            <w10:wrap type="none"/>
          </v:line>
        </w:pict>
      </w:r>
      <w:r>
        <w:rPr>
          <w:sz w:val="12"/>
        </w:rPr>
        <w:t>6</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20977152" from="50.470001pt,3.601553pt" to="45.470001pt,3.601553pt" stroked="true" strokeweight=".5pt" strokecolor="#000000">
            <v:stroke dashstyle="solid"/>
            <w10:wrap type="none"/>
          </v:line>
        </w:pict>
      </w:r>
      <w:r>
        <w:rPr>
          <w:sz w:val="12"/>
        </w:rPr>
        <w:t>4</w:t>
      </w:r>
    </w:p>
    <w:p>
      <w:pPr>
        <w:spacing w:before="102"/>
        <w:ind w:left="0" w:right="38" w:firstLine="0"/>
        <w:jc w:val="right"/>
        <w:rPr>
          <w:sz w:val="12"/>
        </w:rPr>
      </w:pPr>
      <w:r>
        <w:rPr/>
        <w:pict>
          <v:line style="position:absolute;mso-position-horizontal-relative:page;mso-position-vertical-relative:paragraph;z-index:15760384" from="50.470001pt,8.701552pt" to="45.470001pt,8.701552pt" stroked="true" strokeweight=".5pt" strokecolor="#000000">
            <v:stroke dashstyle="solid"/>
            <w10:wrap type="none"/>
          </v:line>
        </w:pict>
      </w:r>
      <w:r>
        <w:rPr/>
        <w:pict>
          <v:line style="position:absolute;mso-position-horizontal-relative:page;mso-position-vertical-relative:paragraph;z-index:15763968" from="210.470001pt,8.701552pt" to="205.470001pt,8.701552pt" stroked="true" strokeweight=".5pt" strokecolor="#000000">
            <v:stroke dashstyle="solid"/>
            <w10:wrap type="none"/>
          </v:line>
        </w:pict>
      </w:r>
      <w:r>
        <w:rPr>
          <w:sz w:val="12"/>
        </w:rPr>
        <w:t>2</w:t>
      </w:r>
    </w:p>
    <w:p>
      <w:pPr>
        <w:pStyle w:val="BodyText"/>
        <w:spacing w:before="7"/>
        <w:rPr>
          <w:sz w:val="10"/>
        </w:rPr>
      </w:pPr>
    </w:p>
    <w:p>
      <w:pPr>
        <w:spacing w:line="124" w:lineRule="exact" w:before="0"/>
        <w:ind w:left="3659" w:right="0" w:firstLine="0"/>
        <w:jc w:val="left"/>
        <w:rPr>
          <w:sz w:val="12"/>
        </w:rPr>
      </w:pPr>
      <w:r>
        <w:rPr/>
        <w:pict>
          <v:shape style="position:absolute;margin-left:45.470001pt;margin-top:-1.398447pt;width:165pt;height:5pt;mso-position-horizontal-relative:page;mso-position-vertical-relative:paragraph;z-index:15759872" coordorigin="909,-28" coordsize="3300,100" path="m1009,72l909,72m4209,72l4109,72m1049,72l4049,72m1049,72l1049,32m1189,72l1189,32m1309,72l1309,32m1449,72l1449,32m1589,72l1589,32m1709,72l1709,32m1849,72l1849,32m1989,72l1989,32m2109,72l2109,32m2249,72l2249,32m2389,72l2389,32m2509,72l2509,32m2649,72l2649,32m2789,72l2789,32m2909,72l2909,32m3049,72l3049,32m3189,72l3189,32m3329,72l3329,32m3449,72l3449,32m3589,72l3589,32m3729,72l3729,32m3849,72l3849,32m3989,72l3989,32m1049,72l1049,-28m1709,72l1709,-28m2389,72l2389,-28m3049,72l3049,-28m3729,72l3729,-28e" filled="false" stroked="true" strokeweight=".5pt" strokecolor="#000000">
            <v:path arrowok="t"/>
            <v:stroke dashstyle="solid"/>
            <w10:wrap type="none"/>
          </v:shape>
        </w:pict>
      </w:r>
      <w:r>
        <w:rPr>
          <w:sz w:val="12"/>
        </w:rPr>
        <w:t>0</w:t>
      </w:r>
    </w:p>
    <w:p>
      <w:pPr>
        <w:tabs>
          <w:tab w:pos="1079" w:val="left" w:leader="none"/>
          <w:tab w:pos="1759" w:val="left" w:leader="none"/>
          <w:tab w:pos="2419" w:val="left" w:leader="none"/>
          <w:tab w:pos="3099" w:val="left" w:leader="none"/>
        </w:tabs>
        <w:spacing w:line="124" w:lineRule="exact" w:before="0"/>
        <w:ind w:left="299" w:right="0" w:firstLine="0"/>
        <w:jc w:val="left"/>
        <w:rPr>
          <w:sz w:val="12"/>
        </w:rPr>
      </w:pPr>
      <w:r>
        <w:rPr>
          <w:sz w:val="12"/>
        </w:rPr>
        <w:t>1975</w:t>
        <w:tab/>
        <w:t>80</w:t>
        <w:tab/>
        <w:t>85</w:t>
        <w:tab/>
        <w:t>90</w:t>
        <w:tab/>
        <w:t>95</w:t>
      </w:r>
    </w:p>
    <w:p>
      <w:pPr>
        <w:spacing w:before="77"/>
        <w:ind w:left="209" w:right="0" w:firstLine="0"/>
        <w:jc w:val="left"/>
        <w:rPr>
          <w:sz w:val="12"/>
        </w:rPr>
      </w:pPr>
      <w:r>
        <w:rPr>
          <w:color w:val="231F20"/>
          <w:sz w:val="12"/>
        </w:rPr>
        <w:t>Sources: ONS and Bank of England.</w:t>
      </w:r>
    </w:p>
    <w:p>
      <w:pPr>
        <w:spacing w:before="90"/>
        <w:ind w:left="189" w:right="0" w:firstLine="0"/>
        <w:jc w:val="left"/>
        <w:rPr>
          <w:i/>
          <w:sz w:val="24"/>
        </w:rPr>
      </w:pPr>
      <w:r>
        <w:rPr/>
        <w:br w:type="column"/>
      </w:r>
      <w:r>
        <w:rPr>
          <w:i/>
          <w:color w:val="009483"/>
          <w:sz w:val="24"/>
        </w:rPr>
        <w:t>Narrow money</w:t>
      </w:r>
    </w:p>
    <w:p>
      <w:pPr>
        <w:spacing w:line="242" w:lineRule="auto" w:before="124"/>
        <w:ind w:left="188" w:right="204" w:firstLine="0"/>
        <w:jc w:val="left"/>
        <w:rPr>
          <w:sz w:val="24"/>
        </w:rPr>
      </w:pPr>
      <w:r>
        <w:rPr>
          <w:color w:val="231F20"/>
          <w:sz w:val="24"/>
        </w:rPr>
        <w:t>M0 grew by 6.4% in the year to October. This was below the annual rates of around 7% recorded in the second half of last year, but above its growth rate in the previous two months.</w:t>
      </w:r>
      <w:r>
        <w:rPr>
          <w:color w:val="231F20"/>
          <w:position w:val="5"/>
          <w:sz w:val="16"/>
        </w:rPr>
        <w:t>(1) </w:t>
      </w:r>
      <w:r>
        <w:rPr>
          <w:color w:val="231F20"/>
          <w:sz w:val="24"/>
        </w:rPr>
        <w:t>Though bankers’ balances are less than 1% of total M0, their high volatility greatly increases M0’s monthly variation, and so the growth of notes and coins is a better guide to the underlying increase in narrow money. Notes and coins grew by 6.5% in the year to October, again below annual rates of more than 7% during the second half of 1996, but above the growth rate in August and September. Chart 2.6 shows that while narrow money has grown more slowly this year than in 1996, nominal retail spending has continued growing steadily. The relatively weak relationship between narrow money and retail sales growth at present may reflect cyclical changes in velocity, such as the adjustment to higher levels of interest rates.</w:t>
      </w:r>
    </w:p>
    <w:p>
      <w:pPr>
        <w:pStyle w:val="BodyText"/>
        <w:spacing w:before="6"/>
        <w:rPr>
          <w:sz w:val="26"/>
        </w:rPr>
      </w:pPr>
    </w:p>
    <w:p>
      <w:pPr>
        <w:pStyle w:val="ListParagraph"/>
        <w:numPr>
          <w:ilvl w:val="1"/>
          <w:numId w:val="3"/>
        </w:numPr>
        <w:tabs>
          <w:tab w:pos="4697" w:val="left" w:leader="none"/>
          <w:tab w:pos="4698" w:val="left" w:leader="none"/>
          <w:tab w:pos="5680" w:val="left" w:leader="none"/>
        </w:tabs>
        <w:spacing w:line="240" w:lineRule="auto" w:before="0" w:after="0"/>
        <w:ind w:left="4697" w:right="0" w:hanging="4509"/>
        <w:jc w:val="left"/>
        <w:rPr>
          <w:b/>
          <w:sz w:val="28"/>
        </w:rPr>
      </w:pPr>
      <w:r>
        <w:rPr>
          <w:b/>
          <w:color w:val="009483"/>
          <w:sz w:val="28"/>
          <w:u w:val="thick" w:color="0093C1"/>
        </w:rPr>
        <w:t>Credit</w:t>
        <w:tab/>
      </w:r>
    </w:p>
    <w:p>
      <w:pPr>
        <w:spacing w:line="242" w:lineRule="auto" w:before="264"/>
        <w:ind w:left="189" w:right="194" w:firstLine="0"/>
        <w:jc w:val="left"/>
        <w:rPr>
          <w:sz w:val="24"/>
        </w:rPr>
      </w:pPr>
      <w:r>
        <w:rPr>
          <w:color w:val="231F20"/>
          <w:sz w:val="24"/>
        </w:rPr>
        <w:t>The growth rate of bank and building society lending to the non-bank private sector (M4 lending) has slowed in recent months. M4 lending grew at a three-month annualised rate of 6.6% in both August and September, its lowest rate for almost three years, excluding the December 1996 gilt repo-distorted outturn. The demand for credit depends on the interest rate charged relative to other forms of borrowing, and on current and future expected activity. The supply of credit—banks’ willingness to lend—will depend, among other things, on the capital base of lenders. The interaction of the demand for and supply of credit will determine its price, the rate of interest charged.</w:t>
      </w:r>
    </w:p>
    <w:p>
      <w:pPr>
        <w:pStyle w:val="BodyText"/>
        <w:spacing w:before="4"/>
        <w:rPr>
          <w:sz w:val="29"/>
        </w:rPr>
      </w:pPr>
    </w:p>
    <w:p>
      <w:pPr>
        <w:spacing w:before="0"/>
        <w:ind w:left="189" w:right="0" w:firstLine="0"/>
        <w:jc w:val="left"/>
        <w:rPr>
          <w:i/>
          <w:sz w:val="24"/>
        </w:rPr>
      </w:pPr>
      <w:r>
        <w:rPr>
          <w:i/>
          <w:color w:val="009483"/>
          <w:sz w:val="24"/>
        </w:rPr>
        <w:t>Other financial institutions (OFIs)</w:t>
      </w:r>
    </w:p>
    <w:p>
      <w:pPr>
        <w:spacing w:line="242" w:lineRule="auto" w:before="124"/>
        <w:ind w:left="189" w:right="203" w:firstLine="0"/>
        <w:jc w:val="left"/>
        <w:rPr>
          <w:sz w:val="24"/>
        </w:rPr>
      </w:pPr>
      <w:r>
        <w:rPr>
          <w:color w:val="231F20"/>
          <w:sz w:val="24"/>
        </w:rPr>
        <w:t>OFIs’ bank borrowing was 20.5% higher in 1997 Q3 than a year earlier. Lending to OFIs has accounted for more than one third of the rise in total M4 lending in the past two years, and the stock of OFIs’ lending rose to 20.4% of total M4 lending by 1997 Q3.</w:t>
      </w:r>
    </w:p>
    <w:p>
      <w:pPr>
        <w:pStyle w:val="BodyText"/>
        <w:spacing w:before="10"/>
        <w:rPr>
          <w:sz w:val="24"/>
        </w:rPr>
      </w:pPr>
    </w:p>
    <w:p>
      <w:pPr>
        <w:spacing w:line="242" w:lineRule="auto" w:before="1"/>
        <w:ind w:left="189" w:right="0" w:firstLine="0"/>
        <w:jc w:val="left"/>
        <w:rPr>
          <w:sz w:val="24"/>
        </w:rPr>
      </w:pPr>
      <w:r>
        <w:rPr>
          <w:color w:val="231F20"/>
          <w:sz w:val="24"/>
        </w:rPr>
        <w:t>Borrowing by OFIs is often thought to be linked to economic activity less directly than borrowing by the</w:t>
      </w:r>
    </w:p>
    <w:p>
      <w:pPr>
        <w:pStyle w:val="BodyText"/>
        <w:spacing w:before="9"/>
        <w:rPr>
          <w:sz w:val="10"/>
        </w:rPr>
      </w:pPr>
      <w:r>
        <w:rPr/>
        <w:pict>
          <v:shape style="position:absolute;margin-left:278.5pt;margin-top:8.291299pt;width:277.5pt;height:.1pt;mso-position-horizontal-relative:page;mso-position-vertical-relative:paragraph;z-index:-15697920;mso-wrap-distance-left:0;mso-wrap-distance-right:0" coordorigin="5570,166" coordsize="5550,0" path="m5570,166l11120,166e" filled="false" stroked="true" strokeweight=".125pt" strokecolor="#231f20">
            <v:path arrowok="t"/>
            <v:stroke dashstyle="solid"/>
            <w10:wrap type="topAndBottom"/>
          </v:shape>
        </w:pict>
      </w:r>
    </w:p>
    <w:p>
      <w:pPr>
        <w:pStyle w:val="ListParagraph"/>
        <w:numPr>
          <w:ilvl w:val="0"/>
          <w:numId w:val="7"/>
        </w:numPr>
        <w:tabs>
          <w:tab w:pos="425" w:val="left" w:leader="none"/>
        </w:tabs>
        <w:spacing w:line="208" w:lineRule="auto" w:before="0" w:after="0"/>
        <w:ind w:left="424" w:right="871" w:hanging="240"/>
        <w:jc w:val="left"/>
        <w:rPr>
          <w:sz w:val="16"/>
        </w:rPr>
      </w:pPr>
      <w:r>
        <w:rPr>
          <w:color w:val="231F20"/>
          <w:sz w:val="16"/>
        </w:rPr>
        <w:t>The new 50 pence coin was issued in September, increasing the rate </w:t>
      </w:r>
      <w:r>
        <w:rPr>
          <w:color w:val="231F20"/>
          <w:spacing w:val="-9"/>
          <w:sz w:val="16"/>
        </w:rPr>
        <w:t>of </w:t>
      </w:r>
      <w:r>
        <w:rPr>
          <w:color w:val="231F20"/>
          <w:sz w:val="16"/>
        </w:rPr>
        <w:t>narrow money growth by 0.4 percentage points that month, and by</w:t>
      </w:r>
    </w:p>
    <w:p>
      <w:pPr>
        <w:spacing w:line="164" w:lineRule="exact" w:before="0"/>
        <w:ind w:left="424" w:right="0" w:firstLine="0"/>
        <w:jc w:val="left"/>
        <w:rPr>
          <w:sz w:val="16"/>
        </w:rPr>
      </w:pPr>
      <w:r>
        <w:rPr>
          <w:color w:val="231F20"/>
          <w:sz w:val="16"/>
        </w:rPr>
        <w:t>0.1 percentage points in October.</w:t>
      </w:r>
    </w:p>
    <w:p>
      <w:pPr>
        <w:spacing w:after="0" w:line="164" w:lineRule="exact"/>
        <w:jc w:val="left"/>
        <w:rPr>
          <w:sz w:val="16"/>
        </w:rPr>
        <w:sectPr>
          <w:type w:val="continuous"/>
          <w:pgSz w:w="11880" w:h="16840"/>
          <w:pgMar w:top="1040" w:bottom="280" w:left="640" w:right="640"/>
          <w:cols w:num="2" w:equalWidth="0">
            <w:col w:w="3760" w:space="1015"/>
            <w:col w:w="5825"/>
          </w:cols>
        </w:sectPr>
      </w:pPr>
    </w:p>
    <w:p>
      <w:pPr>
        <w:pStyle w:val="BodyText"/>
        <w:rPr>
          <w:sz w:val="20"/>
        </w:rPr>
      </w:pPr>
    </w:p>
    <w:p>
      <w:pPr>
        <w:spacing w:after="0"/>
        <w:rPr>
          <w:sz w:val="20"/>
        </w:rPr>
        <w:sectPr>
          <w:pgSz w:w="11880" w:h="16840"/>
          <w:pgMar w:header="566" w:footer="597" w:top="760" w:bottom="780" w:left="640" w:right="640"/>
        </w:sectPr>
      </w:pPr>
    </w:p>
    <w:p>
      <w:pPr>
        <w:pStyle w:val="BodyText"/>
        <w:spacing w:before="5"/>
        <w:rPr>
          <w:sz w:val="19"/>
        </w:rPr>
      </w:pPr>
    </w:p>
    <w:p>
      <w:pPr>
        <w:pStyle w:val="Heading9"/>
        <w:spacing w:before="0"/>
        <w:ind w:left="159"/>
      </w:pPr>
      <w:bookmarkStart w:name="Personal sector" w:id="24"/>
      <w:bookmarkEnd w:id="24"/>
      <w:r>
        <w:rPr>
          <w:b w:val="0"/>
        </w:rPr>
      </w:r>
      <w:bookmarkStart w:name="Industrial and commercial companies" w:id="25"/>
      <w:bookmarkEnd w:id="25"/>
      <w:r>
        <w:rPr>
          <w:b w:val="0"/>
        </w:rPr>
      </w:r>
      <w:bookmarkStart w:name="_bookmark11" w:id="26"/>
      <w:bookmarkEnd w:id="26"/>
      <w:r>
        <w:rPr>
          <w:b w:val="0"/>
        </w:rPr>
      </w:r>
      <w:r>
        <w:rPr>
          <w:color w:val="0093C1"/>
        </w:rPr>
        <w:t>Table 2.C</w:t>
      </w:r>
    </w:p>
    <w:p>
      <w:pPr>
        <w:spacing w:line="249" w:lineRule="auto" w:before="10"/>
        <w:ind w:left="159" w:right="20" w:firstLine="0"/>
        <w:jc w:val="left"/>
        <w:rPr>
          <w:b/>
          <w:sz w:val="20"/>
        </w:rPr>
      </w:pPr>
      <w:r>
        <w:rPr>
          <w:b/>
          <w:color w:val="0093C1"/>
          <w:sz w:val="20"/>
        </w:rPr>
        <w:t>Sectoral comparison of lending by and deposits with banks and building societies</w:t>
      </w:r>
    </w:p>
    <w:p>
      <w:pPr>
        <w:spacing w:before="98"/>
        <w:ind w:left="159" w:right="0" w:firstLine="0"/>
        <w:jc w:val="left"/>
        <w:rPr>
          <w:sz w:val="14"/>
        </w:rPr>
      </w:pPr>
      <w:r>
        <w:rPr>
          <w:color w:val="231F20"/>
          <w:sz w:val="14"/>
        </w:rPr>
        <w:t>Seasonally adjusted flows (£ billions)</w:t>
      </w:r>
    </w:p>
    <w:p>
      <w:pPr>
        <w:pStyle w:val="BodyText"/>
        <w:spacing w:before="6"/>
        <w:rPr>
          <w:sz w:val="1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326"/>
        <w:gridCol w:w="414"/>
        <w:gridCol w:w="435"/>
        <w:gridCol w:w="300"/>
        <w:gridCol w:w="320"/>
        <w:gridCol w:w="400"/>
        <w:gridCol w:w="320"/>
      </w:tblGrid>
      <w:tr>
        <w:trPr>
          <w:trHeight w:val="185" w:hRule="atLeast"/>
        </w:trPr>
        <w:tc>
          <w:tcPr>
            <w:tcW w:w="1430" w:type="dxa"/>
          </w:tcPr>
          <w:p>
            <w:pPr>
              <w:pStyle w:val="TableParagraph"/>
              <w:rPr>
                <w:sz w:val="12"/>
              </w:rPr>
            </w:pPr>
          </w:p>
        </w:tc>
        <w:tc>
          <w:tcPr>
            <w:tcW w:w="326" w:type="dxa"/>
            <w:tcBorders>
              <w:bottom w:val="single" w:sz="2" w:space="0" w:color="231F20"/>
            </w:tcBorders>
          </w:tcPr>
          <w:p>
            <w:pPr>
              <w:pStyle w:val="TableParagraph"/>
              <w:spacing w:line="159" w:lineRule="exact"/>
              <w:ind w:left="-1" w:right="44"/>
              <w:jc w:val="center"/>
              <w:rPr>
                <w:sz w:val="14"/>
              </w:rPr>
            </w:pPr>
            <w:r>
              <w:rPr>
                <w:color w:val="231F20"/>
                <w:sz w:val="14"/>
              </w:rPr>
              <w:t>OFIs</w:t>
            </w:r>
          </w:p>
        </w:tc>
        <w:tc>
          <w:tcPr>
            <w:tcW w:w="414" w:type="dxa"/>
          </w:tcPr>
          <w:p>
            <w:pPr>
              <w:pStyle w:val="TableParagraph"/>
              <w:rPr>
                <w:sz w:val="12"/>
              </w:rPr>
            </w:pPr>
          </w:p>
        </w:tc>
        <w:tc>
          <w:tcPr>
            <w:tcW w:w="435" w:type="dxa"/>
            <w:tcBorders>
              <w:bottom w:val="single" w:sz="2" w:space="0" w:color="231F20"/>
            </w:tcBorders>
          </w:tcPr>
          <w:p>
            <w:pPr>
              <w:pStyle w:val="TableParagraph"/>
              <w:spacing w:line="159" w:lineRule="exact"/>
              <w:ind w:left="-1" w:right="-15"/>
              <w:rPr>
                <w:sz w:val="14"/>
              </w:rPr>
            </w:pPr>
            <w:r>
              <w:rPr>
                <w:color w:val="231F20"/>
                <w:sz w:val="14"/>
              </w:rPr>
              <w:t>Persons</w:t>
            </w:r>
          </w:p>
        </w:tc>
        <w:tc>
          <w:tcPr>
            <w:tcW w:w="300" w:type="dxa"/>
          </w:tcPr>
          <w:p>
            <w:pPr>
              <w:pStyle w:val="TableParagraph"/>
              <w:rPr>
                <w:sz w:val="12"/>
              </w:rPr>
            </w:pPr>
          </w:p>
        </w:tc>
        <w:tc>
          <w:tcPr>
            <w:tcW w:w="320" w:type="dxa"/>
            <w:tcBorders>
              <w:bottom w:val="single" w:sz="2" w:space="0" w:color="231F20"/>
            </w:tcBorders>
          </w:tcPr>
          <w:p>
            <w:pPr>
              <w:pStyle w:val="TableParagraph"/>
              <w:spacing w:line="159" w:lineRule="exact"/>
              <w:ind w:left="4"/>
              <w:rPr>
                <w:sz w:val="14"/>
              </w:rPr>
            </w:pPr>
            <w:r>
              <w:rPr>
                <w:color w:val="231F20"/>
                <w:sz w:val="14"/>
              </w:rPr>
              <w:t>ICCs</w:t>
            </w:r>
          </w:p>
        </w:tc>
        <w:tc>
          <w:tcPr>
            <w:tcW w:w="400" w:type="dxa"/>
          </w:tcPr>
          <w:p>
            <w:pPr>
              <w:pStyle w:val="TableParagraph"/>
              <w:rPr>
                <w:sz w:val="12"/>
              </w:rPr>
            </w:pPr>
          </w:p>
        </w:tc>
        <w:tc>
          <w:tcPr>
            <w:tcW w:w="320" w:type="dxa"/>
            <w:tcBorders>
              <w:bottom w:val="single" w:sz="2" w:space="0" w:color="231F20"/>
            </w:tcBorders>
          </w:tcPr>
          <w:p>
            <w:pPr>
              <w:pStyle w:val="TableParagraph"/>
              <w:spacing w:line="159" w:lineRule="exact"/>
              <w:ind w:left="4"/>
              <w:rPr>
                <w:sz w:val="14"/>
              </w:rPr>
            </w:pPr>
            <w:r>
              <w:rPr>
                <w:color w:val="231F20"/>
                <w:sz w:val="14"/>
              </w:rPr>
              <w:t>Total</w:t>
            </w:r>
          </w:p>
        </w:tc>
      </w:tr>
      <w:tr>
        <w:trPr>
          <w:trHeight w:val="307" w:hRule="atLeast"/>
        </w:trPr>
        <w:tc>
          <w:tcPr>
            <w:tcW w:w="1430" w:type="dxa"/>
          </w:tcPr>
          <w:p>
            <w:pPr>
              <w:pStyle w:val="TableParagraph"/>
              <w:spacing w:before="87"/>
              <w:ind w:left="50"/>
              <w:rPr>
                <w:b/>
                <w:sz w:val="14"/>
              </w:rPr>
            </w:pPr>
            <w:r>
              <w:rPr>
                <w:b/>
                <w:color w:val="231F20"/>
                <w:sz w:val="14"/>
              </w:rPr>
              <w:t>M4 lending (assets)</w:t>
            </w:r>
          </w:p>
        </w:tc>
        <w:tc>
          <w:tcPr>
            <w:tcW w:w="326" w:type="dxa"/>
            <w:tcBorders>
              <w:top w:val="single" w:sz="2" w:space="0" w:color="231F20"/>
            </w:tcBorders>
          </w:tcPr>
          <w:p>
            <w:pPr>
              <w:pStyle w:val="TableParagraph"/>
              <w:rPr>
                <w:sz w:val="20"/>
              </w:rPr>
            </w:pPr>
          </w:p>
        </w:tc>
        <w:tc>
          <w:tcPr>
            <w:tcW w:w="414" w:type="dxa"/>
          </w:tcPr>
          <w:p>
            <w:pPr>
              <w:pStyle w:val="TableParagraph"/>
              <w:rPr>
                <w:sz w:val="20"/>
              </w:rPr>
            </w:pPr>
          </w:p>
        </w:tc>
        <w:tc>
          <w:tcPr>
            <w:tcW w:w="435" w:type="dxa"/>
            <w:tcBorders>
              <w:top w:val="single" w:sz="2" w:space="0" w:color="231F20"/>
            </w:tcBorders>
          </w:tcPr>
          <w:p>
            <w:pPr>
              <w:pStyle w:val="TableParagraph"/>
              <w:rPr>
                <w:sz w:val="20"/>
              </w:rPr>
            </w:pPr>
          </w:p>
        </w:tc>
        <w:tc>
          <w:tcPr>
            <w:tcW w:w="300" w:type="dxa"/>
          </w:tcPr>
          <w:p>
            <w:pPr>
              <w:pStyle w:val="TableParagraph"/>
              <w:rPr>
                <w:sz w:val="20"/>
              </w:rPr>
            </w:pPr>
          </w:p>
        </w:tc>
        <w:tc>
          <w:tcPr>
            <w:tcW w:w="320" w:type="dxa"/>
            <w:tcBorders>
              <w:top w:val="single" w:sz="2" w:space="0" w:color="231F20"/>
            </w:tcBorders>
          </w:tcPr>
          <w:p>
            <w:pPr>
              <w:pStyle w:val="TableParagraph"/>
              <w:rPr>
                <w:sz w:val="20"/>
              </w:rPr>
            </w:pPr>
          </w:p>
        </w:tc>
        <w:tc>
          <w:tcPr>
            <w:tcW w:w="400" w:type="dxa"/>
          </w:tcPr>
          <w:p>
            <w:pPr>
              <w:pStyle w:val="TableParagraph"/>
              <w:rPr>
                <w:sz w:val="20"/>
              </w:rPr>
            </w:pPr>
          </w:p>
        </w:tc>
        <w:tc>
          <w:tcPr>
            <w:tcW w:w="320" w:type="dxa"/>
            <w:tcBorders>
              <w:top w:val="single" w:sz="2" w:space="0" w:color="231F20"/>
            </w:tcBorders>
          </w:tcPr>
          <w:p>
            <w:pPr>
              <w:pStyle w:val="TableParagraph"/>
              <w:rPr>
                <w:sz w:val="20"/>
              </w:rPr>
            </w:pPr>
          </w:p>
        </w:tc>
      </w:tr>
      <w:tr>
        <w:trPr>
          <w:trHeight w:val="210" w:hRule="atLeast"/>
        </w:trPr>
        <w:tc>
          <w:tcPr>
            <w:tcW w:w="1430" w:type="dxa"/>
          </w:tcPr>
          <w:p>
            <w:pPr>
              <w:pStyle w:val="TableParagraph"/>
              <w:spacing w:line="130" w:lineRule="exact" w:before="60"/>
              <w:ind w:left="50"/>
              <w:rPr>
                <w:sz w:val="14"/>
              </w:rPr>
            </w:pPr>
            <w:r>
              <w:rPr>
                <w:color w:val="231F20"/>
                <w:sz w:val="14"/>
              </w:rPr>
              <w:t>1995</w:t>
            </w:r>
          </w:p>
        </w:tc>
        <w:tc>
          <w:tcPr>
            <w:tcW w:w="326" w:type="dxa"/>
          </w:tcPr>
          <w:p>
            <w:pPr>
              <w:pStyle w:val="TableParagraph"/>
              <w:spacing w:line="130" w:lineRule="exact" w:before="60"/>
              <w:ind w:left="16" w:right="25"/>
              <w:jc w:val="center"/>
              <w:rPr>
                <w:sz w:val="14"/>
              </w:rPr>
            </w:pPr>
            <w:r>
              <w:rPr>
                <w:color w:val="231F20"/>
                <w:sz w:val="14"/>
              </w:rPr>
              <w:t>14.9</w:t>
            </w:r>
          </w:p>
        </w:tc>
        <w:tc>
          <w:tcPr>
            <w:tcW w:w="414" w:type="dxa"/>
          </w:tcPr>
          <w:p>
            <w:pPr>
              <w:pStyle w:val="TableParagraph"/>
              <w:rPr>
                <w:sz w:val="14"/>
              </w:rPr>
            </w:pPr>
          </w:p>
        </w:tc>
        <w:tc>
          <w:tcPr>
            <w:tcW w:w="435" w:type="dxa"/>
          </w:tcPr>
          <w:p>
            <w:pPr>
              <w:pStyle w:val="TableParagraph"/>
              <w:spacing w:line="130" w:lineRule="exact" w:before="60"/>
              <w:ind w:left="15"/>
              <w:rPr>
                <w:sz w:val="14"/>
              </w:rPr>
            </w:pPr>
            <w:r>
              <w:rPr>
                <w:color w:val="231F20"/>
                <w:sz w:val="14"/>
              </w:rPr>
              <w:t>24.8</w:t>
            </w:r>
          </w:p>
        </w:tc>
        <w:tc>
          <w:tcPr>
            <w:tcW w:w="300" w:type="dxa"/>
          </w:tcPr>
          <w:p>
            <w:pPr>
              <w:pStyle w:val="TableParagraph"/>
              <w:rPr>
                <w:sz w:val="14"/>
              </w:rPr>
            </w:pPr>
          </w:p>
        </w:tc>
        <w:tc>
          <w:tcPr>
            <w:tcW w:w="320" w:type="dxa"/>
          </w:tcPr>
          <w:p>
            <w:pPr>
              <w:pStyle w:val="TableParagraph"/>
              <w:spacing w:line="130" w:lineRule="exact" w:before="60"/>
              <w:ind w:left="9"/>
              <w:rPr>
                <w:sz w:val="14"/>
              </w:rPr>
            </w:pPr>
            <w:r>
              <w:rPr>
                <w:color w:val="231F20"/>
                <w:sz w:val="14"/>
              </w:rPr>
              <w:t>17.3</w:t>
            </w:r>
          </w:p>
        </w:tc>
        <w:tc>
          <w:tcPr>
            <w:tcW w:w="400" w:type="dxa"/>
          </w:tcPr>
          <w:p>
            <w:pPr>
              <w:pStyle w:val="TableParagraph"/>
              <w:rPr>
                <w:sz w:val="14"/>
              </w:rPr>
            </w:pPr>
          </w:p>
        </w:tc>
        <w:tc>
          <w:tcPr>
            <w:tcW w:w="320" w:type="dxa"/>
          </w:tcPr>
          <w:p>
            <w:pPr>
              <w:pStyle w:val="TableParagraph"/>
              <w:spacing w:line="130" w:lineRule="exact" w:before="60"/>
              <w:ind w:left="30"/>
              <w:rPr>
                <w:sz w:val="14"/>
              </w:rPr>
            </w:pPr>
            <w:r>
              <w:rPr>
                <w:color w:val="231F20"/>
                <w:sz w:val="14"/>
              </w:rPr>
              <w:t>57.0</w:t>
            </w:r>
          </w:p>
        </w:tc>
      </w:tr>
      <w:tr>
        <w:trPr>
          <w:trHeight w:val="147" w:hRule="atLeast"/>
        </w:trPr>
        <w:tc>
          <w:tcPr>
            <w:tcW w:w="1430" w:type="dxa"/>
          </w:tcPr>
          <w:p>
            <w:pPr>
              <w:pStyle w:val="TableParagraph"/>
              <w:spacing w:line="128" w:lineRule="exact"/>
              <w:ind w:left="50"/>
              <w:rPr>
                <w:sz w:val="14"/>
              </w:rPr>
            </w:pPr>
            <w:r>
              <w:rPr>
                <w:color w:val="231F20"/>
                <w:sz w:val="14"/>
              </w:rPr>
              <w:t>1996</w:t>
            </w:r>
          </w:p>
        </w:tc>
        <w:tc>
          <w:tcPr>
            <w:tcW w:w="326" w:type="dxa"/>
          </w:tcPr>
          <w:p>
            <w:pPr>
              <w:pStyle w:val="TableParagraph"/>
              <w:spacing w:line="128" w:lineRule="exact"/>
              <w:ind w:left="16" w:right="25"/>
              <w:jc w:val="center"/>
              <w:rPr>
                <w:sz w:val="14"/>
              </w:rPr>
            </w:pPr>
            <w:r>
              <w:rPr>
                <w:color w:val="231F20"/>
                <w:sz w:val="14"/>
              </w:rPr>
              <w:t>14.4</w:t>
            </w:r>
          </w:p>
        </w:tc>
        <w:tc>
          <w:tcPr>
            <w:tcW w:w="414" w:type="dxa"/>
          </w:tcPr>
          <w:p>
            <w:pPr>
              <w:pStyle w:val="TableParagraph"/>
              <w:rPr>
                <w:sz w:val="8"/>
              </w:rPr>
            </w:pPr>
          </w:p>
        </w:tc>
        <w:tc>
          <w:tcPr>
            <w:tcW w:w="435" w:type="dxa"/>
          </w:tcPr>
          <w:p>
            <w:pPr>
              <w:pStyle w:val="TableParagraph"/>
              <w:spacing w:line="128" w:lineRule="exact"/>
              <w:ind w:left="15"/>
              <w:rPr>
                <w:sz w:val="14"/>
              </w:rPr>
            </w:pPr>
            <w:r>
              <w:rPr>
                <w:color w:val="231F20"/>
                <w:sz w:val="14"/>
              </w:rPr>
              <w:t>29.7</w:t>
            </w:r>
          </w:p>
        </w:tc>
        <w:tc>
          <w:tcPr>
            <w:tcW w:w="300" w:type="dxa"/>
          </w:tcPr>
          <w:p>
            <w:pPr>
              <w:pStyle w:val="TableParagraph"/>
              <w:rPr>
                <w:sz w:val="8"/>
              </w:rPr>
            </w:pPr>
          </w:p>
        </w:tc>
        <w:tc>
          <w:tcPr>
            <w:tcW w:w="320" w:type="dxa"/>
          </w:tcPr>
          <w:p>
            <w:pPr>
              <w:pStyle w:val="TableParagraph"/>
              <w:spacing w:line="128" w:lineRule="exact"/>
              <w:ind w:left="9"/>
              <w:rPr>
                <w:sz w:val="14"/>
              </w:rPr>
            </w:pPr>
            <w:r>
              <w:rPr>
                <w:color w:val="231F20"/>
                <w:sz w:val="14"/>
              </w:rPr>
              <w:t>18.3</w:t>
            </w:r>
          </w:p>
        </w:tc>
        <w:tc>
          <w:tcPr>
            <w:tcW w:w="400" w:type="dxa"/>
          </w:tcPr>
          <w:p>
            <w:pPr>
              <w:pStyle w:val="TableParagraph"/>
              <w:rPr>
                <w:sz w:val="8"/>
              </w:rPr>
            </w:pPr>
          </w:p>
        </w:tc>
        <w:tc>
          <w:tcPr>
            <w:tcW w:w="320" w:type="dxa"/>
          </w:tcPr>
          <w:p>
            <w:pPr>
              <w:pStyle w:val="TableParagraph"/>
              <w:spacing w:line="128" w:lineRule="exact"/>
              <w:ind w:left="30"/>
              <w:rPr>
                <w:sz w:val="14"/>
              </w:rPr>
            </w:pPr>
            <w:r>
              <w:rPr>
                <w:color w:val="231F20"/>
                <w:sz w:val="14"/>
              </w:rPr>
              <w:t>62.4</w:t>
            </w:r>
          </w:p>
        </w:tc>
      </w:tr>
    </w:tbl>
    <w:p>
      <w:pPr>
        <w:pStyle w:val="Heading5"/>
        <w:spacing w:line="242" w:lineRule="auto" w:before="220"/>
        <w:ind w:left="109" w:right="179"/>
      </w:pPr>
      <w:r>
        <w:rPr/>
        <w:br w:type="column"/>
      </w:r>
      <w:r>
        <w:rPr>
          <w:color w:val="231F20"/>
        </w:rPr>
        <w:t>personal sector or companies but, as noted in the August 1996 </w:t>
      </w:r>
      <w:r>
        <w:rPr>
          <w:i/>
          <w:color w:val="231F20"/>
        </w:rPr>
        <w:t>Report</w:t>
      </w:r>
      <w:r>
        <w:rPr>
          <w:color w:val="231F20"/>
        </w:rPr>
        <w:t>, this need not be the case. Leasing companies, for example, may borrow to finance purchases of new capital goods. According to the Finance and Leasing Association, the annual growth rates of business finance and hire purchase, excluding high-value items, which can be volatile, remained strong</w:t>
      </w:r>
    </w:p>
    <w:p>
      <w:pPr>
        <w:spacing w:after="0" w:line="242" w:lineRule="auto"/>
        <w:sectPr>
          <w:type w:val="continuous"/>
          <w:pgSz w:w="11880" w:h="16840"/>
          <w:pgMar w:top="1040" w:bottom="280" w:left="640" w:right="640"/>
          <w:cols w:num="2" w:equalWidth="0">
            <w:col w:w="4222" w:space="627"/>
            <w:col w:w="5751"/>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930"/>
        <w:gridCol w:w="725"/>
        <w:gridCol w:w="700"/>
        <w:gridCol w:w="968"/>
        <w:gridCol w:w="2185"/>
      </w:tblGrid>
      <w:tr>
        <w:trPr>
          <w:trHeight w:val="262" w:hRule="atLeast"/>
        </w:trPr>
        <w:tc>
          <w:tcPr>
            <w:tcW w:w="1053" w:type="dxa"/>
          </w:tcPr>
          <w:p>
            <w:pPr>
              <w:pStyle w:val="TableParagraph"/>
              <w:spacing w:line="124" w:lineRule="exact" w:before="118"/>
              <w:ind w:right="410"/>
              <w:jc w:val="right"/>
              <w:rPr>
                <w:sz w:val="14"/>
              </w:rPr>
            </w:pPr>
            <w:r>
              <w:rPr>
                <w:color w:val="231F20"/>
                <w:sz w:val="14"/>
              </w:rPr>
              <w:t>1997 Q1</w:t>
            </w:r>
          </w:p>
        </w:tc>
        <w:tc>
          <w:tcPr>
            <w:tcW w:w="930" w:type="dxa"/>
          </w:tcPr>
          <w:p>
            <w:pPr>
              <w:pStyle w:val="TableParagraph"/>
              <w:spacing w:line="124" w:lineRule="exact" w:before="118"/>
              <w:ind w:right="271"/>
              <w:jc w:val="right"/>
              <w:rPr>
                <w:sz w:val="14"/>
              </w:rPr>
            </w:pPr>
            <w:r>
              <w:rPr>
                <w:color w:val="231F20"/>
                <w:sz w:val="14"/>
              </w:rPr>
              <w:t>16.1</w:t>
            </w:r>
          </w:p>
        </w:tc>
        <w:tc>
          <w:tcPr>
            <w:tcW w:w="725" w:type="dxa"/>
          </w:tcPr>
          <w:p>
            <w:pPr>
              <w:pStyle w:val="TableParagraph"/>
              <w:spacing w:line="124" w:lineRule="exact" w:before="118"/>
              <w:ind w:right="277"/>
              <w:jc w:val="right"/>
              <w:rPr>
                <w:sz w:val="14"/>
              </w:rPr>
            </w:pPr>
            <w:r>
              <w:rPr>
                <w:color w:val="231F20"/>
                <w:sz w:val="14"/>
              </w:rPr>
              <w:t>8.5</w:t>
            </w:r>
          </w:p>
        </w:tc>
        <w:tc>
          <w:tcPr>
            <w:tcW w:w="700" w:type="dxa"/>
          </w:tcPr>
          <w:p>
            <w:pPr>
              <w:pStyle w:val="TableParagraph"/>
              <w:spacing w:line="124" w:lineRule="exact" w:before="118"/>
              <w:ind w:right="246"/>
              <w:jc w:val="right"/>
              <w:rPr>
                <w:sz w:val="14"/>
              </w:rPr>
            </w:pPr>
            <w:r>
              <w:rPr>
                <w:color w:val="231F20"/>
                <w:sz w:val="14"/>
              </w:rPr>
              <w:t>0.4</w:t>
            </w:r>
          </w:p>
        </w:tc>
        <w:tc>
          <w:tcPr>
            <w:tcW w:w="968" w:type="dxa"/>
          </w:tcPr>
          <w:p>
            <w:pPr>
              <w:pStyle w:val="TableParagraph"/>
              <w:spacing w:line="124" w:lineRule="exact" w:before="118"/>
              <w:ind w:left="246"/>
              <w:rPr>
                <w:sz w:val="14"/>
              </w:rPr>
            </w:pPr>
            <w:r>
              <w:rPr>
                <w:color w:val="231F20"/>
                <w:sz w:val="14"/>
              </w:rPr>
              <w:t>25.1</w:t>
            </w:r>
          </w:p>
        </w:tc>
        <w:tc>
          <w:tcPr>
            <w:tcW w:w="2185" w:type="dxa"/>
          </w:tcPr>
          <w:p>
            <w:pPr>
              <w:pStyle w:val="TableParagraph"/>
              <w:spacing w:line="242" w:lineRule="exact"/>
              <w:ind w:left="474"/>
              <w:rPr>
                <w:sz w:val="24"/>
              </w:rPr>
            </w:pPr>
            <w:r>
              <w:rPr>
                <w:color w:val="231F20"/>
                <w:sz w:val="24"/>
              </w:rPr>
              <w:t>in recent months.</w:t>
            </w:r>
          </w:p>
        </w:tc>
      </w:tr>
      <w:tr>
        <w:trPr>
          <w:trHeight w:val="140" w:hRule="atLeast"/>
        </w:trPr>
        <w:tc>
          <w:tcPr>
            <w:tcW w:w="1053" w:type="dxa"/>
          </w:tcPr>
          <w:p>
            <w:pPr>
              <w:pStyle w:val="TableParagraph"/>
              <w:spacing w:line="120" w:lineRule="exact"/>
              <w:ind w:right="410"/>
              <w:jc w:val="right"/>
              <w:rPr>
                <w:sz w:val="14"/>
              </w:rPr>
            </w:pPr>
            <w:r>
              <w:rPr>
                <w:color w:val="231F20"/>
                <w:sz w:val="14"/>
              </w:rPr>
              <w:t>Q2</w:t>
            </w:r>
          </w:p>
        </w:tc>
        <w:tc>
          <w:tcPr>
            <w:tcW w:w="930" w:type="dxa"/>
          </w:tcPr>
          <w:p>
            <w:pPr>
              <w:pStyle w:val="TableParagraph"/>
              <w:spacing w:line="120" w:lineRule="exact"/>
              <w:ind w:right="271"/>
              <w:jc w:val="right"/>
              <w:rPr>
                <w:sz w:val="14"/>
              </w:rPr>
            </w:pPr>
            <w:r>
              <w:rPr>
                <w:color w:val="231F20"/>
                <w:sz w:val="14"/>
              </w:rPr>
              <w:t>7.9</w:t>
            </w:r>
          </w:p>
        </w:tc>
        <w:tc>
          <w:tcPr>
            <w:tcW w:w="725" w:type="dxa"/>
          </w:tcPr>
          <w:p>
            <w:pPr>
              <w:pStyle w:val="TableParagraph"/>
              <w:spacing w:line="120" w:lineRule="exact"/>
              <w:ind w:right="277"/>
              <w:jc w:val="right"/>
              <w:rPr>
                <w:sz w:val="14"/>
              </w:rPr>
            </w:pPr>
            <w:r>
              <w:rPr>
                <w:color w:val="231F20"/>
                <w:sz w:val="14"/>
              </w:rPr>
              <w:t>8.5</w:t>
            </w:r>
          </w:p>
        </w:tc>
        <w:tc>
          <w:tcPr>
            <w:tcW w:w="700" w:type="dxa"/>
          </w:tcPr>
          <w:p>
            <w:pPr>
              <w:pStyle w:val="TableParagraph"/>
              <w:spacing w:line="120" w:lineRule="exact"/>
              <w:ind w:right="246"/>
              <w:jc w:val="right"/>
              <w:rPr>
                <w:sz w:val="14"/>
              </w:rPr>
            </w:pPr>
            <w:r>
              <w:rPr>
                <w:color w:val="231F20"/>
                <w:sz w:val="14"/>
              </w:rPr>
              <w:t>2.8</w:t>
            </w:r>
          </w:p>
        </w:tc>
        <w:tc>
          <w:tcPr>
            <w:tcW w:w="968" w:type="dxa"/>
          </w:tcPr>
          <w:p>
            <w:pPr>
              <w:pStyle w:val="TableParagraph"/>
              <w:spacing w:line="120" w:lineRule="exact"/>
              <w:ind w:left="246"/>
              <w:rPr>
                <w:sz w:val="14"/>
              </w:rPr>
            </w:pPr>
            <w:r>
              <w:rPr>
                <w:color w:val="231F20"/>
                <w:sz w:val="14"/>
              </w:rPr>
              <w:t>19.1</w:t>
            </w:r>
          </w:p>
        </w:tc>
        <w:tc>
          <w:tcPr>
            <w:tcW w:w="2185" w:type="dxa"/>
          </w:tcPr>
          <w:p>
            <w:pPr>
              <w:pStyle w:val="TableParagraph"/>
              <w:rPr>
                <w:sz w:val="8"/>
              </w:rPr>
            </w:pPr>
          </w:p>
        </w:tc>
      </w:tr>
      <w:tr>
        <w:trPr>
          <w:trHeight w:val="147" w:hRule="atLeast"/>
        </w:trPr>
        <w:tc>
          <w:tcPr>
            <w:tcW w:w="1053" w:type="dxa"/>
          </w:tcPr>
          <w:p>
            <w:pPr>
              <w:pStyle w:val="TableParagraph"/>
              <w:spacing w:line="128" w:lineRule="exact"/>
              <w:ind w:right="410"/>
              <w:jc w:val="right"/>
              <w:rPr>
                <w:sz w:val="14"/>
              </w:rPr>
            </w:pPr>
            <w:r>
              <w:rPr>
                <w:color w:val="231F20"/>
                <w:sz w:val="14"/>
              </w:rPr>
              <w:t>Q3</w:t>
            </w:r>
          </w:p>
        </w:tc>
        <w:tc>
          <w:tcPr>
            <w:tcW w:w="930" w:type="dxa"/>
          </w:tcPr>
          <w:p>
            <w:pPr>
              <w:pStyle w:val="TableParagraph"/>
              <w:spacing w:line="128" w:lineRule="exact"/>
              <w:ind w:right="271"/>
              <w:jc w:val="right"/>
              <w:rPr>
                <w:sz w:val="14"/>
              </w:rPr>
            </w:pPr>
            <w:r>
              <w:rPr>
                <w:color w:val="231F20"/>
                <w:sz w:val="14"/>
              </w:rPr>
              <w:t>6.3</w:t>
            </w:r>
          </w:p>
        </w:tc>
        <w:tc>
          <w:tcPr>
            <w:tcW w:w="725" w:type="dxa"/>
          </w:tcPr>
          <w:p>
            <w:pPr>
              <w:pStyle w:val="TableParagraph"/>
              <w:spacing w:line="128" w:lineRule="exact"/>
              <w:ind w:right="277"/>
              <w:jc w:val="right"/>
              <w:rPr>
                <w:sz w:val="14"/>
              </w:rPr>
            </w:pPr>
            <w:r>
              <w:rPr>
                <w:color w:val="231F20"/>
                <w:sz w:val="14"/>
              </w:rPr>
              <w:t>7.8</w:t>
            </w:r>
          </w:p>
        </w:tc>
        <w:tc>
          <w:tcPr>
            <w:tcW w:w="700" w:type="dxa"/>
          </w:tcPr>
          <w:p>
            <w:pPr>
              <w:pStyle w:val="TableParagraph"/>
              <w:spacing w:line="128" w:lineRule="exact"/>
              <w:ind w:right="246"/>
              <w:jc w:val="right"/>
              <w:rPr>
                <w:sz w:val="14"/>
              </w:rPr>
            </w:pPr>
            <w:r>
              <w:rPr>
                <w:color w:val="231F20"/>
                <w:sz w:val="14"/>
              </w:rPr>
              <w:t>0.1</w:t>
            </w:r>
          </w:p>
        </w:tc>
        <w:tc>
          <w:tcPr>
            <w:tcW w:w="968" w:type="dxa"/>
          </w:tcPr>
          <w:p>
            <w:pPr>
              <w:pStyle w:val="TableParagraph"/>
              <w:spacing w:line="128" w:lineRule="exact"/>
              <w:ind w:left="246"/>
              <w:rPr>
                <w:sz w:val="14"/>
              </w:rPr>
            </w:pPr>
            <w:r>
              <w:rPr>
                <w:color w:val="231F20"/>
                <w:sz w:val="14"/>
              </w:rPr>
              <w:t>14.2</w:t>
            </w:r>
          </w:p>
        </w:tc>
        <w:tc>
          <w:tcPr>
            <w:tcW w:w="2185" w:type="dxa"/>
          </w:tcPr>
          <w:p>
            <w:pPr>
              <w:pStyle w:val="TableParagraph"/>
              <w:rPr>
                <w:sz w:val="8"/>
              </w:rPr>
            </w:pPr>
          </w:p>
        </w:tc>
      </w:tr>
    </w:tbl>
    <w:p>
      <w:pPr>
        <w:spacing w:after="0"/>
        <w:rPr>
          <w:sz w:val="8"/>
        </w:rPr>
        <w:sectPr>
          <w:type w:val="continuous"/>
          <w:pgSz w:w="11880" w:h="16840"/>
          <w:pgMar w:top="1040" w:bottom="280" w:left="640" w:right="640"/>
        </w:sectPr>
      </w:pPr>
    </w:p>
    <w:p>
      <w:pPr>
        <w:spacing w:before="133"/>
        <w:ind w:left="159" w:right="0" w:firstLine="0"/>
        <w:jc w:val="left"/>
        <w:rPr>
          <w:b/>
          <w:sz w:val="14"/>
        </w:rPr>
      </w:pPr>
      <w:r>
        <w:rPr>
          <w:b/>
          <w:color w:val="231F20"/>
          <w:sz w:val="14"/>
        </w:rPr>
        <w:t>M4 (liabilities)</w:t>
      </w:r>
    </w:p>
    <w:p>
      <w:pPr>
        <w:tabs>
          <w:tab w:pos="1574" w:val="left" w:leader="none"/>
          <w:tab w:pos="2294" w:val="left" w:leader="none"/>
          <w:tab w:pos="3094" w:val="left" w:leader="none"/>
          <w:tab w:pos="3764" w:val="left" w:leader="none"/>
        </w:tabs>
        <w:spacing w:line="150" w:lineRule="exact" w:before="119"/>
        <w:ind w:left="159" w:right="0" w:firstLine="0"/>
        <w:jc w:val="left"/>
        <w:rPr>
          <w:sz w:val="14"/>
        </w:rPr>
      </w:pPr>
      <w:r>
        <w:rPr>
          <w:color w:val="231F20"/>
          <w:sz w:val="14"/>
        </w:rPr>
        <w:t>1995</w:t>
        <w:tab/>
        <w:t>21.1</w:t>
        <w:tab/>
        <w:t>29.2</w:t>
        <w:tab/>
        <w:t>5.3</w:t>
        <w:tab/>
        <w:t>55.5</w:t>
      </w:r>
    </w:p>
    <w:p>
      <w:pPr>
        <w:tabs>
          <w:tab w:pos="1574" w:val="left" w:leader="none"/>
          <w:tab w:pos="2294" w:val="left" w:leader="none"/>
          <w:tab w:pos="3094" w:val="left" w:leader="none"/>
          <w:tab w:pos="3764" w:val="left" w:leader="none"/>
        </w:tabs>
        <w:spacing w:line="150" w:lineRule="exact" w:before="0"/>
        <w:ind w:left="159" w:right="0" w:firstLine="0"/>
        <w:jc w:val="left"/>
        <w:rPr>
          <w:sz w:val="14"/>
        </w:rPr>
      </w:pPr>
      <w:r>
        <w:rPr>
          <w:color w:val="231F20"/>
          <w:sz w:val="14"/>
        </w:rPr>
        <w:t>1996</w:t>
        <w:tab/>
        <w:t>25.1</w:t>
        <w:tab/>
        <w:t>26.6</w:t>
        <w:tab/>
        <w:t>8.1</w:t>
        <w:tab/>
        <w:t>59.8</w:t>
      </w:r>
    </w:p>
    <w:p>
      <w:pPr>
        <w:tabs>
          <w:tab w:pos="1574" w:val="left" w:leader="none"/>
          <w:tab w:pos="2294" w:val="left" w:leader="none"/>
          <w:tab w:pos="3094" w:val="left" w:leader="none"/>
          <w:tab w:pos="4009" w:val="right" w:leader="none"/>
        </w:tabs>
        <w:spacing w:line="150" w:lineRule="exact" w:before="119"/>
        <w:ind w:left="159" w:right="0" w:firstLine="0"/>
        <w:jc w:val="left"/>
        <w:rPr>
          <w:sz w:val="14"/>
        </w:rPr>
      </w:pPr>
      <w:r>
        <w:rPr>
          <w:color w:val="231F20"/>
          <w:sz w:val="14"/>
        </w:rPr>
        <w:t>1997  </w:t>
      </w:r>
      <w:r>
        <w:rPr>
          <w:color w:val="231F20"/>
          <w:spacing w:val="34"/>
          <w:sz w:val="14"/>
        </w:rPr>
        <w:t> </w:t>
      </w:r>
      <w:r>
        <w:rPr>
          <w:color w:val="231F20"/>
          <w:sz w:val="14"/>
        </w:rPr>
        <w:t>Q1</w:t>
        <w:tab/>
        <w:t>15.4</w:t>
        <w:tab/>
        <w:t>10.2</w:t>
        <w:tab/>
        <w:t>1.8</w:t>
        <w:tab/>
        <w:t>27.4</w:t>
      </w:r>
    </w:p>
    <w:p>
      <w:pPr>
        <w:tabs>
          <w:tab w:pos="1644" w:val="left" w:leader="none"/>
          <w:tab w:pos="2364" w:val="left" w:leader="none"/>
          <w:tab w:pos="3094" w:val="left" w:leader="none"/>
          <w:tab w:pos="4009" w:val="right" w:leader="none"/>
        </w:tabs>
        <w:spacing w:line="140" w:lineRule="exact" w:before="0"/>
        <w:ind w:left="579" w:right="0" w:firstLine="0"/>
        <w:jc w:val="left"/>
        <w:rPr>
          <w:sz w:val="14"/>
        </w:rPr>
      </w:pPr>
      <w:r>
        <w:rPr>
          <w:color w:val="231F20"/>
          <w:sz w:val="14"/>
        </w:rPr>
        <w:t>Q2</w:t>
        <w:tab/>
        <w:t>7.9</w:t>
        <w:tab/>
        <w:t>8.8</w:t>
        <w:tab/>
        <w:t>2.1</w:t>
        <w:tab/>
        <w:t>18.8</w:t>
      </w:r>
    </w:p>
    <w:p>
      <w:pPr>
        <w:tabs>
          <w:tab w:pos="1644" w:val="left" w:leader="none"/>
          <w:tab w:pos="2364" w:val="left" w:leader="none"/>
          <w:tab w:pos="3094" w:val="left" w:leader="none"/>
          <w:tab w:pos="4009" w:val="right" w:leader="none"/>
        </w:tabs>
        <w:spacing w:line="150" w:lineRule="exact" w:before="0"/>
        <w:ind w:left="579" w:right="0" w:firstLine="0"/>
        <w:jc w:val="left"/>
        <w:rPr>
          <w:sz w:val="14"/>
        </w:rPr>
      </w:pPr>
      <w:r>
        <w:rPr>
          <w:color w:val="231F20"/>
          <w:sz w:val="14"/>
        </w:rPr>
        <w:t>Q3</w:t>
        <w:tab/>
        <w:t>9.4</w:t>
        <w:tab/>
        <w:t>6.1</w:t>
        <w:tab/>
        <w:t>4.2</w:t>
        <w:tab/>
        <w:t>19.7</w:t>
      </w:r>
    </w:p>
    <w:p>
      <w:pPr>
        <w:spacing w:before="119"/>
        <w:ind w:left="159" w:right="0" w:firstLine="0"/>
        <w:jc w:val="left"/>
        <w:rPr>
          <w:sz w:val="12"/>
        </w:rPr>
      </w:pPr>
      <w:r>
        <w:rPr>
          <w:b/>
          <w:color w:val="231F20"/>
          <w:sz w:val="14"/>
        </w:rPr>
        <w:t>Other counterparts to M4 </w:t>
      </w:r>
      <w:r>
        <w:rPr>
          <w:color w:val="231F20"/>
          <w:sz w:val="12"/>
        </w:rPr>
        <w:t>(a)</w:t>
      </w:r>
    </w:p>
    <w:p>
      <w:pPr>
        <w:pStyle w:val="Heading5"/>
        <w:spacing w:line="242" w:lineRule="auto"/>
        <w:ind w:left="159" w:right="66" w:hanging="1"/>
      </w:pPr>
      <w:r>
        <w:rPr/>
        <w:br w:type="column"/>
      </w:r>
      <w:r>
        <w:rPr>
          <w:color w:val="231F20"/>
        </w:rPr>
        <w:t>Table 2.C shows the flows of deposits into, and lending by, banks and building societies since 1995. OFIs deposited more than they borrowed in 1995 and 1996. And though they were net borrowers from the banking sector in the first half of 1997, in 1997 Q3 they deposited more money overall. Different types of OFI tend to be</w:t>
      </w:r>
    </w:p>
    <w:p>
      <w:pPr>
        <w:spacing w:after="0" w:line="242" w:lineRule="auto"/>
        <w:sectPr>
          <w:type w:val="continuous"/>
          <w:pgSz w:w="11880" w:h="16840"/>
          <w:pgMar w:top="1040" w:bottom="280" w:left="640" w:right="640"/>
          <w:cols w:num="2" w:equalWidth="0">
            <w:col w:w="4050" w:space="750"/>
            <w:col w:w="5800"/>
          </w:cols>
        </w:sectPr>
      </w:pPr>
    </w:p>
    <w:p>
      <w:pPr>
        <w:pStyle w:val="BodyText"/>
        <w:rPr>
          <w:sz w:val="20"/>
        </w:rPr>
      </w:pPr>
    </w:p>
    <w:p>
      <w:pPr>
        <w:pStyle w:val="BodyText"/>
        <w:spacing w:before="3"/>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700"/>
        <w:gridCol w:w="725"/>
        <w:gridCol w:w="710"/>
        <w:gridCol w:w="531"/>
      </w:tblGrid>
      <w:tr>
        <w:trPr>
          <w:trHeight w:val="147" w:hRule="atLeast"/>
        </w:trPr>
        <w:tc>
          <w:tcPr>
            <w:tcW w:w="1285" w:type="dxa"/>
          </w:tcPr>
          <w:p>
            <w:pPr>
              <w:pStyle w:val="TableParagraph"/>
              <w:spacing w:line="128" w:lineRule="exact"/>
              <w:ind w:left="31" w:right="203"/>
              <w:jc w:val="center"/>
              <w:rPr>
                <w:sz w:val="14"/>
              </w:rPr>
            </w:pPr>
            <w:r>
              <w:rPr>
                <w:color w:val="231F20"/>
                <w:sz w:val="14"/>
              </w:rPr>
              <w:t>Q2</w:t>
            </w:r>
          </w:p>
        </w:tc>
        <w:tc>
          <w:tcPr>
            <w:tcW w:w="700" w:type="dxa"/>
          </w:tcPr>
          <w:p>
            <w:pPr>
              <w:pStyle w:val="TableParagraph"/>
              <w:spacing w:line="128" w:lineRule="exact"/>
              <w:ind w:right="272"/>
              <w:jc w:val="right"/>
              <w:rPr>
                <w:sz w:val="14"/>
              </w:rPr>
            </w:pPr>
            <w:r>
              <w:rPr>
                <w:color w:val="231F20"/>
                <w:sz w:val="14"/>
              </w:rPr>
              <w:t>n/a</w:t>
            </w:r>
          </w:p>
        </w:tc>
        <w:tc>
          <w:tcPr>
            <w:tcW w:w="725" w:type="dxa"/>
          </w:tcPr>
          <w:p>
            <w:pPr>
              <w:pStyle w:val="TableParagraph"/>
              <w:spacing w:line="128" w:lineRule="exact"/>
              <w:ind w:right="277"/>
              <w:jc w:val="right"/>
              <w:rPr>
                <w:sz w:val="14"/>
              </w:rPr>
            </w:pPr>
            <w:r>
              <w:rPr>
                <w:color w:val="231F20"/>
                <w:sz w:val="14"/>
              </w:rPr>
              <w:t>n/a</w:t>
            </w:r>
          </w:p>
        </w:tc>
        <w:tc>
          <w:tcPr>
            <w:tcW w:w="710" w:type="dxa"/>
          </w:tcPr>
          <w:p>
            <w:pPr>
              <w:pStyle w:val="TableParagraph"/>
              <w:spacing w:line="128" w:lineRule="exact"/>
              <w:ind w:right="257"/>
              <w:jc w:val="right"/>
              <w:rPr>
                <w:sz w:val="14"/>
              </w:rPr>
            </w:pPr>
            <w:r>
              <w:rPr>
                <w:color w:val="231F20"/>
                <w:sz w:val="14"/>
              </w:rPr>
              <w:t>n/a</w:t>
            </w:r>
          </w:p>
        </w:tc>
        <w:tc>
          <w:tcPr>
            <w:tcW w:w="531" w:type="dxa"/>
          </w:tcPr>
          <w:p>
            <w:pPr>
              <w:pStyle w:val="TableParagraph"/>
              <w:spacing w:line="128" w:lineRule="exact"/>
              <w:ind w:right="50"/>
              <w:jc w:val="right"/>
              <w:rPr>
                <w:sz w:val="14"/>
              </w:rPr>
            </w:pPr>
            <w:r>
              <w:rPr>
                <w:color w:val="231F20"/>
                <w:sz w:val="14"/>
              </w:rPr>
              <w:t>0.3</w:t>
            </w:r>
          </w:p>
        </w:tc>
      </w:tr>
      <w:tr>
        <w:trPr>
          <w:trHeight w:val="198" w:hRule="atLeast"/>
        </w:trPr>
        <w:tc>
          <w:tcPr>
            <w:tcW w:w="1285" w:type="dxa"/>
          </w:tcPr>
          <w:p>
            <w:pPr>
              <w:pStyle w:val="TableParagraph"/>
              <w:spacing w:line="148" w:lineRule="exact"/>
              <w:ind w:left="31" w:right="203"/>
              <w:jc w:val="center"/>
              <w:rPr>
                <w:sz w:val="14"/>
              </w:rPr>
            </w:pPr>
            <w:r>
              <w:rPr>
                <w:color w:val="231F20"/>
                <w:sz w:val="14"/>
              </w:rPr>
              <w:t>Q3</w:t>
            </w:r>
          </w:p>
        </w:tc>
        <w:tc>
          <w:tcPr>
            <w:tcW w:w="700" w:type="dxa"/>
          </w:tcPr>
          <w:p>
            <w:pPr>
              <w:pStyle w:val="TableParagraph"/>
              <w:spacing w:line="148" w:lineRule="exact"/>
              <w:ind w:right="272"/>
              <w:jc w:val="right"/>
              <w:rPr>
                <w:sz w:val="14"/>
              </w:rPr>
            </w:pPr>
            <w:r>
              <w:rPr>
                <w:color w:val="231F20"/>
                <w:sz w:val="14"/>
              </w:rPr>
              <w:t>n/a</w:t>
            </w:r>
          </w:p>
        </w:tc>
        <w:tc>
          <w:tcPr>
            <w:tcW w:w="725" w:type="dxa"/>
          </w:tcPr>
          <w:p>
            <w:pPr>
              <w:pStyle w:val="TableParagraph"/>
              <w:spacing w:line="148" w:lineRule="exact"/>
              <w:ind w:right="277"/>
              <w:jc w:val="right"/>
              <w:rPr>
                <w:sz w:val="14"/>
              </w:rPr>
            </w:pPr>
            <w:r>
              <w:rPr>
                <w:color w:val="231F20"/>
                <w:sz w:val="14"/>
              </w:rPr>
              <w:t>n/a</w:t>
            </w:r>
          </w:p>
        </w:tc>
        <w:tc>
          <w:tcPr>
            <w:tcW w:w="710" w:type="dxa"/>
          </w:tcPr>
          <w:p>
            <w:pPr>
              <w:pStyle w:val="TableParagraph"/>
              <w:spacing w:line="148" w:lineRule="exact"/>
              <w:ind w:right="257"/>
              <w:jc w:val="right"/>
              <w:rPr>
                <w:sz w:val="14"/>
              </w:rPr>
            </w:pPr>
            <w:r>
              <w:rPr>
                <w:color w:val="231F20"/>
                <w:sz w:val="14"/>
              </w:rPr>
              <w:t>n/a</w:t>
            </w:r>
          </w:p>
        </w:tc>
        <w:tc>
          <w:tcPr>
            <w:tcW w:w="531" w:type="dxa"/>
          </w:tcPr>
          <w:p>
            <w:pPr>
              <w:pStyle w:val="TableParagraph"/>
              <w:spacing w:line="148" w:lineRule="exact"/>
              <w:ind w:right="50"/>
              <w:jc w:val="right"/>
              <w:rPr>
                <w:sz w:val="14"/>
              </w:rPr>
            </w:pPr>
            <w:r>
              <w:rPr>
                <w:color w:val="231F20"/>
                <w:sz w:val="14"/>
              </w:rPr>
              <w:t>-5.5</w:t>
            </w:r>
          </w:p>
        </w:tc>
      </w:tr>
      <w:tr>
        <w:trPr>
          <w:trHeight w:val="184" w:hRule="atLeast"/>
        </w:trPr>
        <w:tc>
          <w:tcPr>
            <w:tcW w:w="1285" w:type="dxa"/>
          </w:tcPr>
          <w:p>
            <w:pPr>
              <w:pStyle w:val="TableParagraph"/>
              <w:spacing w:line="118" w:lineRule="exact" w:before="46"/>
              <w:ind w:left="31" w:right="233"/>
              <w:jc w:val="center"/>
              <w:rPr>
                <w:sz w:val="12"/>
              </w:rPr>
            </w:pPr>
            <w:r>
              <w:rPr>
                <w:color w:val="231F20"/>
                <w:sz w:val="12"/>
              </w:rPr>
              <w:t>n/a = not applicable.</w:t>
            </w:r>
          </w:p>
        </w:tc>
        <w:tc>
          <w:tcPr>
            <w:tcW w:w="700" w:type="dxa"/>
          </w:tcPr>
          <w:p>
            <w:pPr>
              <w:pStyle w:val="TableParagraph"/>
              <w:rPr>
                <w:sz w:val="12"/>
              </w:rPr>
            </w:pPr>
          </w:p>
        </w:tc>
        <w:tc>
          <w:tcPr>
            <w:tcW w:w="725" w:type="dxa"/>
          </w:tcPr>
          <w:p>
            <w:pPr>
              <w:pStyle w:val="TableParagraph"/>
              <w:rPr>
                <w:sz w:val="12"/>
              </w:rPr>
            </w:pPr>
          </w:p>
        </w:tc>
        <w:tc>
          <w:tcPr>
            <w:tcW w:w="710" w:type="dxa"/>
          </w:tcPr>
          <w:p>
            <w:pPr>
              <w:pStyle w:val="TableParagraph"/>
              <w:rPr>
                <w:sz w:val="12"/>
              </w:rPr>
            </w:pPr>
          </w:p>
        </w:tc>
        <w:tc>
          <w:tcPr>
            <w:tcW w:w="531" w:type="dxa"/>
          </w:tcPr>
          <w:p>
            <w:pPr>
              <w:pStyle w:val="TableParagraph"/>
              <w:rPr>
                <w:sz w:val="12"/>
              </w:rPr>
            </w:pPr>
          </w:p>
        </w:tc>
      </w:tr>
    </w:tbl>
    <w:p>
      <w:pPr>
        <w:spacing w:before="102"/>
        <w:ind w:left="159" w:right="0" w:firstLine="0"/>
        <w:jc w:val="left"/>
        <w:rPr>
          <w:sz w:val="12"/>
        </w:rPr>
      </w:pPr>
      <w:r>
        <w:rPr>
          <w:color w:val="231F20"/>
          <w:sz w:val="12"/>
        </w:rPr>
        <w:t>Source:  Bank of England.</w:t>
      </w:r>
    </w:p>
    <w:p>
      <w:pPr>
        <w:pStyle w:val="BodyText"/>
        <w:spacing w:before="1"/>
        <w:rPr>
          <w:sz w:val="10"/>
        </w:rPr>
      </w:pPr>
    </w:p>
    <w:p>
      <w:pPr>
        <w:pStyle w:val="ListParagraph"/>
        <w:numPr>
          <w:ilvl w:val="1"/>
          <w:numId w:val="7"/>
        </w:numPr>
        <w:tabs>
          <w:tab w:pos="400" w:val="left" w:leader="none"/>
        </w:tabs>
        <w:spacing w:line="208" w:lineRule="auto" w:before="0" w:after="0"/>
        <w:ind w:left="399" w:right="38" w:hanging="240"/>
        <w:jc w:val="left"/>
        <w:rPr>
          <w:sz w:val="12"/>
        </w:rPr>
      </w:pPr>
      <w:r>
        <w:rPr>
          <w:color w:val="231F20"/>
          <w:sz w:val="12"/>
        </w:rPr>
        <w:t>Net non-deposit liabilities, minus the public sector contribution and total </w:t>
      </w:r>
      <w:r>
        <w:rPr>
          <w:color w:val="231F20"/>
          <w:spacing w:val="-3"/>
          <w:sz w:val="12"/>
        </w:rPr>
        <w:t>external </w:t>
      </w:r>
      <w:r>
        <w:rPr>
          <w:color w:val="231F20"/>
          <w:sz w:val="12"/>
        </w:rPr>
        <w:t>counterparts.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9"/>
        </w:rPr>
      </w:pPr>
    </w:p>
    <w:p>
      <w:pPr>
        <w:pStyle w:val="Heading9"/>
        <w:spacing w:before="0"/>
        <w:ind w:left="190"/>
      </w:pPr>
      <w:r>
        <w:rPr>
          <w:color w:val="0093C1"/>
        </w:rPr>
        <w:t>Chart 2.7</w:t>
      </w:r>
    </w:p>
    <w:p>
      <w:pPr>
        <w:spacing w:line="249" w:lineRule="auto" w:before="10"/>
        <w:ind w:left="190" w:right="621" w:firstLine="0"/>
        <w:jc w:val="left"/>
        <w:rPr>
          <w:b/>
          <w:sz w:val="20"/>
        </w:rPr>
      </w:pPr>
      <w:r>
        <w:rPr>
          <w:b/>
          <w:color w:val="0093C1"/>
          <w:sz w:val="20"/>
        </w:rPr>
        <w:t>Secured and unsecured borrowing, and mortgage equity withdrawal, as shares of disposable income</w:t>
      </w:r>
    </w:p>
    <w:p>
      <w:pPr>
        <w:spacing w:before="73"/>
        <w:ind w:left="3190" w:right="0" w:firstLine="0"/>
        <w:jc w:val="left"/>
        <w:rPr>
          <w:sz w:val="12"/>
        </w:rPr>
      </w:pPr>
      <w:r>
        <w:rPr/>
        <w:pict>
          <v:line style="position:absolute;mso-position-horizontal-relative:page;mso-position-vertical-relative:paragraph;z-index:15770112" from="49.529999pt,11.751564pt" to="44.529999pt,11.751564pt" stroked="true" strokeweight=".5pt" strokecolor="#000000">
            <v:stroke dashstyle="solid"/>
            <w10:wrap type="none"/>
          </v:line>
        </w:pict>
      </w:r>
      <w:r>
        <w:rPr/>
        <w:pict>
          <v:line style="position:absolute;mso-position-horizontal-relative:page;mso-position-vertical-relative:paragraph;z-index:-20965376" from="210.529999pt,11.751564pt" to="205.529999pt,11.751564pt" stroked="true" strokeweight=".5pt" strokecolor="#000000">
            <v:stroke dashstyle="solid"/>
            <w10:wrap type="none"/>
          </v:line>
        </w:pict>
      </w:r>
      <w:r>
        <w:rPr>
          <w:sz w:val="12"/>
        </w:rPr>
        <w:t>Per cent</w:t>
      </w:r>
      <w:r>
        <w:rPr>
          <w:spacing w:val="-10"/>
          <w:sz w:val="12"/>
        </w:rPr>
        <w:t> </w:t>
      </w:r>
      <w:r>
        <w:rPr>
          <w:position w:val="-8"/>
          <w:sz w:val="12"/>
        </w:rPr>
        <w:t>14</w:t>
      </w:r>
    </w:p>
    <w:p>
      <w:pPr>
        <w:pStyle w:val="BodyText"/>
        <w:spacing w:before="7"/>
        <w:rPr>
          <w:sz w:val="20"/>
        </w:rPr>
      </w:pPr>
    </w:p>
    <w:p>
      <w:pPr>
        <w:spacing w:before="0"/>
        <w:ind w:left="0" w:right="619" w:firstLine="0"/>
        <w:jc w:val="right"/>
        <w:rPr>
          <w:sz w:val="12"/>
        </w:rPr>
      </w:pPr>
      <w:r>
        <w:rPr/>
        <w:pict>
          <v:group style="position:absolute;margin-left:44.529999pt;margin-top:.351564pt;width:166pt;height:134.75pt;mso-position-horizontal-relative:page;mso-position-vertical-relative:paragraph;z-index:-20968448" coordorigin="891,7" coordsize="3320,2695">
            <v:shape style="position:absolute;left:890;top:77;width:3320;height:2260" coordorigin="891,77" coordsize="3320,2260" path="m1051,2337l4071,2337m991,2337l891,2337m4211,2337l4111,2337m991,1957l891,1957m991,1197l891,1197m991,817l891,817m991,457l891,457m991,77l891,77e" filled="false" stroked="true" strokeweight=".5pt" strokecolor="#000000">
              <v:path arrowok="t"/>
              <v:stroke dashstyle="solid"/>
            </v:shape>
            <v:shape style="position:absolute;left:1050;top:17;width:2800;height:1820" coordorigin="1051,17" coordsize="2800,1820" path="m1051,797l1271,577,1351,357,1431,177,1491,17,1571,577,1651,637,1711,777,1791,597,1871,477,2011,617,2091,777,2151,757,2311,1077,2371,1177,2451,1297m2451,1297l2531,1357,2591,1497,2671,1517,2751,1777,2811,1777,2891,1657,2971,1617,3031,1537,3111,1537,3191,1577,3271,1557,3331,1597,3411,1657,3471,1777,3551,1797,3631,1837,3691,1737,3771,1697,3851,1677e" filled="false" stroked="true" strokeweight="1pt" strokecolor="#a790c4">
              <v:path arrowok="t"/>
              <v:stroke dashstyle="solid"/>
            </v:shape>
            <v:line style="position:absolute" from="4211,1577" to="4111,1577" stroked="true" strokeweight=".5pt" strokecolor="#000000">
              <v:stroke dashstyle="solid"/>
            </v:line>
            <v:shape style="position:absolute;left:3850;top:1517;width:220;height:180" coordorigin="3851,1517" coordsize="220,180" path="m3851,1697l3931,1557,3991,1537,4071,1517e" filled="false" stroked="true" strokeweight="1pt" strokecolor="#a790c4">
              <v:path arrowok="t"/>
              <v:stroke dashstyle="solid"/>
            </v:shape>
            <v:shape style="position:absolute;left:1050;top:1837;width:2800;height:500" coordorigin="1051,1837" coordsize="2800,500" path="m1051,1957l1131,1897,1211,1957,1271,1837,1351,1877,1431,1937,1491,1877,1571,1997,1651,1917,1711,1917,1791,1997,1871,2057,1931,2057,2091,2137,2151,2117,2231,2197,2311,2177,2371,2257,2451,2257m2451,2257l2531,2297,2591,2337,2671,2317,2751,2317,2811,2277,2971,2197,3031,2177,3111,2197,3191,2097,3271,2117,3331,2057,3411,2037,3471,2077,3551,2037,3631,1977,3691,2017,3771,1977,3851,1857e" filled="false" stroked="true" strokeweight="1pt" strokecolor="#faab54">
              <v:path arrowok="t"/>
              <v:stroke dashstyle="solid"/>
            </v:shape>
            <v:line style="position:absolute" from="4211,1957" to="4111,1957" stroked="true" strokeweight=".5pt" strokecolor="#000000">
              <v:stroke dashstyle="solid"/>
            </v:line>
            <v:shape style="position:absolute;left:3850;top:1857;width:220;height:80" coordorigin="3851,1857" coordsize="220,80" path="m3851,1857l3931,1917,3991,1937,4071,1897e" filled="false" stroked="true" strokeweight="1pt" strokecolor="#faab54">
              <v:path arrowok="t"/>
              <v:stroke dashstyle="solid"/>
            </v:shape>
            <v:line style="position:absolute" from="991,1577" to="891,1577" stroked="true" strokeweight=".5pt" strokecolor="#000000">
              <v:stroke dashstyle="solid"/>
            </v:line>
            <v:shape style="position:absolute;left:1050;top:1037;width:1400;height:1040" coordorigin="1051,1037" coordsize="1400,1040" path="m1051,1377l1131,1397,1211,1597,1271,1257,1351,1237,1431,1297,1491,1037,1571,1737,1651,2037,1711,1897,1791,1917,1871,1717,1931,1637,2011,1717,2091,1897,2151,1817,2311,1937,2371,2017,2451,2077e" filled="false" stroked="true" strokeweight="1pt" strokecolor="#008256">
              <v:path arrowok="t"/>
              <v:stroke dashstyle="solid"/>
            </v:shape>
            <v:shape style="position:absolute;left:890;top:2617;width:3320;height:80" coordorigin="891,2617" coordsize="3320,80" path="m991,2697l891,2697m4211,2697l4111,2697m1051,2697l4071,2697m1051,2697l1051,2657m1131,2697l1131,2657m1211,2697l1211,2657m1271,2697l1271,2657m1351,2697l1351,2657m1431,2697l1431,2657m1491,2697l1491,2657m1571,2697l1571,2657m1651,2697l1651,2657m1711,2697l1711,2657m1791,2697l1791,2657m1871,2697l1871,2657m1931,2697l1931,2657m2011,2697l2011,2657m2091,2697l2091,2657m2151,2697l2151,2657m2231,2697l2231,2657m2311,2697l2311,2657m2371,2697l2371,2657m2451,2697l2451,2657m2531,2697l2531,2657m2591,2697l2591,2657m2671,2697l2671,2657m2751,2697l2751,2657m2811,2697l2811,2657m2891,2697l2891,2657m2971,2697l2971,2657m3031,2697l3031,2657m3111,2697l3111,2657m3191,2697l3191,2657m3251,2697l3251,2657m3331,2697l3331,2657m3411,2697l3411,2657m3471,2697l3471,2657m3551,2697l3551,2657m3631,2697l3631,2657m3691,2697l3691,2657m3771,2697l3771,2657m3851,2697l3851,2657m3911,2697l3911,2657m3991,2697l3991,2657m4071,2697l4071,2657m1051,2697l1051,2617m1351,2697l1351,2617m1651,2697l1651,2617m1931,2697l1931,2617m2231,2697l2231,2617m2531,2697l2531,2617m2811,2697l2811,2617m3111,2697l3111,2617m3411,2697l3411,2617m3691,2697l3691,2617m3991,2697l3991,2617e" filled="false" stroked="true" strokeweight=".5pt" strokecolor="#000000">
              <v:path arrowok="t"/>
              <v:stroke dashstyle="solid"/>
            </v:shape>
            <v:shape style="position:absolute;left:2450;top:2077;width:1620;height:480" coordorigin="2451,2077" coordsize="1620,480" path="m2451,2077l2531,2177,2591,2217,2671,2257,2751,2477,2811,2357,2971,2437,3031,2357,3111,2377,3191,2337,3271,2377,3331,2377,3411,2517,3471,2557,3551,2537,3631,2557,3691,2497,3771,2437,3851,2437m3851,2437l3931,2397,3991,2337,4071,2377e" filled="false" stroked="true" strokeweight="1pt" strokecolor="#008256">
              <v:path arrowok="t"/>
              <v:stroke dashstyle="solid"/>
            </v:shape>
            <v:shape style="position:absolute;left:1560;top:80;width:407;height:133" type="#_x0000_t202" filled="false" stroked="false">
              <v:textbox inset="0,0,0,0">
                <w:txbxContent>
                  <w:p>
                    <w:pPr>
                      <w:spacing w:line="133" w:lineRule="exact" w:before="0"/>
                      <w:ind w:left="0" w:right="0" w:firstLine="0"/>
                      <w:jc w:val="left"/>
                      <w:rPr>
                        <w:sz w:val="12"/>
                      </w:rPr>
                    </w:pPr>
                    <w:r>
                      <w:rPr>
                        <w:sz w:val="12"/>
                      </w:rPr>
                      <w:t>Secured</w:t>
                    </w:r>
                  </w:p>
                </w:txbxContent>
              </v:textbox>
              <w10:wrap type="none"/>
            </v:shape>
            <v:shape style="position:absolute;left:1560;top:1340;width:817;height:253" type="#_x0000_t202" filled="false" stroked="false">
              <v:textbox inset="0,0,0,0">
                <w:txbxContent>
                  <w:p>
                    <w:pPr>
                      <w:spacing w:line="208" w:lineRule="auto" w:before="9"/>
                      <w:ind w:left="60" w:right="0" w:hanging="60"/>
                      <w:jc w:val="left"/>
                      <w:rPr>
                        <w:sz w:val="12"/>
                      </w:rPr>
                    </w:pPr>
                    <w:r>
                      <w:rPr>
                        <w:sz w:val="12"/>
                      </w:rPr>
                      <w:t>Mortgage equity withdrawal</w:t>
                    </w:r>
                  </w:p>
                </w:txbxContent>
              </v:textbox>
              <w10:wrap type="none"/>
            </v:shape>
            <v:shape style="position:absolute;left:1560;top:2140;width:534;height:133" type="#_x0000_t202" filled="false" stroked="false">
              <v:textbox inset="0,0,0,0">
                <w:txbxContent>
                  <w:p>
                    <w:pPr>
                      <w:spacing w:line="133" w:lineRule="exact" w:before="0"/>
                      <w:ind w:left="0" w:right="0" w:firstLine="0"/>
                      <w:jc w:val="left"/>
                      <w:rPr>
                        <w:sz w:val="12"/>
                      </w:rPr>
                    </w:pPr>
                    <w:r>
                      <w:rPr>
                        <w:sz w:val="12"/>
                      </w:rPr>
                      <w:t>Unsecured</w:t>
                    </w:r>
                  </w:p>
                </w:txbxContent>
              </v:textbox>
              <w10:wrap type="none"/>
            </v:shape>
            <w10:wrap type="none"/>
          </v:group>
        </w:pict>
      </w:r>
      <w:r>
        <w:rPr/>
        <w:pict>
          <v:line style="position:absolute;mso-position-horizontal-relative:page;mso-position-vertical-relative:paragraph;z-index:15772160" from="210.529999pt,3.851564pt" to="205.529999pt,3.851564pt" stroked="true" strokeweight=".5pt" strokecolor="#000000">
            <v:stroke dashstyle="solid"/>
            <w10:wrap type="none"/>
          </v:line>
        </w:pict>
      </w:r>
      <w:r>
        <w:rPr>
          <w:sz w:val="12"/>
        </w:rPr>
        <w:t>12</w:t>
      </w:r>
    </w:p>
    <w:p>
      <w:pPr>
        <w:pStyle w:val="BodyText"/>
        <w:rPr>
          <w:sz w:val="12"/>
        </w:rPr>
      </w:pPr>
    </w:p>
    <w:p>
      <w:pPr>
        <w:spacing w:before="104"/>
        <w:ind w:left="0" w:right="619" w:firstLine="0"/>
        <w:jc w:val="right"/>
        <w:rPr>
          <w:sz w:val="12"/>
        </w:rPr>
      </w:pPr>
      <w:r>
        <w:rPr/>
        <w:pict>
          <v:line style="position:absolute;mso-position-horizontal-relative:page;mso-position-vertical-relative:paragraph;z-index:15771648" from="210.529999pt,9.051563pt" to="205.529999pt,9.051563pt" stroked="true" strokeweight=".5pt" strokecolor="#000000">
            <v:stroke dashstyle="solid"/>
            <w10:wrap type="none"/>
          </v:line>
        </w:pict>
      </w:r>
      <w:r>
        <w:rPr>
          <w:sz w:val="12"/>
        </w:rPr>
        <w:t>10</w:t>
      </w:r>
    </w:p>
    <w:p>
      <w:pPr>
        <w:pStyle w:val="BodyText"/>
        <w:rPr>
          <w:sz w:val="12"/>
        </w:rPr>
      </w:pPr>
    </w:p>
    <w:p>
      <w:pPr>
        <w:spacing w:before="84"/>
        <w:ind w:left="0" w:right="619" w:firstLine="0"/>
        <w:jc w:val="right"/>
        <w:rPr>
          <w:sz w:val="12"/>
        </w:rPr>
      </w:pPr>
      <w:r>
        <w:rPr/>
        <w:pict>
          <v:line style="position:absolute;mso-position-horizontal-relative:page;mso-position-vertical-relative:paragraph;z-index:15771136" from="210.529999pt,8.051563pt" to="205.529999pt,8.051563pt" stroked="true" strokeweight=".5pt" strokecolor="#000000">
            <v:stroke dashstyle="solid"/>
            <w10:wrap type="none"/>
          </v:line>
        </w:pict>
      </w:r>
      <w:r>
        <w:rPr>
          <w:sz w:val="12"/>
        </w:rPr>
        <w:t>8</w:t>
      </w:r>
    </w:p>
    <w:p>
      <w:pPr>
        <w:pStyle w:val="BodyText"/>
        <w:rPr>
          <w:sz w:val="12"/>
        </w:rPr>
      </w:pPr>
    </w:p>
    <w:p>
      <w:pPr>
        <w:spacing w:before="104"/>
        <w:ind w:left="0" w:right="619" w:firstLine="0"/>
        <w:jc w:val="right"/>
        <w:rPr>
          <w:sz w:val="12"/>
        </w:rPr>
      </w:pPr>
      <w:r>
        <w:rPr/>
        <w:pict>
          <v:line style="position:absolute;mso-position-horizontal-relative:page;mso-position-vertical-relative:paragraph;z-index:15770624" from="210.529999pt,9.051563pt" to="205.529999pt,9.051563pt" stroked="true" strokeweight=".5pt" strokecolor="#000000">
            <v:stroke dashstyle="solid"/>
            <w10:wrap type="none"/>
          </v:line>
        </w:pict>
      </w:r>
      <w:r>
        <w:rPr>
          <w:sz w:val="12"/>
        </w:rPr>
        <w:t>6</w:t>
      </w:r>
    </w:p>
    <w:p>
      <w:pPr>
        <w:pStyle w:val="BodyText"/>
        <w:rPr>
          <w:sz w:val="12"/>
        </w:rPr>
      </w:pPr>
    </w:p>
    <w:p>
      <w:pPr>
        <w:pStyle w:val="BodyText"/>
        <w:spacing w:before="9"/>
        <w:rPr>
          <w:sz w:val="10"/>
        </w:rPr>
      </w:pPr>
    </w:p>
    <w:p>
      <w:pPr>
        <w:spacing w:before="1"/>
        <w:ind w:left="0" w:right="619" w:firstLine="0"/>
        <w:jc w:val="right"/>
        <w:rPr>
          <w:sz w:val="12"/>
        </w:rPr>
      </w:pPr>
      <w:r>
        <w:rPr>
          <w:sz w:val="12"/>
        </w:rPr>
        <w:t>4</w:t>
      </w:r>
    </w:p>
    <w:p>
      <w:pPr>
        <w:pStyle w:val="BodyText"/>
        <w:rPr>
          <w:sz w:val="12"/>
        </w:rPr>
      </w:pPr>
    </w:p>
    <w:p>
      <w:pPr>
        <w:spacing w:before="84"/>
        <w:ind w:left="0" w:right="619" w:firstLine="0"/>
        <w:jc w:val="right"/>
        <w:rPr>
          <w:sz w:val="12"/>
        </w:rPr>
      </w:pPr>
      <w:r>
        <w:rPr>
          <w:sz w:val="12"/>
        </w:rPr>
        <w:t>2</w:t>
      </w:r>
    </w:p>
    <w:p>
      <w:pPr>
        <w:spacing w:before="39"/>
        <w:ind w:left="3558" w:right="0" w:firstLine="0"/>
        <w:jc w:val="left"/>
        <w:rPr>
          <w:sz w:val="16"/>
        </w:rPr>
      </w:pPr>
      <w:r>
        <w:rPr>
          <w:sz w:val="16"/>
        </w:rPr>
        <w:t>+</w:t>
      </w:r>
    </w:p>
    <w:p>
      <w:pPr>
        <w:spacing w:line="108" w:lineRule="exact" w:before="19"/>
        <w:ind w:left="3660" w:right="0" w:firstLine="0"/>
        <w:jc w:val="left"/>
        <w:rPr>
          <w:sz w:val="12"/>
        </w:rPr>
      </w:pPr>
      <w:r>
        <w:rPr>
          <w:sz w:val="12"/>
        </w:rPr>
        <w:t>0</w:t>
      </w:r>
    </w:p>
    <w:p>
      <w:pPr>
        <w:spacing w:line="154" w:lineRule="exact" w:before="0"/>
        <w:ind w:left="3563" w:right="0" w:firstLine="0"/>
        <w:jc w:val="left"/>
        <w:rPr>
          <w:sz w:val="16"/>
        </w:rPr>
      </w:pPr>
      <w:r>
        <w:rPr>
          <w:sz w:val="16"/>
        </w:rPr>
        <w:t>_</w:t>
      </w:r>
    </w:p>
    <w:p>
      <w:pPr>
        <w:spacing w:before="118"/>
        <w:ind w:left="440" w:right="0" w:firstLine="0"/>
        <w:jc w:val="left"/>
        <w:rPr>
          <w:sz w:val="12"/>
        </w:rPr>
      </w:pPr>
      <w:r>
        <w:rPr>
          <w:sz w:val="12"/>
        </w:rPr>
        <w:t>1987  </w:t>
      </w:r>
      <w:r>
        <w:rPr>
          <w:spacing w:val="9"/>
          <w:sz w:val="12"/>
        </w:rPr>
        <w:t> </w:t>
      </w:r>
      <w:r>
        <w:rPr>
          <w:sz w:val="12"/>
        </w:rPr>
        <w:t>88      89    </w:t>
      </w:r>
      <w:r>
        <w:rPr>
          <w:spacing w:val="9"/>
          <w:sz w:val="12"/>
        </w:rPr>
        <w:t> </w:t>
      </w:r>
      <w:r>
        <w:rPr>
          <w:sz w:val="12"/>
        </w:rPr>
        <w:t>90      91      92    </w:t>
      </w:r>
      <w:r>
        <w:rPr>
          <w:spacing w:val="9"/>
          <w:sz w:val="12"/>
        </w:rPr>
        <w:t> </w:t>
      </w:r>
      <w:r>
        <w:rPr>
          <w:sz w:val="12"/>
        </w:rPr>
        <w:t>93      94      95      96  </w:t>
      </w:r>
      <w:r>
        <w:rPr>
          <w:spacing w:val="9"/>
          <w:sz w:val="12"/>
        </w:rPr>
        <w:t> </w:t>
      </w:r>
      <w:r>
        <w:rPr>
          <w:sz w:val="12"/>
        </w:rPr>
        <w:t>97      </w:t>
      </w:r>
      <w:r>
        <w:rPr>
          <w:position w:val="8"/>
          <w:sz w:val="12"/>
        </w:rPr>
        <w:t>2</w:t>
      </w:r>
    </w:p>
    <w:p>
      <w:pPr>
        <w:spacing w:before="86"/>
        <w:ind w:left="201" w:right="0" w:firstLine="0"/>
        <w:jc w:val="left"/>
        <w:rPr>
          <w:sz w:val="12"/>
        </w:rPr>
      </w:pPr>
      <w:r>
        <w:rPr>
          <w:color w:val="231F20"/>
          <w:sz w:val="12"/>
        </w:rPr>
        <w:t>Sources: ONS and Bank of England.</w:t>
      </w:r>
    </w:p>
    <w:p>
      <w:pPr>
        <w:pStyle w:val="BodyText"/>
        <w:rPr>
          <w:sz w:val="26"/>
        </w:rPr>
      </w:pPr>
      <w:r>
        <w:rPr/>
        <w:br w:type="column"/>
      </w:r>
      <w:r>
        <w:rPr>
          <w:sz w:val="26"/>
        </w:rPr>
      </w:r>
    </w:p>
    <w:p>
      <w:pPr>
        <w:pStyle w:val="BodyText"/>
        <w:spacing w:before="10"/>
        <w:rPr>
          <w:sz w:val="22"/>
        </w:rPr>
      </w:pPr>
    </w:p>
    <w:p>
      <w:pPr>
        <w:pStyle w:val="Heading5"/>
        <w:spacing w:line="242" w:lineRule="auto"/>
        <w:ind w:left="159" w:right="97" w:firstLine="1"/>
      </w:pPr>
      <w:r>
        <w:rPr>
          <w:color w:val="231F20"/>
        </w:rPr>
        <w:t>sector, but life assurance and pension funds (L</w:t>
      </w:r>
      <w:r>
        <w:rPr>
          <w:color w:val="231F20"/>
          <w:sz w:val="20"/>
        </w:rPr>
        <w:t>APF</w:t>
      </w:r>
      <w:r>
        <w:rPr>
          <w:color w:val="231F20"/>
        </w:rPr>
        <w:t>s) and insurance companies have generally been depositing funds. This is because the activities of L</w:t>
      </w:r>
      <w:r>
        <w:rPr>
          <w:color w:val="231F20"/>
          <w:sz w:val="20"/>
        </w:rPr>
        <w:t>APF</w:t>
      </w:r>
      <w:r>
        <w:rPr>
          <w:color w:val="231F20"/>
        </w:rPr>
        <w:t>s and insurance companies are more closely linked to equity markets, and equity prices have risen rapidly in recent years.</w:t>
      </w:r>
    </w:p>
    <w:p>
      <w:pPr>
        <w:pStyle w:val="BodyText"/>
        <w:spacing w:before="11"/>
        <w:rPr>
          <w:sz w:val="24"/>
        </w:rPr>
      </w:pPr>
    </w:p>
    <w:p>
      <w:pPr>
        <w:pStyle w:val="Heading6"/>
        <w:rPr>
          <w:i/>
        </w:rPr>
      </w:pPr>
      <w:r>
        <w:rPr/>
        <w:pict>
          <v:shape style="position:absolute;margin-left:37.459999pt;margin-top:-125.446251pt;width:491.95pt;height:28.5pt;mso-position-horizontal-relative:page;mso-position-vertical-relative:paragraph;z-index:157731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895"/>
                    <w:gridCol w:w="725"/>
                    <w:gridCol w:w="710"/>
                    <w:gridCol w:w="957"/>
                    <w:gridCol w:w="5463"/>
                  </w:tblGrid>
                  <w:tr>
                    <w:trPr>
                      <w:trHeight w:val="284" w:hRule="atLeast"/>
                    </w:trPr>
                    <w:tc>
                      <w:tcPr>
                        <w:tcW w:w="1090" w:type="dxa"/>
                      </w:tcPr>
                      <w:p>
                        <w:pPr>
                          <w:pStyle w:val="TableParagraph"/>
                          <w:spacing w:line="139" w:lineRule="exact"/>
                          <w:ind w:left="49"/>
                          <w:rPr>
                            <w:sz w:val="14"/>
                          </w:rPr>
                        </w:pPr>
                        <w:r>
                          <w:rPr>
                            <w:color w:val="231F20"/>
                            <w:sz w:val="14"/>
                          </w:rPr>
                          <w:t>1995</w:t>
                        </w:r>
                      </w:p>
                      <w:p>
                        <w:pPr>
                          <w:pStyle w:val="TableParagraph"/>
                          <w:spacing w:line="126" w:lineRule="exact"/>
                          <w:ind w:left="50"/>
                          <w:rPr>
                            <w:sz w:val="14"/>
                          </w:rPr>
                        </w:pPr>
                        <w:r>
                          <w:rPr>
                            <w:color w:val="231F20"/>
                            <w:sz w:val="14"/>
                          </w:rPr>
                          <w:t>1996</w:t>
                        </w:r>
                      </w:p>
                    </w:tc>
                    <w:tc>
                      <w:tcPr>
                        <w:tcW w:w="895" w:type="dxa"/>
                      </w:tcPr>
                      <w:p>
                        <w:pPr>
                          <w:pStyle w:val="TableParagraph"/>
                          <w:spacing w:line="140" w:lineRule="exact" w:before="7"/>
                          <w:ind w:left="449" w:right="254"/>
                          <w:rPr>
                            <w:sz w:val="14"/>
                          </w:rPr>
                        </w:pPr>
                        <w:r>
                          <w:rPr>
                            <w:color w:val="231F20"/>
                            <w:sz w:val="14"/>
                          </w:rPr>
                          <w:t>n/a n/a</w:t>
                        </w:r>
                      </w:p>
                    </w:tc>
                    <w:tc>
                      <w:tcPr>
                        <w:tcW w:w="725" w:type="dxa"/>
                      </w:tcPr>
                      <w:p>
                        <w:pPr>
                          <w:pStyle w:val="TableParagraph"/>
                          <w:spacing w:line="140" w:lineRule="exact" w:before="7"/>
                          <w:ind w:left="255" w:right="258"/>
                          <w:jc w:val="center"/>
                          <w:rPr>
                            <w:sz w:val="14"/>
                          </w:rPr>
                        </w:pPr>
                        <w:r>
                          <w:rPr>
                            <w:color w:val="231F20"/>
                            <w:sz w:val="14"/>
                          </w:rPr>
                          <w:t>n/a n/a</w:t>
                        </w:r>
                      </w:p>
                    </w:tc>
                    <w:tc>
                      <w:tcPr>
                        <w:tcW w:w="710" w:type="dxa"/>
                      </w:tcPr>
                      <w:p>
                        <w:pPr>
                          <w:pStyle w:val="TableParagraph"/>
                          <w:spacing w:line="140" w:lineRule="exact" w:before="7"/>
                          <w:ind w:left="258" w:right="236"/>
                          <w:jc w:val="center"/>
                          <w:rPr>
                            <w:sz w:val="14"/>
                          </w:rPr>
                        </w:pPr>
                        <w:r>
                          <w:rPr>
                            <w:color w:val="231F20"/>
                            <w:sz w:val="14"/>
                          </w:rPr>
                          <w:t>n/a n/a</w:t>
                        </w:r>
                      </w:p>
                    </w:tc>
                    <w:tc>
                      <w:tcPr>
                        <w:tcW w:w="957" w:type="dxa"/>
                      </w:tcPr>
                      <w:p>
                        <w:pPr>
                          <w:pStyle w:val="TableParagraph"/>
                          <w:spacing w:line="139" w:lineRule="exact"/>
                          <w:ind w:left="305"/>
                          <w:rPr>
                            <w:sz w:val="14"/>
                          </w:rPr>
                        </w:pPr>
                        <w:r>
                          <w:rPr>
                            <w:color w:val="231F20"/>
                            <w:sz w:val="14"/>
                          </w:rPr>
                          <w:t>1.3</w:t>
                        </w:r>
                      </w:p>
                      <w:p>
                        <w:pPr>
                          <w:pStyle w:val="TableParagraph"/>
                          <w:spacing w:line="126" w:lineRule="exact"/>
                          <w:ind w:left="305"/>
                          <w:rPr>
                            <w:sz w:val="14"/>
                          </w:rPr>
                        </w:pPr>
                        <w:r>
                          <w:rPr>
                            <w:color w:val="231F20"/>
                            <w:sz w:val="14"/>
                          </w:rPr>
                          <w:t>2.7</w:t>
                        </w:r>
                      </w:p>
                    </w:tc>
                    <w:tc>
                      <w:tcPr>
                        <w:tcW w:w="5463" w:type="dxa"/>
                      </w:tcPr>
                      <w:p>
                        <w:pPr>
                          <w:pStyle w:val="TableParagraph"/>
                          <w:spacing w:line="265" w:lineRule="exact"/>
                          <w:ind w:left="474"/>
                          <w:rPr>
                            <w:sz w:val="24"/>
                          </w:rPr>
                        </w:pPr>
                        <w:r>
                          <w:rPr>
                            <w:color w:val="231F20"/>
                            <w:sz w:val="24"/>
                          </w:rPr>
                          <w:t>depositors or borrowers. For example, leasing</w:t>
                        </w:r>
                      </w:p>
                    </w:tc>
                  </w:tr>
                  <w:tr>
                    <w:trPr>
                      <w:trHeight w:val="282" w:hRule="atLeast"/>
                    </w:trPr>
                    <w:tc>
                      <w:tcPr>
                        <w:tcW w:w="1090" w:type="dxa"/>
                      </w:tcPr>
                      <w:p>
                        <w:pPr>
                          <w:pStyle w:val="TableParagraph"/>
                          <w:spacing w:line="141" w:lineRule="exact" w:before="121"/>
                          <w:ind w:left="50"/>
                          <w:rPr>
                            <w:sz w:val="14"/>
                          </w:rPr>
                        </w:pPr>
                        <w:r>
                          <w:rPr>
                            <w:color w:val="231F20"/>
                            <w:sz w:val="14"/>
                          </w:rPr>
                          <w:t>1997 Q1</w:t>
                        </w:r>
                      </w:p>
                    </w:tc>
                    <w:tc>
                      <w:tcPr>
                        <w:tcW w:w="895" w:type="dxa"/>
                      </w:tcPr>
                      <w:p>
                        <w:pPr>
                          <w:pStyle w:val="TableParagraph"/>
                          <w:spacing w:line="141" w:lineRule="exact" w:before="121"/>
                          <w:ind w:left="449"/>
                          <w:rPr>
                            <w:sz w:val="14"/>
                          </w:rPr>
                        </w:pPr>
                        <w:r>
                          <w:rPr>
                            <w:color w:val="231F20"/>
                            <w:sz w:val="14"/>
                          </w:rPr>
                          <w:t>n/a</w:t>
                        </w:r>
                      </w:p>
                    </w:tc>
                    <w:tc>
                      <w:tcPr>
                        <w:tcW w:w="725" w:type="dxa"/>
                      </w:tcPr>
                      <w:p>
                        <w:pPr>
                          <w:pStyle w:val="TableParagraph"/>
                          <w:spacing w:line="141" w:lineRule="exact" w:before="121"/>
                          <w:ind w:left="255" w:right="258"/>
                          <w:jc w:val="center"/>
                          <w:rPr>
                            <w:sz w:val="14"/>
                          </w:rPr>
                        </w:pPr>
                        <w:r>
                          <w:rPr>
                            <w:color w:val="231F20"/>
                            <w:sz w:val="14"/>
                          </w:rPr>
                          <w:t>n/a</w:t>
                        </w:r>
                      </w:p>
                    </w:tc>
                    <w:tc>
                      <w:tcPr>
                        <w:tcW w:w="710" w:type="dxa"/>
                      </w:tcPr>
                      <w:p>
                        <w:pPr>
                          <w:pStyle w:val="TableParagraph"/>
                          <w:spacing w:line="141" w:lineRule="exact" w:before="121"/>
                          <w:ind w:left="258" w:right="239"/>
                          <w:jc w:val="center"/>
                          <w:rPr>
                            <w:sz w:val="14"/>
                          </w:rPr>
                        </w:pPr>
                        <w:r>
                          <w:rPr>
                            <w:color w:val="231F20"/>
                            <w:sz w:val="14"/>
                          </w:rPr>
                          <w:t>n/a</w:t>
                        </w:r>
                      </w:p>
                    </w:tc>
                    <w:tc>
                      <w:tcPr>
                        <w:tcW w:w="957" w:type="dxa"/>
                      </w:tcPr>
                      <w:p>
                        <w:pPr>
                          <w:pStyle w:val="TableParagraph"/>
                          <w:spacing w:line="141" w:lineRule="exact" w:before="121"/>
                          <w:ind w:left="258"/>
                          <w:rPr>
                            <w:sz w:val="14"/>
                          </w:rPr>
                        </w:pPr>
                        <w:r>
                          <w:rPr>
                            <w:color w:val="231F20"/>
                            <w:sz w:val="14"/>
                          </w:rPr>
                          <w:t>-2.4</w:t>
                        </w:r>
                      </w:p>
                    </w:tc>
                    <w:tc>
                      <w:tcPr>
                        <w:tcW w:w="5463" w:type="dxa"/>
                      </w:tcPr>
                      <w:p>
                        <w:pPr>
                          <w:pStyle w:val="TableParagraph"/>
                          <w:spacing w:line="259" w:lineRule="exact"/>
                          <w:ind w:left="474"/>
                          <w:rPr>
                            <w:sz w:val="24"/>
                          </w:rPr>
                        </w:pPr>
                        <w:r>
                          <w:rPr>
                            <w:color w:val="231F20"/>
                            <w:sz w:val="24"/>
                          </w:rPr>
                          <w:t>companies have tended to borrow from the banking</w:t>
                        </w:r>
                      </w:p>
                    </w:tc>
                  </w:tr>
                </w:tbl>
                <w:p>
                  <w:pPr>
                    <w:pStyle w:val="BodyText"/>
                  </w:pPr>
                </w:p>
              </w:txbxContent>
            </v:textbox>
            <w10:wrap type="none"/>
          </v:shape>
        </w:pict>
      </w:r>
      <w:r>
        <w:rPr>
          <w:i/>
          <w:color w:val="009483"/>
        </w:rPr>
        <w:t>Personal sector</w:t>
      </w:r>
    </w:p>
    <w:p>
      <w:pPr>
        <w:spacing w:line="242" w:lineRule="auto" w:before="124"/>
        <w:ind w:left="159" w:right="175" w:firstLine="0"/>
        <w:jc w:val="left"/>
        <w:rPr>
          <w:sz w:val="24"/>
        </w:rPr>
      </w:pPr>
      <w:r>
        <w:rPr>
          <w:color w:val="231F20"/>
          <w:sz w:val="24"/>
        </w:rPr>
        <w:t>Lending to individuals—including lending by institutions other than banks and building societies, net of loan repayments and interest charges—grew by 7.3% in the year to September, its fastest for almost five years, having grown at annual rates of around 7% since the beginning of 1997. Lending to individuals consists of lending secured on property (mortgages) and other lending (‘consumer credit’). Mortgage borrowing has risen in the past 18 months as the housing market has recovered, but remains much lower than in the second half of the 1980s (see Chart 2.7).</w:t>
      </w:r>
    </w:p>
    <w:p>
      <w:pPr>
        <w:pStyle w:val="BodyText"/>
        <w:spacing w:before="2"/>
        <w:rPr>
          <w:sz w:val="22"/>
        </w:rPr>
      </w:pPr>
    </w:p>
    <w:p>
      <w:pPr>
        <w:spacing w:line="242" w:lineRule="auto" w:before="0"/>
        <w:ind w:left="159" w:right="97" w:firstLine="0"/>
        <w:jc w:val="left"/>
        <w:rPr>
          <w:sz w:val="24"/>
        </w:rPr>
      </w:pPr>
      <w:r>
        <w:rPr>
          <w:color w:val="231F20"/>
          <w:sz w:val="24"/>
        </w:rPr>
        <w:t>Mortgage lending can also be used to finance consumption through equity withdrawal. Since 1992, however, households have made equity repayments overall. If the housing market recovery were to lead to equity withdrawal being used to finance consumption again, this could reduce consumer credit growth. But there are no signs of this happening yet: consumer credit growth has remained strong in the past few years.</w:t>
      </w:r>
    </w:p>
    <w:p>
      <w:pPr>
        <w:pStyle w:val="BodyText"/>
        <w:spacing w:before="3"/>
        <w:rPr>
          <w:sz w:val="25"/>
        </w:rPr>
      </w:pPr>
    </w:p>
    <w:p>
      <w:pPr>
        <w:spacing w:before="0"/>
        <w:ind w:left="159" w:right="0" w:firstLine="0"/>
        <w:jc w:val="left"/>
        <w:rPr>
          <w:i/>
          <w:sz w:val="24"/>
        </w:rPr>
      </w:pPr>
      <w:r>
        <w:rPr>
          <w:i/>
          <w:color w:val="009483"/>
          <w:sz w:val="24"/>
        </w:rPr>
        <w:t>Industrial and commercial companies</w:t>
      </w:r>
    </w:p>
    <w:p>
      <w:pPr>
        <w:spacing w:line="242" w:lineRule="auto" w:before="124"/>
        <w:ind w:left="159" w:right="97" w:firstLine="0"/>
        <w:jc w:val="left"/>
        <w:rPr>
          <w:sz w:val="24"/>
        </w:rPr>
      </w:pPr>
      <w:r>
        <w:rPr>
          <w:color w:val="231F20"/>
          <w:sz w:val="24"/>
        </w:rPr>
        <w:t>The growth of ICCs’ borrowing from banks and building societies slowed this year, having increased in 1995 and 1996. It rose by 4.4% in the year to 1997 Q3, excluding the effect of securitisations, compared with an average</w:t>
      </w:r>
    </w:p>
    <w:p>
      <w:pPr>
        <w:spacing w:after="0" w:line="242" w:lineRule="auto"/>
        <w:jc w:val="left"/>
        <w:rPr>
          <w:sz w:val="24"/>
        </w:rPr>
        <w:sectPr>
          <w:type w:val="continuous"/>
          <w:pgSz w:w="11880" w:h="16840"/>
          <w:pgMar w:top="1040" w:bottom="280" w:left="640" w:right="640"/>
          <w:cols w:num="2" w:equalWidth="0">
            <w:col w:w="4342" w:space="457"/>
            <w:col w:w="5801"/>
          </w:cols>
        </w:sectPr>
      </w:pPr>
    </w:p>
    <w:p>
      <w:pPr>
        <w:pStyle w:val="BodyText"/>
        <w:rPr>
          <w:sz w:val="20"/>
        </w:rPr>
      </w:pPr>
    </w:p>
    <w:p>
      <w:pPr>
        <w:spacing w:after="0"/>
        <w:rPr>
          <w:sz w:val="20"/>
        </w:rPr>
        <w:sectPr>
          <w:pgSz w:w="11880" w:h="16840"/>
          <w:pgMar w:header="566" w:footer="597" w:top="760" w:bottom="780" w:left="640" w:right="640"/>
        </w:sectPr>
      </w:pPr>
    </w:p>
    <w:p>
      <w:pPr>
        <w:pStyle w:val="BodyText"/>
        <w:spacing w:before="3"/>
        <w:rPr>
          <w:sz w:val="22"/>
        </w:rPr>
      </w:pPr>
    </w:p>
    <w:p>
      <w:pPr>
        <w:pStyle w:val="Heading9"/>
        <w:spacing w:before="0"/>
        <w:ind w:left="184"/>
      </w:pPr>
      <w:bookmarkStart w:name="Interest rates and the exchange rate" w:id="27"/>
      <w:bookmarkEnd w:id="27"/>
      <w:r>
        <w:rPr>
          <w:b w:val="0"/>
        </w:rPr>
      </w:r>
      <w:bookmarkStart w:name="Short-term interest rates" w:id="28"/>
      <w:bookmarkEnd w:id="28"/>
      <w:r>
        <w:rPr>
          <w:b w:val="0"/>
        </w:rPr>
      </w:r>
      <w:bookmarkStart w:name="Long-term interest rates" w:id="29"/>
      <w:bookmarkEnd w:id="29"/>
      <w:r>
        <w:rPr>
          <w:b w:val="0"/>
        </w:rPr>
      </w:r>
      <w:bookmarkStart w:name="_bookmark12" w:id="30"/>
      <w:bookmarkEnd w:id="30"/>
      <w:r>
        <w:rPr>
          <w:b w:val="0"/>
        </w:rPr>
      </w:r>
      <w:bookmarkStart w:name="_bookmark13" w:id="31"/>
      <w:bookmarkEnd w:id="31"/>
      <w:r>
        <w:rPr>
          <w:b w:val="0"/>
        </w:rPr>
      </w:r>
      <w:r>
        <w:rPr>
          <w:color w:val="0093C1"/>
        </w:rPr>
        <w:t>Chart 2.8</w:t>
      </w:r>
    </w:p>
    <w:p>
      <w:pPr>
        <w:spacing w:line="249" w:lineRule="auto" w:before="10"/>
        <w:ind w:left="184" w:right="20" w:firstLine="0"/>
        <w:jc w:val="left"/>
        <w:rPr>
          <w:b/>
          <w:sz w:val="20"/>
        </w:rPr>
      </w:pPr>
      <w:r>
        <w:rPr>
          <w:b/>
          <w:color w:val="0093C1"/>
          <w:sz w:val="20"/>
        </w:rPr>
        <w:t>ICCs’ bank borrowing as a share of gross profits</w:t>
      </w:r>
    </w:p>
    <w:p>
      <w:pPr>
        <w:spacing w:line="114" w:lineRule="exact" w:before="83"/>
        <w:ind w:left="3124" w:right="0" w:firstLine="0"/>
        <w:jc w:val="left"/>
        <w:rPr>
          <w:sz w:val="12"/>
        </w:rPr>
      </w:pPr>
      <w:r>
        <w:rPr>
          <w:sz w:val="12"/>
        </w:rPr>
        <w:t>Per cent</w:t>
      </w:r>
    </w:p>
    <w:p>
      <w:pPr>
        <w:spacing w:line="114" w:lineRule="exact" w:before="0"/>
        <w:ind w:left="3544" w:right="0" w:firstLine="0"/>
        <w:jc w:val="left"/>
        <w:rPr>
          <w:sz w:val="12"/>
        </w:rPr>
      </w:pPr>
      <w:r>
        <w:rPr/>
        <w:pict>
          <v:line style="position:absolute;mso-position-horizontal-relative:page;mso-position-vertical-relative:paragraph;z-index:15778816" from="47.73pt,2.901868pt" to="43.73pt,2.901868pt" stroked="true" strokeweight=".5pt" strokecolor="#000000">
            <v:stroke dashstyle="solid"/>
            <w10:wrap type="none"/>
          </v:line>
        </w:pict>
      </w:r>
      <w:r>
        <w:rPr/>
        <w:pict>
          <v:line style="position:absolute;mso-position-horizontal-relative:page;mso-position-vertical-relative:paragraph;z-index:15781376" from="207.729996pt,2.901868pt" to="202.729996pt,2.901868pt" stroked="true" strokeweight=".5pt" strokecolor="#000000">
            <v:stroke dashstyle="solid"/>
            <w10:wrap type="none"/>
          </v:line>
        </w:pict>
      </w:r>
      <w:r>
        <w:rPr>
          <w:sz w:val="12"/>
        </w:rPr>
        <w:t>800</w:t>
      </w:r>
    </w:p>
    <w:p>
      <w:pPr>
        <w:pStyle w:val="BodyText"/>
        <w:rPr>
          <w:sz w:val="12"/>
        </w:rPr>
      </w:pPr>
    </w:p>
    <w:p>
      <w:pPr>
        <w:pStyle w:val="BodyText"/>
        <w:rPr>
          <w:sz w:val="12"/>
        </w:rPr>
      </w:pPr>
    </w:p>
    <w:p>
      <w:pPr>
        <w:spacing w:before="86"/>
        <w:ind w:left="3544" w:right="0" w:firstLine="0"/>
        <w:jc w:val="left"/>
        <w:rPr>
          <w:sz w:val="12"/>
        </w:rPr>
      </w:pPr>
      <w:r>
        <w:rPr/>
        <w:pict>
          <v:group style="position:absolute;margin-left:43.73pt;margin-top:3.901575pt;width:164pt;height:112pt;mso-position-horizontal-relative:page;mso-position-vertical-relative:paragraph;z-index:-20960256" coordorigin="875,78" coordsize="3280,2240">
            <v:shape style="position:absolute;left:874;top:1668;width:80;height:500" coordorigin="875,1668" coordsize="80,500" path="m955,2168l875,2168m955,1668l875,1668e" filled="false" stroked="true" strokeweight=".5pt" strokecolor="#000000">
              <v:path arrowok="t"/>
              <v:stroke dashstyle="solid"/>
            </v:shape>
            <v:shape style="position:absolute;left:1014;top:88;width:2480;height:2220" coordorigin="1015,88" coordsize="2480,2220" path="m1015,2308l1055,2068,1095,1788,1135,1768,1175,1768,1215,1948,1275,2048,1315,1968,1355,1628,1395,1888,1435,1828,1475,1908,1535,2048,1575,1868,1615,2128,1655,2028,1695,2128,1755,2108,1795,1968,1835,2068m1835,2068l1875,2168,1915,2068,1955,1948,2015,2048,2055,1748,2095,1588,2135,1788,2175,1828,2215,1828,2275,1908,2315,1868,2355,1708,2395,1648,2435,1508,2495,1528,2535,1508,2575,1428,2615,1248,2655,948m2655,948l2715,808,2795,608,2835,648,2875,348,2915,268,2955,288,3015,148,3055,208,3095,88,3135,328,3195,308,3235,368,3275,548,3315,548,3355,808,3395,868,3455,968,3495,1188e" filled="false" stroked="true" strokeweight="1pt" strokecolor="#0066a5">
              <v:path arrowok="t"/>
              <v:stroke dashstyle="solid"/>
            </v:shape>
            <v:line style="position:absolute" from="4155,1168" to="4055,1168" stroked="true" strokeweight=".5pt" strokecolor="#000000">
              <v:stroke dashstyle="solid"/>
            </v:line>
            <v:shape style="position:absolute;left:3494;top:1008;width:520;height:300" coordorigin="3495,1008" coordsize="520,300" path="m3495,1188l3535,1308,3575,1308,3615,1228,3655,1228,3715,1148,3755,1048,3795,1068,3835,1008,3875,1108,3935,1108,3975,1048,4015,1048e" filled="false" stroked="true" strokeweight="1pt" strokecolor="#0066a5">
              <v:path arrowok="t"/>
              <v:stroke dashstyle="solid"/>
            </v:shape>
            <w10:wrap type="none"/>
          </v:group>
        </w:pict>
      </w:r>
      <w:r>
        <w:rPr/>
        <w:pict>
          <v:line style="position:absolute;mso-position-horizontal-relative:page;mso-position-vertical-relative:paragraph;z-index:15778304" from="47.73pt,8.401575pt" to="43.73pt,8.401575pt" stroked="true" strokeweight=".5pt" strokecolor="#000000">
            <v:stroke dashstyle="solid"/>
            <w10:wrap type="none"/>
          </v:line>
        </w:pict>
      </w:r>
      <w:r>
        <w:rPr/>
        <w:pict>
          <v:line style="position:absolute;mso-position-horizontal-relative:page;mso-position-vertical-relative:paragraph;z-index:15780864" from="207.729996pt,8.401575pt" to="202.729996pt,8.401575pt" stroked="true" strokeweight=".5pt" strokecolor="#000000">
            <v:stroke dashstyle="solid"/>
            <w10:wrap type="none"/>
          </v:line>
        </w:pict>
      </w:r>
      <w:r>
        <w:rPr>
          <w:sz w:val="12"/>
        </w:rPr>
        <w:t>700</w:t>
      </w:r>
    </w:p>
    <w:p>
      <w:pPr>
        <w:pStyle w:val="Heading5"/>
        <w:spacing w:line="242" w:lineRule="auto" w:before="220"/>
        <w:ind w:left="184" w:right="176"/>
      </w:pPr>
      <w:r>
        <w:rPr/>
        <w:br w:type="column"/>
      </w:r>
      <w:r>
        <w:rPr>
          <w:color w:val="231F20"/>
        </w:rPr>
        <w:t>annual growth rate of 11.6% each quarter in 1995 and 1996. Despite the rise in ICCs’ borrowing during the past couple of years, Chart 2.8 shows that ICCs’ bank borrowing as a proportion of income remains much lower than in the early 1990s, when ICCs increased their borrowing to historically high levels.</w:t>
      </w:r>
    </w:p>
    <w:p>
      <w:pPr>
        <w:spacing w:after="0" w:line="242" w:lineRule="auto"/>
        <w:sectPr>
          <w:type w:val="continuous"/>
          <w:pgSz w:w="11880" w:h="16840"/>
          <w:pgMar w:top="1040" w:bottom="280" w:left="640" w:right="640"/>
          <w:cols w:num="2" w:equalWidth="0">
            <w:col w:w="3775" w:space="1005"/>
            <w:col w:w="5820"/>
          </w:cols>
        </w:sectPr>
      </w:pPr>
    </w:p>
    <w:p>
      <w:pPr>
        <w:pStyle w:val="BodyText"/>
        <w:spacing w:before="10"/>
        <w:rPr>
          <w:sz w:val="13"/>
        </w:rPr>
      </w:pPr>
    </w:p>
    <w:p>
      <w:pPr>
        <w:spacing w:after="0"/>
        <w:rPr>
          <w:sz w:val="13"/>
        </w:rPr>
        <w:sectPr>
          <w:type w:val="continuous"/>
          <w:pgSz w:w="11880" w:h="16840"/>
          <w:pgMar w:top="1040" w:bottom="280" w:left="640" w:right="640"/>
        </w:sectPr>
      </w:pPr>
    </w:p>
    <w:p>
      <w:pPr>
        <w:pStyle w:val="BodyText"/>
        <w:rPr>
          <w:sz w:val="15"/>
        </w:rPr>
      </w:pPr>
    </w:p>
    <w:p>
      <w:pPr>
        <w:pStyle w:val="BodyText"/>
        <w:spacing w:line="20" w:lineRule="exact"/>
        <w:ind w:left="229"/>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43.73pt;margin-top:12.750977pt;width:4pt;height:.1pt;mso-position-horizontal-relative:page;mso-position-vertical-relative:paragraph;z-index:-15683072;mso-wrap-distance-left:0;mso-wrap-distance-right:0" coordorigin="875,255" coordsize="80,0" path="m955,255l875,255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244" w:val="left" w:leader="none"/>
          <w:tab w:pos="2124" w:val="left" w:leader="none"/>
          <w:tab w:pos="3004" w:val="left" w:leader="none"/>
        </w:tabs>
        <w:spacing w:before="106"/>
        <w:ind w:left="284" w:right="0" w:firstLine="0"/>
        <w:jc w:val="left"/>
        <w:rPr>
          <w:sz w:val="12"/>
        </w:rPr>
      </w:pPr>
      <w:r>
        <w:rPr>
          <w:sz w:val="12"/>
        </w:rPr>
        <w:t>1980</w:t>
        <w:tab/>
        <w:t>85</w:t>
        <w:tab/>
        <w:t>90</w:t>
        <w:tab/>
        <w:t>95</w:t>
      </w:r>
    </w:p>
    <w:p>
      <w:pPr>
        <w:spacing w:before="104"/>
        <w:ind w:left="184" w:right="0" w:firstLine="0"/>
        <w:jc w:val="left"/>
        <w:rPr>
          <w:sz w:val="12"/>
        </w:rPr>
      </w:pPr>
      <w:r>
        <w:rPr>
          <w:color w:val="231F20"/>
          <w:sz w:val="12"/>
        </w:rPr>
        <w:t>Sources: ONS and Bank of England.</w:t>
      </w:r>
    </w:p>
    <w:p>
      <w:pPr>
        <w:pStyle w:val="BodyText"/>
        <w:spacing w:before="2"/>
        <w:rPr>
          <w:sz w:val="11"/>
        </w:rPr>
      </w:pPr>
    </w:p>
    <w:p>
      <w:pPr>
        <w:pStyle w:val="Heading9"/>
        <w:spacing w:before="0"/>
        <w:ind w:left="184"/>
      </w:pPr>
      <w:r>
        <w:rPr>
          <w:color w:val="0093C1"/>
        </w:rPr>
        <w:t>Chart 2.9</w:t>
      </w:r>
    </w:p>
    <w:p>
      <w:pPr>
        <w:spacing w:before="95"/>
        <w:ind w:left="0" w:right="38" w:firstLine="0"/>
        <w:jc w:val="right"/>
        <w:rPr>
          <w:sz w:val="12"/>
        </w:rPr>
      </w:pPr>
      <w:r>
        <w:rPr/>
        <w:br w:type="column"/>
      </w:r>
      <w:r>
        <w:rPr>
          <w:sz w:val="12"/>
        </w:rPr>
        <w:t>600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80352" from="207.729996pt,-16.598425pt" to="202.729996pt,-16.598425pt" stroked="true" strokeweight=".5pt" strokecolor="#000000">
            <v:stroke dashstyle="solid"/>
            <w10:wrap type="none"/>
          </v:line>
        </w:pict>
      </w:r>
      <w:r>
        <w:rPr>
          <w:sz w:val="12"/>
        </w:rPr>
        <w:t>500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79840" from="207.729996pt,8.401575pt" to="202.729996pt,8.401575pt" stroked="true" strokeweight=".5pt" strokecolor="#000000">
            <v:stroke dashstyle="solid"/>
            <w10:wrap type="none"/>
          </v:line>
        </w:pict>
      </w:r>
      <w:r>
        <w:rPr>
          <w:sz w:val="12"/>
        </w:rPr>
        <w:t>400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79328" from="207.729996pt,8.401575pt" to="202.729996pt,8.401575pt" stroked="true" strokeweight=".5pt" strokecolor="#000000">
            <v:stroke dashstyle="solid"/>
            <w10:wrap type="none"/>
          </v:line>
        </w:pict>
      </w:r>
      <w:r>
        <w:rPr>
          <w:sz w:val="12"/>
        </w:rPr>
        <w:t>300</w:t>
      </w:r>
    </w:p>
    <w:p>
      <w:pPr>
        <w:pStyle w:val="BodyText"/>
        <w:rPr>
          <w:sz w:val="12"/>
        </w:rPr>
      </w:pPr>
    </w:p>
    <w:p>
      <w:pPr>
        <w:pStyle w:val="BodyText"/>
        <w:rPr>
          <w:sz w:val="12"/>
        </w:rPr>
      </w:pPr>
    </w:p>
    <w:p>
      <w:pPr>
        <w:spacing w:before="87"/>
        <w:ind w:left="0" w:right="38" w:firstLine="0"/>
        <w:jc w:val="right"/>
        <w:rPr>
          <w:sz w:val="12"/>
        </w:rPr>
      </w:pPr>
      <w:r>
        <w:rPr/>
        <w:pict>
          <v:group style="position:absolute;margin-left:43.73pt;margin-top:8.178575pt;width:165.25pt;height:7.55pt;mso-position-horizontal-relative:page;mso-position-vertical-relative:paragraph;z-index:15777280" coordorigin="875,164" coordsize="3305,151">
            <v:shape style="position:absolute;left:874;top:169;width:3280;height:140" coordorigin="875,169" coordsize="3280,140" path="m955,169l875,169m995,309l4015,309m1175,309l1175,269m1355,309l1355,269m1535,309l1535,269m1695,309l1695,269m1875,309l1875,269m2055,309l2055,269m2215,309l2215,269m2395,309l2395,269m2575,309l2575,269m2755,309l2755,269m2915,309l2915,269m3095,309l3095,269m3275,309l3275,269m3455,309l3455,269m3615,309l3615,269m3795,309l3795,269m3975,309l3975,269m995,309l995,229m1875,309l1875,229m2755,309l2755,229m3615,309l3615,229m4155,169l4055,169m1003,309l875,309m4155,309l4005,309e" filled="false" stroked="true" strokeweight=".5pt" strokecolor="#000000">
              <v:path arrowok="t"/>
              <v:stroke dashstyle="solid"/>
            </v:shape>
            <v:shape style="position:absolute;left:933;top:168;width:3240;height:138" coordorigin="934,169" coordsize="3240,138" path="m4154,171l4154,206,4134,223,4174,236,4134,256,4174,273,4150,283,4150,306m954,169l954,203,934,219,974,233,934,253,974,269,950,279,950,303e" filled="false" stroked="true" strokeweight=".5pt" strokecolor="#000000">
              <v:path arrowok="t"/>
              <v:stroke dashstyle="solid"/>
            </v:shape>
            <w10:wrap type="none"/>
          </v:group>
        </w:pict>
      </w:r>
      <w:r>
        <w:rPr>
          <w:sz w:val="12"/>
        </w:rPr>
        <w:t>200</w:t>
      </w:r>
    </w:p>
    <w:p>
      <w:pPr>
        <w:spacing w:before="2"/>
        <w:ind w:left="0" w:right="38" w:firstLine="0"/>
        <w:jc w:val="right"/>
        <w:rPr>
          <w:sz w:val="12"/>
        </w:rPr>
      </w:pPr>
      <w:r>
        <w:rPr>
          <w:sz w:val="12"/>
        </w:rPr>
        <w:t>0</w:t>
      </w:r>
    </w:p>
    <w:p>
      <w:pPr>
        <w:pStyle w:val="Heading3"/>
        <w:numPr>
          <w:ilvl w:val="1"/>
          <w:numId w:val="8"/>
        </w:numPr>
        <w:tabs>
          <w:tab w:pos="1186" w:val="left" w:leader="none"/>
          <w:tab w:pos="1187" w:val="left" w:leader="none"/>
        </w:tabs>
        <w:spacing w:line="240" w:lineRule="auto" w:before="211" w:after="0"/>
        <w:ind w:left="1186" w:right="0" w:hanging="1003"/>
        <w:jc w:val="left"/>
        <w:rPr>
          <w:color w:val="009483"/>
        </w:rPr>
      </w:pPr>
      <w:r>
        <w:rPr>
          <w:color w:val="009483"/>
        </w:rPr>
        <w:br w:type="column"/>
        <w:t>Interest rates and the exchange</w:t>
      </w:r>
      <w:r>
        <w:rPr>
          <w:color w:val="009483"/>
          <w:spacing w:val="-6"/>
        </w:rPr>
        <w:t> </w:t>
      </w:r>
      <w:r>
        <w:rPr>
          <w:color w:val="009483"/>
        </w:rPr>
        <w:t>rate</w:t>
      </w:r>
    </w:p>
    <w:p>
      <w:pPr>
        <w:pStyle w:val="BodyText"/>
        <w:spacing w:line="40" w:lineRule="exact"/>
        <w:ind w:left="165"/>
        <w:rPr>
          <w:sz w:val="4"/>
        </w:rPr>
      </w:pPr>
      <w:r>
        <w:rPr>
          <w:position w:val="0"/>
          <w:sz w:val="4"/>
        </w:rPr>
        <w:pict>
          <v:group style="width:274.5pt;height:2pt;mso-position-horizontal-relative:char;mso-position-vertical-relative:line" coordorigin="0,0" coordsize="5490,40">
            <v:line style="position:absolute" from="0,20" to="5490,20" stroked="true" strokeweight="2pt" strokecolor="#0093c1">
              <v:stroke dashstyle="solid"/>
            </v:line>
          </v:group>
        </w:pict>
      </w:r>
      <w:r>
        <w:rPr>
          <w:position w:val="0"/>
          <w:sz w:val="4"/>
        </w:rPr>
      </w:r>
    </w:p>
    <w:p>
      <w:pPr>
        <w:pStyle w:val="Heading6"/>
        <w:spacing w:before="223"/>
        <w:ind w:left="184"/>
        <w:rPr>
          <w:i/>
        </w:rPr>
      </w:pPr>
      <w:r>
        <w:rPr>
          <w:i/>
          <w:color w:val="009483"/>
        </w:rPr>
        <w:t>Short-term interest rates</w:t>
      </w:r>
    </w:p>
    <w:p>
      <w:pPr>
        <w:spacing w:line="242" w:lineRule="auto" w:before="124"/>
        <w:ind w:left="184" w:right="176" w:firstLine="0"/>
        <w:jc w:val="left"/>
        <w:rPr>
          <w:sz w:val="24"/>
        </w:rPr>
      </w:pPr>
      <w:r>
        <w:rPr>
          <w:color w:val="231F20"/>
          <w:sz w:val="24"/>
        </w:rPr>
        <w:t>Following the rise in the Bank’s repo rate on 7 August, rates were unchanged in September and October and were then raised by 0.25 percentage points on</w:t>
      </w:r>
    </w:p>
    <w:p>
      <w:pPr>
        <w:spacing w:before="4"/>
        <w:ind w:left="184" w:right="0" w:firstLine="0"/>
        <w:jc w:val="left"/>
        <w:rPr>
          <w:sz w:val="24"/>
        </w:rPr>
      </w:pPr>
      <w:r>
        <w:rPr>
          <w:color w:val="231F20"/>
          <w:sz w:val="24"/>
        </w:rPr>
        <w:t>6 November to 7.25%.</w:t>
      </w:r>
    </w:p>
    <w:p>
      <w:pPr>
        <w:pStyle w:val="BodyText"/>
        <w:spacing w:before="1"/>
        <w:rPr>
          <w:sz w:val="26"/>
        </w:rPr>
      </w:pPr>
    </w:p>
    <w:p>
      <w:pPr>
        <w:spacing w:line="280" w:lineRule="atLeast" w:before="0"/>
        <w:ind w:left="184" w:right="176" w:firstLine="0"/>
        <w:jc w:val="left"/>
        <w:rPr>
          <w:sz w:val="24"/>
        </w:rPr>
      </w:pPr>
      <w:r>
        <w:rPr>
          <w:color w:val="231F20"/>
          <w:sz w:val="24"/>
        </w:rPr>
        <w:t>The expected path of UK three-month interest rates is around 10 basis points above the path in August until</w:t>
      </w:r>
    </w:p>
    <w:p>
      <w:pPr>
        <w:spacing w:after="0" w:line="280" w:lineRule="atLeast"/>
        <w:jc w:val="left"/>
        <w:rPr>
          <w:sz w:val="24"/>
        </w:rPr>
        <w:sectPr>
          <w:type w:val="continuous"/>
          <w:pgSz w:w="11880" w:h="16840"/>
          <w:pgMar w:top="1040" w:bottom="280" w:left="640" w:right="640"/>
          <w:cols w:num="3" w:equalWidth="0">
            <w:col w:w="3165" w:space="195"/>
            <w:col w:w="405" w:space="1015"/>
            <w:col w:w="5820"/>
          </w:cols>
        </w:sectPr>
      </w:pPr>
    </w:p>
    <w:p>
      <w:pPr>
        <w:pStyle w:val="Heading9"/>
        <w:spacing w:line="141" w:lineRule="exact" w:before="0"/>
        <w:ind w:left="184"/>
      </w:pPr>
      <w:r>
        <w:rPr>
          <w:color w:val="0093C1"/>
        </w:rPr>
        <w:t>UK, US and German three-month interest</w:t>
      </w:r>
    </w:p>
    <w:p>
      <w:pPr>
        <w:spacing w:line="143" w:lineRule="exact" w:before="10"/>
        <w:ind w:left="184" w:right="0" w:firstLine="0"/>
        <w:jc w:val="left"/>
        <w:rPr>
          <w:b/>
          <w:sz w:val="20"/>
        </w:rPr>
      </w:pPr>
      <w:r>
        <w:rPr>
          <w:b/>
          <w:color w:val="0093C1"/>
          <w:sz w:val="20"/>
        </w:rPr>
        <w:t>rate expectations</w:t>
      </w:r>
    </w:p>
    <w:p>
      <w:pPr>
        <w:spacing w:before="4"/>
        <w:ind w:left="184" w:right="0" w:firstLine="0"/>
        <w:jc w:val="left"/>
        <w:rPr>
          <w:sz w:val="24"/>
        </w:rPr>
      </w:pPr>
      <w:r>
        <w:rPr/>
        <w:br w:type="column"/>
      </w:r>
      <w:r>
        <w:rPr>
          <w:color w:val="231F20"/>
          <w:sz w:val="24"/>
        </w:rPr>
        <w:t>mid 1998, when it falls below, as Chart 2.9 shows. It</w:t>
      </w:r>
    </w:p>
    <w:p>
      <w:pPr>
        <w:spacing w:after="0"/>
        <w:jc w:val="left"/>
        <w:rPr>
          <w:sz w:val="24"/>
        </w:rPr>
        <w:sectPr>
          <w:type w:val="continuous"/>
          <w:pgSz w:w="11880" w:h="16840"/>
          <w:pgMar w:top="1040" w:bottom="280" w:left="640" w:right="640"/>
          <w:cols w:num="2" w:equalWidth="0">
            <w:col w:w="3825" w:space="955"/>
            <w:col w:w="5820"/>
          </w:cols>
        </w:sectPr>
      </w:pPr>
    </w:p>
    <w:p>
      <w:pPr>
        <w:pStyle w:val="BodyText"/>
        <w:spacing w:before="9"/>
        <w:rPr>
          <w:sz w:val="26"/>
        </w:rPr>
      </w:pPr>
    </w:p>
    <w:p>
      <w:pPr>
        <w:pStyle w:val="BodyText"/>
        <w:spacing w:line="20" w:lineRule="exact"/>
        <w:ind w:left="249"/>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20"/>
        </w:rPr>
      </w:pPr>
    </w:p>
    <w:p>
      <w:pPr>
        <w:pStyle w:val="BodyText"/>
        <w:spacing w:before="9"/>
        <w:rPr>
          <w:sz w:val="28"/>
        </w:rPr>
      </w:pPr>
      <w:r>
        <w:rPr/>
        <w:pict>
          <v:shape style="position:absolute;margin-left:44.73pt;margin-top:18.750977pt;width:4pt;height:.1pt;mso-position-horizontal-relative:page;mso-position-vertical-relative:paragraph;z-index:-15681536;mso-wrap-distance-left:0;mso-wrap-distance-right:0" coordorigin="895,375" coordsize="80,0" path="m895,375l975,375e" filled="false" stroked="true" strokeweight=".5pt" strokecolor="#000000">
            <v:path arrowok="t"/>
            <v:stroke dashstyle="solid"/>
            <w10:wrap type="topAndBottom"/>
          </v:shape>
        </w:pict>
      </w:r>
    </w:p>
    <w:p>
      <w:pPr>
        <w:pStyle w:val="BodyText"/>
        <w:rPr>
          <w:sz w:val="12"/>
        </w:rPr>
      </w:pPr>
    </w:p>
    <w:p>
      <w:pPr>
        <w:pStyle w:val="BodyText"/>
        <w:spacing w:before="7"/>
        <w:rPr>
          <w:sz w:val="12"/>
        </w:rPr>
      </w:pPr>
    </w:p>
    <w:p>
      <w:pPr>
        <w:spacing w:line="720" w:lineRule="auto" w:before="1"/>
        <w:ind w:left="444" w:right="-18" w:firstLine="399"/>
        <w:jc w:val="left"/>
        <w:rPr>
          <w:sz w:val="12"/>
        </w:rPr>
      </w:pPr>
      <w:r>
        <w:rPr/>
        <w:pict>
          <v:line style="position:absolute;mso-position-horizontal-relative:page;mso-position-vertical-relative:paragraph;z-index:15788032" from="44.73pt,14.154572pt" to="48.73pt,14.154572pt" stroked="true" strokeweight=".5pt" strokecolor="#000000">
            <v:stroke dashstyle="solid"/>
            <w10:wrap type="none"/>
          </v:line>
        </w:pict>
      </w:r>
      <w:r>
        <w:rPr>
          <w:sz w:val="12"/>
        </w:rPr>
        <w:t>8 August United States</w:t>
      </w:r>
    </w:p>
    <w:p>
      <w:pPr>
        <w:pStyle w:val="BodyText"/>
        <w:spacing w:before="3"/>
        <w:rPr>
          <w:sz w:val="4"/>
        </w:rPr>
      </w:pPr>
    </w:p>
    <w:p>
      <w:pPr>
        <w:pStyle w:val="BodyText"/>
        <w:spacing w:line="20" w:lineRule="exact"/>
        <w:ind w:left="249"/>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20"/>
        </w:rPr>
      </w:pPr>
    </w:p>
    <w:p>
      <w:pPr>
        <w:pStyle w:val="BodyText"/>
        <w:rPr>
          <w:sz w:val="27"/>
        </w:rPr>
      </w:pPr>
      <w:r>
        <w:rPr/>
        <w:pict>
          <v:shape style="position:absolute;margin-left:44.73pt;margin-top:17.755859pt;width:4pt;height:.1pt;mso-position-horizontal-relative:page;mso-position-vertical-relative:paragraph;z-index:-15680512;mso-wrap-distance-left:0;mso-wrap-distance-right:0" coordorigin="895,355" coordsize="80,0" path="m895,355l975,355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269" w:right="0" w:firstLine="0"/>
        <w:jc w:val="left"/>
        <w:rPr>
          <w:sz w:val="12"/>
        </w:rPr>
      </w:pPr>
      <w:r>
        <w:rPr>
          <w:sz w:val="12"/>
        </w:rPr>
        <w:t>5 November</w:t>
      </w:r>
    </w:p>
    <w:p>
      <w:pPr>
        <w:spacing w:before="171"/>
        <w:ind w:left="444" w:right="0" w:firstLine="0"/>
        <w:jc w:val="left"/>
        <w:rPr>
          <w:sz w:val="12"/>
        </w:rPr>
      </w:pPr>
      <w:r>
        <w:rPr/>
        <w:br w:type="column"/>
      </w:r>
      <w:r>
        <w:rPr>
          <w:sz w:val="12"/>
        </w:rPr>
        <w:t>Per ce</w:t>
      </w:r>
      <w:r>
        <w:rPr>
          <w:sz w:val="12"/>
          <w:u w:val="single"/>
        </w:rPr>
        <w:t>n</w:t>
      </w:r>
      <w:r>
        <w:rPr>
          <w:sz w:val="12"/>
        </w:rPr>
        <w:t>t </w:t>
      </w:r>
      <w:r>
        <w:rPr>
          <w:position w:val="-7"/>
          <w:sz w:val="12"/>
        </w:rPr>
        <w:t>8</w:t>
      </w:r>
    </w:p>
    <w:p>
      <w:pPr>
        <w:pStyle w:val="BodyText"/>
        <w:rPr>
          <w:sz w:val="20"/>
        </w:rPr>
      </w:pPr>
    </w:p>
    <w:p>
      <w:pPr>
        <w:pStyle w:val="BodyText"/>
        <w:spacing w:before="2"/>
        <w:rPr>
          <w:sz w:val="20"/>
        </w:rPr>
      </w:pPr>
    </w:p>
    <w:p>
      <w:pPr>
        <w:spacing w:before="0"/>
        <w:ind w:left="0" w:right="38" w:firstLine="0"/>
        <w:jc w:val="right"/>
        <w:rPr>
          <w:sz w:val="12"/>
        </w:rPr>
      </w:pPr>
      <w:r>
        <w:rPr/>
        <w:pict>
          <v:line style="position:absolute;mso-position-horizontal-relative:page;mso-position-vertical-relative:paragraph;z-index:15789056" from="203.729996pt,4.101552pt" to="208.729996pt,4.101552pt" stroked="true" strokeweight=".5pt" strokecolor="#000000">
            <v:stroke dashstyle="solid"/>
            <w10:wrap type="none"/>
          </v:line>
        </w:pict>
      </w:r>
      <w:r>
        <w:rPr/>
        <w:pict>
          <v:group style="position:absolute;margin-left:53.896pt;margin-top:-11.746128pt;width:132.35pt;height:20.350pt;mso-position-horizontal-relative:page;mso-position-vertical-relative:paragraph;z-index:15792640" coordorigin="1078,-235" coordsize="2647,407">
            <v:line style="position:absolute" from="1315,-178" to="1615,-218" stroked="true" strokeweight="1pt" strokecolor="#9bd3ae">
              <v:stroke dashstyle="solid"/>
            </v:line>
            <v:line style="position:absolute" from="1605,-208" to="1925,-208" stroked="true" strokeweight="2pt" strokecolor="#9bd3ae">
              <v:stroke dashstyle="solid"/>
            </v:line>
            <v:shape style="position:absolute;left:1914;top:-198;width:1800;height:360" coordorigin="1915,-198" coordsize="1800,360" path="m1915,-198l2215,-138m2215,-138l2515,-78m2515,-78l2815,2m2815,2l3115,82m3115,82l3415,122m3415,122l3715,162e" filled="false" stroked="true" strokeweight="1pt" strokecolor="#9bd3ae">
              <v:path arrowok="t"/>
              <v:stroke dashstyle="solid"/>
            </v:shape>
            <v:line style="position:absolute" from="1305,-128" to="1625,-128" stroked="true" strokeweight="2pt" strokecolor="#008256">
              <v:stroke dashstyle="solid"/>
            </v:line>
            <v:line style="position:absolute" from="1615,-138" to="1915,-138" stroked="true" strokeweight="1pt" strokecolor="#008256">
              <v:stroke dashstyle="solid"/>
            </v:line>
            <v:shape style="position:absolute;left:1904;top:-128;width:920;height:40" coordorigin="1905,-128" coordsize="920,40" path="m1905,-128l2225,-128m2205,-108l2525,-108m2505,-88l2825,-88e" filled="false" stroked="true" strokeweight="2pt" strokecolor="#008256">
              <v:path arrowok="t"/>
              <v:stroke dashstyle="solid"/>
            </v:shape>
            <v:shape style="position:absolute;left:2814;top:-78;width:900;height:2" coordorigin="2815,-78" coordsize="900,0" path="m2815,-78l3115,-78m3115,-78l3415,-78m3415,-78l3715,-78e" filled="false" stroked="true" strokeweight="1pt" strokecolor="#008256">
              <v:path arrowok="t"/>
              <v:stroke dashstyle="solid"/>
            </v:shape>
            <v:shape style="position:absolute;left:3037;top:-235;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v:shape style="position:absolute;left:1077;top:-102;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2231;top:5;width:617;height:133" type="#_x0000_t202" filled="false" stroked="false">
              <v:textbox inset="0,0,0,0">
                <w:txbxContent>
                  <w:p>
                    <w:pPr>
                      <w:spacing w:line="133" w:lineRule="exact" w:before="0"/>
                      <w:ind w:left="0" w:right="0" w:firstLine="0"/>
                      <w:jc w:val="left"/>
                      <w:rPr>
                        <w:sz w:val="12"/>
                      </w:rPr>
                    </w:pPr>
                    <w:r>
                      <w:rPr>
                        <w:sz w:val="12"/>
                      </w:rPr>
                      <w:t>5 November</w:t>
                    </w:r>
                  </w:p>
                </w:txbxContent>
              </v:textbox>
              <w10:wrap type="none"/>
            </v:shape>
            <w10:wrap type="none"/>
          </v:group>
        </w:pict>
      </w:r>
      <w:r>
        <w:rPr/>
        <w:pict>
          <v:group style="position:absolute;margin-left:65.230003pt;margin-top:15.601551pt;width:121pt;height:25pt;mso-position-horizontal-relative:page;mso-position-vertical-relative:paragraph;z-index:-20944896" coordorigin="1305,312" coordsize="2420,500">
            <v:line style="position:absolute" from="1305,792" to="1625,792" stroked="true" strokeweight="2pt" strokecolor="#0093c0">
              <v:stroke dashstyle="solid"/>
            </v:line>
            <v:shape style="position:absolute;left:1614;top:642;width:900;height:140" coordorigin="1615,642" coordsize="900,140" path="m1615,782l1915,742m1915,742l2215,702m2215,702l2515,642e" filled="false" stroked="true" strokeweight="1pt" strokecolor="#0093c0">
              <v:path arrowok="t"/>
              <v:stroke dashstyle="solid"/>
            </v:shape>
            <v:shape style="position:absolute;left:2504;top:592;width:920;height:40" coordorigin="2505,592" coordsize="920,40" path="m2505,632l2825,632m2805,612l3125,612m3105,592l3425,592e" filled="false" stroked="true" strokeweight="2pt" strokecolor="#0093c0">
              <v:path arrowok="t"/>
              <v:stroke dashstyle="solid"/>
            </v:shape>
            <v:line style="position:absolute" from="3415,582" to="3715,542" stroked="true" strokeweight="1pt" strokecolor="#0093c0">
              <v:stroke dashstyle="solid"/>
            </v:line>
            <v:shape style="position:absolute;left:1314;top:422;width:1200;height:240" coordorigin="1315,422" coordsize="1200,240" path="m1315,662l1615,602m1615,602l1915,542m1915,542l2215,482m2215,482l2515,422e" filled="false" stroked="true" strokeweight="1pt" strokecolor="#0066a5">
              <v:path arrowok="t"/>
              <v:stroke dashstyle="solid"/>
            </v:shape>
            <v:shape style="position:absolute;left:2504;top:372;width:920;height:40" coordorigin="2505,372" coordsize="920,40" path="m2505,412l2825,412m2805,392l3125,392m3105,372l3425,372e" filled="false" stroked="true" strokeweight="2pt" strokecolor="#0066a5">
              <v:path arrowok="t"/>
              <v:stroke dashstyle="solid"/>
            </v:shape>
            <v:line style="position:absolute" from="3415,362" to="3715,322" stroked="true" strokeweight="1pt" strokecolor="#0066a5">
              <v:stroke dashstyle="solid"/>
            </v:line>
            <w10:wrap type="none"/>
          </v:group>
        </w:pict>
      </w:r>
      <w:r>
        <w:rPr>
          <w:sz w:val="12"/>
        </w:rPr>
        <w:t>7</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789568" from="203.729996pt,4.101552pt" to="208.729996pt,4.101552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790080" from="203.729996pt,4.101552pt" to="208.729996pt,4.101552pt" stroked="true" strokeweight=".5pt" strokecolor="#000000">
            <v:stroke dashstyle="solid"/>
            <w10:wrap type="none"/>
          </v:line>
        </w:pict>
      </w:r>
      <w:r>
        <w:rPr/>
        <w:pict>
          <v:group style="position:absolute;margin-left:53.228001pt;margin-top:-5.398448pt;width:133.050pt;height:55pt;mso-position-horizontal-relative:page;mso-position-vertical-relative:paragraph;z-index:-20942848" coordorigin="1065,-108" coordsize="2661,1100">
            <v:shape style="position:absolute;left:1314;top:82;width:2400;height:900" coordorigin="1315,82" coordsize="2400,900" path="m1315,982l1615,922m1615,922l1915,802m1915,802l2215,682m2215,682l2515,522m2515,522l2815,402m2815,402l3115,282m3115,282l3415,202m3415,202l3715,82e" filled="false" stroked="true" strokeweight="1pt" strokecolor="#faab54">
              <v:path arrowok="t"/>
              <v:stroke dashstyle="solid"/>
            </v:shape>
            <v:shape style="position:absolute;left:1314;top:-98;width:2400;height:920" coordorigin="1315,-98" coordsize="2400,920" path="m1315,822l1615,642m1615,642l1915,482m1915,482l2215,382m2215,382l2515,262m2515,262l2815,162m2815,162l3115,82m3115,82l3415,-18m3415,-18l3715,-98e" filled="false" stroked="true" strokeweight="1pt" strokecolor="#df6f1d">
              <v:path arrowok="t"/>
              <v:stroke dashstyle="solid"/>
            </v:shape>
            <v:shape style="position:absolute;left:1711;top:205;width:617;height:133" type="#_x0000_t202" filled="false" stroked="false">
              <v:textbox inset="0,0,0,0">
                <w:txbxContent>
                  <w:p>
                    <w:pPr>
                      <w:spacing w:line="133" w:lineRule="exact" w:before="0"/>
                      <w:ind w:left="0" w:right="0" w:firstLine="0"/>
                      <w:jc w:val="left"/>
                      <w:rPr>
                        <w:sz w:val="12"/>
                      </w:rPr>
                    </w:pPr>
                    <w:r>
                      <w:rPr>
                        <w:sz w:val="12"/>
                      </w:rPr>
                      <w:t>5 November</w:t>
                    </w:r>
                  </w:p>
                </w:txbxContent>
              </v:textbox>
              <w10:wrap type="none"/>
            </v:shape>
            <v:shape style="position:absolute;left:1064;top:798;width:467;height:133" type="#_x0000_t202" filled="false" stroked="false">
              <v:textbox inset="0,0,0,0">
                <w:txbxContent>
                  <w:p>
                    <w:pPr>
                      <w:spacing w:line="133" w:lineRule="exact" w:before="0"/>
                      <w:ind w:left="0" w:right="0" w:firstLine="0"/>
                      <w:jc w:val="left"/>
                      <w:rPr>
                        <w:sz w:val="12"/>
                      </w:rPr>
                    </w:pPr>
                    <w:r>
                      <w:rPr>
                        <w:sz w:val="12"/>
                      </w:rPr>
                      <w:t>Germany</w:t>
                    </w:r>
                  </w:p>
                </w:txbxContent>
              </v:textbox>
              <w10:wrap type="none"/>
            </v:shape>
            <v:shape style="position:absolute;left:1984;top:785;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w10:wrap type="none"/>
          </v:group>
        </w:pict>
      </w:r>
      <w:r>
        <w:rPr>
          <w:sz w:val="12"/>
        </w:rPr>
        <w:t>5</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790592" from="203.729996pt,4.101552pt" to="208.729996pt,4.101552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11"/>
        <w:rPr>
          <w:sz w:val="17"/>
        </w:rPr>
      </w:pPr>
    </w:p>
    <w:p>
      <w:pPr>
        <w:spacing w:line="134" w:lineRule="exact" w:before="0"/>
        <w:ind w:left="899" w:right="0" w:firstLine="0"/>
        <w:jc w:val="left"/>
        <w:rPr>
          <w:sz w:val="12"/>
        </w:rPr>
      </w:pPr>
      <w:r>
        <w:rPr/>
        <w:pict>
          <v:group style="position:absolute;margin-left:44.73pt;margin-top:2.851552pt;width:165.45pt;height:8.85pt;mso-position-horizontal-relative:page;mso-position-vertical-relative:paragraph;z-index:15788544" coordorigin="895,57" coordsize="3309,177">
            <v:shape style="position:absolute;left:894;top:62;width:3280;height:160" coordorigin="895,62" coordsize="3280,160" path="m895,62l975,62m4075,62l4175,62m1015,222l1015,182m1315,222l1315,182m1615,222l1615,182m1915,222l1915,182m2215,222l2215,182m2515,222l2515,182m2815,222l2815,182m3115,222l3115,182m3415,222l3415,182m3715,222l3715,182m4015,222l4015,182m1015,222l4015,222m2815,222l2815,107m1615,222l1615,107m4015,222l4015,107m895,222l1075,222m3941,222l4175,222e" filled="false" stroked="true" strokeweight=".5pt" strokecolor="#000000">
              <v:path arrowok="t"/>
              <v:stroke dashstyle="solid"/>
            </v:shape>
            <v:shape style="position:absolute;left:957;top:64;width:3240;height:164" coordorigin="958,65" coordsize="3240,164" path="m4178,65l4178,99,4158,115,4198,129,4158,149,4198,165,4175,175,4174,217m978,76l978,110,958,126,998,140,958,160,998,176,975,186,974,228e" filled="false" stroked="true" strokeweight=".5pt" strokecolor="#000000">
              <v:path arrowok="t"/>
              <v:stroke dashstyle="solid"/>
            </v:shape>
            <w10:wrap type="none"/>
          </v:group>
        </w:pict>
      </w:r>
      <w:r>
        <w:rPr>
          <w:sz w:val="12"/>
        </w:rPr>
        <w:t>3</w:t>
      </w:r>
    </w:p>
    <w:p>
      <w:pPr>
        <w:spacing w:line="134" w:lineRule="exact" w:before="0"/>
        <w:ind w:left="899" w:right="0" w:firstLine="0"/>
        <w:jc w:val="left"/>
        <w:rPr>
          <w:sz w:val="12"/>
        </w:rPr>
      </w:pPr>
      <w:r>
        <w:rPr>
          <w:sz w:val="12"/>
        </w:rPr>
        <w:t>0</w:t>
      </w:r>
    </w:p>
    <w:p>
      <w:pPr>
        <w:spacing w:line="242" w:lineRule="auto" w:before="0"/>
        <w:ind w:left="444" w:right="118" w:firstLine="0"/>
        <w:jc w:val="left"/>
        <w:rPr>
          <w:sz w:val="24"/>
        </w:rPr>
      </w:pPr>
      <w:r>
        <w:rPr/>
        <w:br w:type="column"/>
      </w:r>
      <w:r>
        <w:rPr>
          <w:color w:val="231F20"/>
          <w:sz w:val="24"/>
        </w:rPr>
        <w:t>reaches 6.9% at the end of 1999, 40 basis points below the expected rate in August. The expected path of German three-month interest rates rises by the end of 1999 by around 150 basis points, as it did in August.</w:t>
      </w:r>
    </w:p>
    <w:p>
      <w:pPr>
        <w:spacing w:line="280" w:lineRule="atLeast" w:before="0"/>
        <w:ind w:left="444" w:right="148" w:firstLine="0"/>
        <w:jc w:val="left"/>
        <w:rPr>
          <w:sz w:val="24"/>
        </w:rPr>
      </w:pPr>
      <w:r>
        <w:rPr>
          <w:color w:val="231F20"/>
          <w:sz w:val="24"/>
        </w:rPr>
        <w:t>But it is around 40 basis points above the path in</w:t>
      </w:r>
      <w:r>
        <w:rPr>
          <w:color w:val="231F20"/>
          <w:spacing w:val="-24"/>
          <w:sz w:val="24"/>
        </w:rPr>
        <w:t> </w:t>
      </w:r>
      <w:r>
        <w:rPr>
          <w:color w:val="231F20"/>
          <w:sz w:val="24"/>
        </w:rPr>
        <w:t>August, reaching 5.3% by the end of 1999. Though the expected path of US rates also rises by the end of 1999, to 6.2%, this is around 40 basis points below the path in August. Chart 2.10 shows that though the expected path of a weighted average of overseas short-term interest rates is slightly lower than in August, overseas rates are expected to rise relative to UK interest rates during the next </w:t>
      </w:r>
      <w:r>
        <w:rPr>
          <w:color w:val="231F20"/>
          <w:spacing w:val="-3"/>
          <w:sz w:val="24"/>
        </w:rPr>
        <w:t>year, </w:t>
      </w:r>
      <w:r>
        <w:rPr>
          <w:color w:val="231F20"/>
          <w:sz w:val="24"/>
        </w:rPr>
        <w:t>with the gap between UK and overseas</w:t>
      </w:r>
      <w:r>
        <w:rPr>
          <w:color w:val="231F20"/>
          <w:spacing w:val="-6"/>
          <w:sz w:val="24"/>
        </w:rPr>
        <w:t> </w:t>
      </w:r>
      <w:r>
        <w:rPr>
          <w:color w:val="231F20"/>
          <w:sz w:val="24"/>
        </w:rPr>
        <w:t>rates</w:t>
      </w:r>
    </w:p>
    <w:p>
      <w:pPr>
        <w:spacing w:after="0" w:line="280" w:lineRule="atLeast"/>
        <w:jc w:val="left"/>
        <w:rPr>
          <w:sz w:val="24"/>
        </w:rPr>
        <w:sectPr>
          <w:type w:val="continuous"/>
          <w:pgSz w:w="11880" w:h="16840"/>
          <w:pgMar w:top="1040" w:bottom="280" w:left="640" w:right="640"/>
          <w:cols w:num="4" w:equalWidth="0">
            <w:col w:w="1282" w:space="40"/>
            <w:col w:w="907" w:space="476"/>
            <w:col w:w="1000" w:space="815"/>
            <w:col w:w="6080"/>
          </w:cols>
        </w:sectPr>
      </w:pPr>
    </w:p>
    <w:p>
      <w:pPr>
        <w:tabs>
          <w:tab w:pos="1509" w:val="left" w:leader="none"/>
          <w:tab w:pos="2754" w:val="left" w:leader="none"/>
        </w:tabs>
        <w:spacing w:line="54" w:lineRule="exact" w:before="0"/>
        <w:ind w:left="504" w:right="0" w:firstLine="0"/>
        <w:jc w:val="left"/>
        <w:rPr>
          <w:sz w:val="12"/>
        </w:rPr>
      </w:pPr>
      <w:r>
        <w:rPr>
          <w:sz w:val="12"/>
        </w:rPr>
        <w:t>1997</w:t>
        <w:tab/>
        <w:t>98</w:t>
        <w:tab/>
        <w:t>99</w:t>
      </w:r>
    </w:p>
    <w:p>
      <w:pPr>
        <w:spacing w:before="20"/>
        <w:ind w:left="184" w:right="0" w:firstLine="0"/>
        <w:jc w:val="left"/>
        <w:rPr>
          <w:sz w:val="12"/>
        </w:rPr>
      </w:pPr>
      <w:r>
        <w:rPr>
          <w:color w:val="231F20"/>
          <w:sz w:val="12"/>
        </w:rPr>
        <w:t>Sources: LIFFE and Bloomberg.</w:t>
      </w:r>
    </w:p>
    <w:p>
      <w:pPr>
        <w:spacing w:before="102"/>
        <w:ind w:left="184" w:right="0" w:firstLine="0"/>
        <w:jc w:val="left"/>
        <w:rPr>
          <w:sz w:val="12"/>
        </w:rPr>
      </w:pPr>
      <w:r>
        <w:rPr>
          <w:color w:val="231F20"/>
          <w:sz w:val="12"/>
        </w:rPr>
        <w:t>(a) Based on a combination of interest rate futures contracts.</w:t>
      </w:r>
    </w:p>
    <w:p>
      <w:pPr>
        <w:pStyle w:val="BodyText"/>
        <w:spacing w:before="5"/>
        <w:rPr>
          <w:sz w:val="9"/>
        </w:rPr>
      </w:pPr>
    </w:p>
    <w:p>
      <w:pPr>
        <w:pStyle w:val="Heading9"/>
        <w:spacing w:before="0"/>
        <w:ind w:left="184"/>
      </w:pPr>
      <w:r>
        <w:rPr>
          <w:color w:val="0093C1"/>
        </w:rPr>
        <w:t>Chart 2.10</w:t>
      </w:r>
    </w:p>
    <w:p>
      <w:pPr>
        <w:spacing w:line="249" w:lineRule="auto" w:before="10"/>
        <w:ind w:left="184" w:right="21" w:firstLine="0"/>
        <w:jc w:val="left"/>
        <w:rPr>
          <w:sz w:val="12"/>
        </w:rPr>
      </w:pPr>
      <w:r>
        <w:rPr>
          <w:b/>
          <w:color w:val="0093C1"/>
          <w:sz w:val="20"/>
        </w:rPr>
        <w:t>Sterling and overseas three-month interest rate expectations</w:t>
      </w:r>
      <w:r>
        <w:rPr>
          <w:color w:val="231F20"/>
          <w:position w:val="4"/>
          <w:sz w:val="12"/>
        </w:rPr>
        <w:t>(a)</w:t>
      </w:r>
    </w:p>
    <w:p>
      <w:pPr>
        <w:spacing w:before="44"/>
        <w:ind w:left="3023" w:right="0" w:firstLine="0"/>
        <w:jc w:val="left"/>
        <w:rPr>
          <w:sz w:val="12"/>
        </w:rPr>
      </w:pPr>
      <w:r>
        <w:rPr/>
        <w:pict>
          <v:group style="position:absolute;margin-left:43.396999pt;margin-top:23.450897pt;width:150.5pt;height:116.1pt;mso-position-horizontal-relative:page;mso-position-vertical-relative:paragraph;z-index:15787008" coordorigin="868,469" coordsize="3010,2322">
            <v:shape style="position:absolute;left:3280;top:505;width:441;height:80" coordorigin="3280,506" coordsize="441,80" path="m3280,586l3501,526,3721,506e" filled="false" stroked="true" strokeweight="1pt" strokecolor="#9aca3c">
              <v:path arrowok="t"/>
              <v:stroke dashstyle="solid"/>
            </v:shape>
            <v:line style="position:absolute" from="3280,586" to="3133,786" stroked="true" strokeweight="1pt" strokecolor="#9aca3c">
              <v:stroke dashstyle="solid"/>
            </v:line>
            <v:shape style="position:absolute;left:3280;top:2405;width:441;height:100" coordorigin="3280,2406" coordsize="441,100" path="m3280,2506l3501,2446,3721,2406e" filled="false" stroked="true" strokeweight="1pt" strokecolor="#a790c4">
              <v:path arrowok="t"/>
              <v:stroke dashstyle="solid"/>
            </v:shape>
            <v:line style="position:absolute" from="3280,2506" to="3133,2646" stroked="true" strokeweight="1pt" strokecolor="#a790c4">
              <v:stroke dashstyle="solid"/>
            </v:line>
            <v:shape style="position:absolute;left:1003;top:1265;width:2302;height:1420" coordorigin="1003,1266" coordsize="2302,1420" path="m1003,1606l1077,1626,1150,1266,1224,1406,1297,1526,1371,1586,1444,1686,1493,1786m1493,1786l1567,1866,1640,1786,1713,1926,1787,1986,1860,2226,1909,2366,1983,2366,2056,2406,2130,2466,2203,2426,2277,2426,2399,2526,2472,2626,2546,2666,2619,2666,2693,2686,2742,2686,2815,2626m2815,2626l2889,2626,2962,2646,3035,2646,3109,2666,3158,2626,3231,2646,3305,2566e" filled="false" stroked="true" strokeweight="1pt" strokecolor="#522e91">
              <v:path arrowok="t"/>
              <v:stroke dashstyle="solid"/>
            </v:shape>
            <v:shape style="position:absolute;left:1003;top:645;width:2302;height:920" coordorigin="1003,646" coordsize="2302,920" path="m1003,1086l1077,966,1150,1026,1297,986,1371,1026,1444,926,1493,926m1493,926l1567,986,1640,966,1713,1006,1787,1106,1860,1186,1909,1306,1983,1366,2056,1406,2130,1386,2203,1526,2277,1566,2326,1566,2399,1546,2472,1466,2546,1266,2619,1226,2693,1226,2742,1286,2815,1286m2815,1286l2889,1186,2962,1146,3035,1006,3109,846,3158,726,3305,646e" filled="false" stroked="true" strokeweight="1pt" strokecolor="#008256">
              <v:path arrowok="t"/>
              <v:stroke dashstyle="solid"/>
            </v:shape>
            <v:shape style="position:absolute;left:3476;top:505;width:392;height:40" coordorigin="3476,506" coordsize="392,40" path="m3476,546l3672,506,3868,526e" filled="false" stroked="true" strokeweight="1pt" strokecolor="#9bd3ae">
              <v:path arrowok="t"/>
              <v:stroke dashstyle="solid"/>
            </v:shape>
            <v:line style="position:absolute" from="3305,646" to="3476,546" stroked="true" strokeweight="1pt" strokecolor="#9bd3ae">
              <v:stroke dashstyle="solid"/>
            </v:line>
            <v:shape style="position:absolute;left:3451;top:2385;width:392;height:100" coordorigin="3452,2386" coordsize="392,100" path="m3452,2486l3648,2446,3843,2386e" filled="false" stroked="true" strokeweight="1pt" strokecolor="#ac6e90">
              <v:path arrowok="t"/>
              <v:stroke dashstyle="solid"/>
            </v:shape>
            <v:line style="position:absolute" from="3305,2566" to="3476,2486" stroked="true" strokeweight="1pt" strokecolor="#ac6e90">
              <v:stroke dashstyle="solid"/>
            </v:line>
            <v:shape style="position:absolute;left:3569;top:541;width:138;height:336" type="#_x0000_t75" stroked="false">
              <v:imagedata r:id="rId22" o:title=""/>
            </v:shape>
            <v:line style="position:absolute" from="3550,2786" to="3525,2586" stroked="true" strokeweight=".5pt" strokecolor="#000000">
              <v:stroke dashstyle="solid"/>
            </v:line>
            <v:shape style="position:absolute;left:3497;top:2518;width:62;height:88" coordorigin="3498,2519" coordsize="62,88" path="m3513,2519l3498,2606,3559,2599,3521,2537,3517,2527,3513,2519xe" filled="true" fillcolor="#000000" stroked="false">
              <v:path arrowok="t"/>
              <v:fill type="solid"/>
            </v:shape>
            <v:shape style="position:absolute;left:867;top:784;width:83;height:1800" coordorigin="868,784" coordsize="83,1800" path="m950,2584l868,2584m950,1984l868,1984m950,1384l868,1384m950,784l868,784e" filled="false" stroked="true" strokeweight=".5pt" strokecolor="#000000">
              <v:path arrowok="t"/>
              <v:stroke dashstyle="solid"/>
            </v:shape>
            <v:shape style="position:absolute;left:2688;top:469;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v:shape style="position:absolute;left:1339;top:775;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3162;top:849;width:617;height:133" type="#_x0000_t202" filled="false" stroked="false">
              <v:textbox inset="0,0,0,0">
                <w:txbxContent>
                  <w:p>
                    <w:pPr>
                      <w:spacing w:line="133" w:lineRule="exact" w:before="0"/>
                      <w:ind w:left="0" w:right="0" w:firstLine="0"/>
                      <w:jc w:val="left"/>
                      <w:rPr>
                        <w:sz w:val="12"/>
                      </w:rPr>
                    </w:pPr>
                    <w:r>
                      <w:rPr>
                        <w:sz w:val="12"/>
                      </w:rPr>
                      <w:t>5 November</w:t>
                    </w:r>
                  </w:p>
                </w:txbxContent>
              </v:textbox>
              <w10:wrap type="none"/>
            </v:shape>
            <v:shape style="position:absolute;left:1722;top:1809;width:630;height:133" type="#_x0000_t202" filled="false" stroked="false">
              <v:textbox inset="0,0,0,0">
                <w:txbxContent>
                  <w:p>
                    <w:pPr>
                      <w:spacing w:line="133" w:lineRule="exact" w:before="0"/>
                      <w:ind w:left="0" w:right="0" w:firstLine="0"/>
                      <w:jc w:val="left"/>
                      <w:rPr>
                        <w:sz w:val="12"/>
                      </w:rPr>
                    </w:pPr>
                    <w:r>
                      <w:rPr>
                        <w:sz w:val="12"/>
                      </w:rPr>
                      <w:t>Overseas (b)</w:t>
                    </w:r>
                  </w:p>
                </w:txbxContent>
              </v:textbox>
              <w10:wrap type="none"/>
            </v:shape>
            <v:shape style="position:absolute;left:2827;top:2308;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w10:wrap type="none"/>
          </v:group>
        </w:pict>
      </w:r>
      <w:r>
        <w:rPr/>
        <w:pict>
          <v:line style="position:absolute;mso-position-horizontal-relative:page;mso-position-vertical-relative:paragraph;z-index:15787520" from="47.517999pt,9.214577pt" to="43.396999pt,9.214577pt" stroked="true" strokeweight=".5pt" strokecolor="#000000">
            <v:stroke dashstyle="solid"/>
            <w10:wrap type="none"/>
          </v:line>
        </w:pict>
      </w:r>
      <w:r>
        <w:rPr>
          <w:sz w:val="12"/>
        </w:rPr>
        <w:t>Per ce</w:t>
      </w:r>
      <w:r>
        <w:rPr>
          <w:sz w:val="12"/>
          <w:u w:val="single"/>
        </w:rPr>
        <w:t>n</w:t>
      </w:r>
      <w:r>
        <w:rPr>
          <w:sz w:val="12"/>
        </w:rPr>
        <w:t>t </w:t>
      </w:r>
      <w:r>
        <w:rPr>
          <w:position w:val="-6"/>
          <w:sz w:val="12"/>
        </w:rPr>
        <w:t>8</w:t>
      </w:r>
    </w:p>
    <w:p>
      <w:pPr>
        <w:pStyle w:val="BodyText"/>
        <w:rPr>
          <w:sz w:val="20"/>
        </w:rPr>
      </w:pPr>
    </w:p>
    <w:p>
      <w:pPr>
        <w:pStyle w:val="BodyText"/>
        <w:spacing w:before="5"/>
        <w:rPr>
          <w:sz w:val="20"/>
        </w:rPr>
      </w:pPr>
    </w:p>
    <w:p>
      <w:pPr>
        <w:spacing w:before="0"/>
        <w:ind w:left="0" w:right="325" w:firstLine="0"/>
        <w:jc w:val="right"/>
        <w:rPr>
          <w:sz w:val="12"/>
        </w:rPr>
      </w:pPr>
      <w:r>
        <w:rPr/>
        <w:pict>
          <v:line style="position:absolute;mso-position-horizontal-relative:page;mso-position-vertical-relative:paragraph;z-index:15783424" from="202.412007pt,3.434567pt" to="198.292007pt,3.434567pt" stroked="true" strokeweight=".5pt" strokecolor="#000000">
            <v:stroke dashstyle="solid"/>
            <w10:wrap type="none"/>
          </v:line>
        </w:pict>
      </w:r>
      <w:r>
        <w:rPr>
          <w:sz w:val="12"/>
        </w:rPr>
        <w:t>7</w:t>
      </w:r>
    </w:p>
    <w:p>
      <w:pPr>
        <w:pStyle w:val="BodyText"/>
        <w:rPr>
          <w:sz w:val="12"/>
        </w:rPr>
      </w:pPr>
    </w:p>
    <w:p>
      <w:pPr>
        <w:pStyle w:val="BodyText"/>
        <w:rPr>
          <w:sz w:val="12"/>
        </w:rPr>
      </w:pPr>
    </w:p>
    <w:p>
      <w:pPr>
        <w:pStyle w:val="BodyText"/>
        <w:spacing w:before="2"/>
        <w:rPr>
          <w:sz w:val="16"/>
        </w:rPr>
      </w:pPr>
    </w:p>
    <w:p>
      <w:pPr>
        <w:spacing w:before="0"/>
        <w:ind w:left="0" w:right="325" w:firstLine="0"/>
        <w:jc w:val="right"/>
        <w:rPr>
          <w:sz w:val="12"/>
        </w:rPr>
      </w:pPr>
      <w:r>
        <w:rPr/>
        <w:pict>
          <v:line style="position:absolute;mso-position-horizontal-relative:page;mso-position-vertical-relative:paragraph;z-index:15782912" from="202.412007pt,3.434567pt" to="198.292007pt,3.434567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spacing w:before="2"/>
        <w:rPr>
          <w:sz w:val="16"/>
        </w:rPr>
      </w:pPr>
    </w:p>
    <w:p>
      <w:pPr>
        <w:spacing w:before="0"/>
        <w:ind w:left="0" w:right="325" w:firstLine="0"/>
        <w:jc w:val="right"/>
        <w:rPr>
          <w:sz w:val="12"/>
        </w:rPr>
      </w:pPr>
      <w:r>
        <w:rPr/>
        <w:pict>
          <v:line style="position:absolute;mso-position-horizontal-relative:page;mso-position-vertical-relative:paragraph;z-index:15782400" from="202.412007pt,3.434567pt" to="198.292007pt,3.434567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0"/>
        <w:ind w:left="0" w:right="325" w:firstLine="0"/>
        <w:jc w:val="right"/>
        <w:rPr>
          <w:sz w:val="12"/>
        </w:rPr>
      </w:pPr>
      <w:r>
        <w:rPr/>
        <w:pict>
          <v:line style="position:absolute;mso-position-horizontal-relative:page;mso-position-vertical-relative:paragraph;z-index:15781888" from="202.412007pt,3.434567pt" to="198.292007pt,3.434567pt" stroked="true" strokeweight=".5pt" strokecolor="#000000">
            <v:stroke dashstyle="solid"/>
            <w10:wrap type="none"/>
          </v:line>
        </w:pict>
      </w:r>
      <w:r>
        <w:rPr>
          <w:sz w:val="12"/>
        </w:rPr>
        <w:t>4</w:t>
      </w:r>
    </w:p>
    <w:p>
      <w:pPr>
        <w:pStyle w:val="BodyText"/>
        <w:rPr>
          <w:sz w:val="10"/>
        </w:rPr>
      </w:pPr>
    </w:p>
    <w:p>
      <w:pPr>
        <w:spacing w:before="1"/>
        <w:ind w:left="2465" w:right="0" w:firstLine="0"/>
        <w:jc w:val="left"/>
        <w:rPr>
          <w:sz w:val="12"/>
        </w:rPr>
      </w:pPr>
      <w:r>
        <w:rPr>
          <w:sz w:val="12"/>
        </w:rPr>
        <w:t>5 November</w:t>
      </w:r>
    </w:p>
    <w:p>
      <w:pPr>
        <w:pStyle w:val="BodyText"/>
        <w:rPr>
          <w:sz w:val="12"/>
        </w:rPr>
      </w:pPr>
    </w:p>
    <w:p>
      <w:pPr>
        <w:spacing w:before="70"/>
        <w:ind w:left="0" w:right="325" w:firstLine="0"/>
        <w:jc w:val="right"/>
        <w:rPr>
          <w:sz w:val="12"/>
        </w:rPr>
      </w:pPr>
      <w:r>
        <w:rPr/>
        <w:pict>
          <v:group style="position:absolute;margin-left:43.609001pt;margin-top:7.522559pt;width:160.75pt;height:8.15pt;mso-position-horizontal-relative:page;mso-position-vertical-relative:paragraph;z-index:-20954112" coordorigin="872,150" coordsize="3215,163">
            <v:shape style="position:absolute;left:874;top:198;width:3174;height:107" coordorigin="875,199" coordsize="3174,107" path="m875,305l3835,305m1004,299l1004,259m1077,299l1077,259m1148,299l1148,259m1219,299l1219,259m1290,299l1290,259m1361,299l1361,259m1432,299l1432,259m1503,299l1503,259m1574,299l1574,259m1645,299l1645,259m1716,299l1716,259m1787,299l1787,259m1836,299l1836,259m1909,299l1909,259m1980,299l1980,259m2051,299l2051,259m2122,299l2122,259m2193,299l2193,259m2264,299l2264,259m2335,299l2335,259m2406,299l2406,259m2477,299l2477,259m2548,299l2548,259m2619,299l2619,259m2668,299l2668,259m2742,299l2742,259m2813,299l2813,259m2884,299l2884,259m2955,299l2955,259m3026,299l3026,259m3097,299l3097,259m3168,299l3168,259m3239,299l3239,259m3310,299l3310,259m3381,299l3381,259m3452,299l3452,259m3501,299l3501,259m3574,299l3574,259m3648,299l3648,259m3721,299l3721,259m3794,299l3794,259m3868,299l3868,259m1004,299l1004,199m1836,299l1836,199m2668,299l2668,199m3501,299l3501,199m4048,299l3680,299e" filled="false" stroked="true" strokeweight=".5pt" strokecolor="#000000">
              <v:path arrowok="t"/>
              <v:stroke dashstyle="solid"/>
            </v:shape>
            <v:shape style="position:absolute;left:931;top:155;width:3151;height:153" coordorigin="932,155" coordsize="3151,153" path="m4054,163l4054,193,4026,212,4082,228,4026,251,4082,270,4049,281,4048,308m960,155l960,186,932,205,988,221,932,244,988,263,955,274,954,301e" filled="false" stroked="true" strokeweight=".5pt" strokecolor="#000000">
              <v:path arrowok="t"/>
              <v:stroke dashstyle="solid"/>
            </v:shape>
            <v:shape style="position:absolute;left:872;top:160;width:3181;height:2" coordorigin="872,160" coordsize="3181,2" path="m4052,162l3970,162m955,160l872,160e" filled="false" stroked="true" strokeweight=".5pt" strokecolor="#000000">
              <v:path arrowok="t"/>
              <v:stroke dashstyle="solid"/>
            </v:shape>
            <w10:wrap type="none"/>
          </v:group>
        </w:pict>
      </w:r>
      <w:r>
        <w:rPr>
          <w:sz w:val="12"/>
        </w:rPr>
        <w:t>3</w:t>
      </w:r>
    </w:p>
    <w:p>
      <w:pPr>
        <w:tabs>
          <w:tab w:pos="1512" w:val="left" w:leader="none"/>
          <w:tab w:pos="2345" w:val="left" w:leader="none"/>
          <w:tab w:pos="2995" w:val="left" w:leader="none"/>
          <w:tab w:pos="3469" w:val="left" w:leader="none"/>
        </w:tabs>
        <w:spacing w:before="19"/>
        <w:ind w:left="705" w:right="0" w:firstLine="0"/>
        <w:jc w:val="left"/>
        <w:rPr>
          <w:sz w:val="12"/>
        </w:rPr>
      </w:pPr>
      <w:r>
        <w:rPr>
          <w:sz w:val="12"/>
        </w:rPr>
        <w:t>95</w:t>
        <w:tab/>
        <w:t>96</w:t>
        <w:tab/>
        <w:t>97</w:t>
        <w:tab/>
        <w:t>98</w:t>
        <w:tab/>
      </w:r>
      <w:r>
        <w:rPr>
          <w:position w:val="9"/>
          <w:sz w:val="12"/>
        </w:rPr>
        <w:t>0</w:t>
      </w:r>
    </w:p>
    <w:p>
      <w:pPr>
        <w:spacing w:line="208" w:lineRule="auto" w:before="94"/>
        <w:ind w:left="664" w:right="0" w:hanging="480"/>
        <w:jc w:val="left"/>
        <w:rPr>
          <w:sz w:val="12"/>
        </w:rPr>
      </w:pPr>
      <w:r>
        <w:rPr>
          <w:color w:val="231F20"/>
          <w:sz w:val="12"/>
        </w:rPr>
        <w:t>Sources: Bank of England, Bank for International Settlements, </w:t>
      </w:r>
      <w:r>
        <w:rPr>
          <w:i/>
          <w:color w:val="231F20"/>
          <w:sz w:val="12"/>
        </w:rPr>
        <w:t>Financial </w:t>
      </w:r>
      <w:r>
        <w:rPr>
          <w:i/>
          <w:color w:val="231F20"/>
          <w:sz w:val="12"/>
        </w:rPr>
        <w:t>Times, </w:t>
      </w:r>
      <w:r>
        <w:rPr>
          <w:color w:val="231F20"/>
          <w:sz w:val="12"/>
        </w:rPr>
        <w:t>LIFFE and Bloomberg.</w:t>
      </w:r>
    </w:p>
    <w:p>
      <w:pPr>
        <w:pStyle w:val="ListParagraph"/>
        <w:numPr>
          <w:ilvl w:val="0"/>
          <w:numId w:val="9"/>
        </w:numPr>
        <w:tabs>
          <w:tab w:pos="425" w:val="left" w:leader="none"/>
        </w:tabs>
        <w:spacing w:line="129" w:lineRule="exact" w:before="105" w:after="0"/>
        <w:ind w:left="424" w:right="0" w:hanging="241"/>
        <w:jc w:val="left"/>
        <w:rPr>
          <w:sz w:val="12"/>
        </w:rPr>
      </w:pPr>
      <w:r>
        <w:rPr>
          <w:color w:val="231F20"/>
          <w:sz w:val="12"/>
        </w:rPr>
        <w:t>Based on a combination of interest rate futures contracts.</w:t>
      </w:r>
    </w:p>
    <w:p>
      <w:pPr>
        <w:pStyle w:val="ListParagraph"/>
        <w:numPr>
          <w:ilvl w:val="0"/>
          <w:numId w:val="9"/>
        </w:numPr>
        <w:tabs>
          <w:tab w:pos="425" w:val="left" w:leader="none"/>
        </w:tabs>
        <w:spacing w:line="129" w:lineRule="exact" w:before="0" w:after="0"/>
        <w:ind w:left="424" w:right="0" w:hanging="241"/>
        <w:jc w:val="left"/>
        <w:rPr>
          <w:sz w:val="12"/>
        </w:rPr>
      </w:pPr>
      <w:r>
        <w:rPr>
          <w:color w:val="231F20"/>
          <w:sz w:val="12"/>
        </w:rPr>
        <w:t>Trade-weighted interest rates in the major six overseas economies.</w:t>
      </w:r>
    </w:p>
    <w:p>
      <w:pPr>
        <w:pStyle w:val="Heading5"/>
        <w:spacing w:line="272" w:lineRule="exact"/>
        <w:ind w:left="185"/>
      </w:pPr>
      <w:r>
        <w:rPr/>
        <w:br w:type="column"/>
      </w:r>
      <w:r>
        <w:rPr>
          <w:color w:val="231F20"/>
        </w:rPr>
        <w:t>expected to narrow.</w:t>
      </w:r>
    </w:p>
    <w:p>
      <w:pPr>
        <w:pStyle w:val="BodyText"/>
        <w:spacing w:before="5"/>
        <w:rPr>
          <w:sz w:val="26"/>
        </w:rPr>
      </w:pPr>
    </w:p>
    <w:p>
      <w:pPr>
        <w:spacing w:line="242" w:lineRule="auto" w:before="0"/>
        <w:ind w:left="184" w:right="247" w:firstLine="0"/>
        <w:jc w:val="left"/>
        <w:rPr>
          <w:sz w:val="24"/>
        </w:rPr>
      </w:pPr>
      <w:r>
        <w:rPr>
          <w:color w:val="231F20"/>
          <w:sz w:val="24"/>
        </w:rPr>
        <w:t>Distributions of expected three-month interest rates in the United Kingdom, derived from data on options prices, are shown in Chart 2.11. On 13 August, the date of publication of the previous </w:t>
      </w:r>
      <w:r>
        <w:rPr>
          <w:i/>
          <w:color w:val="231F20"/>
          <w:sz w:val="24"/>
        </w:rPr>
        <w:t>Report</w:t>
      </w:r>
      <w:r>
        <w:rPr>
          <w:color w:val="231F20"/>
          <w:sz w:val="24"/>
        </w:rPr>
        <w:t>, markets expected short-term interest rates to rise slightly by the end of the year, with a higher probability attached to interest rates being above the central band than below it. Further out, the central band was fairly flat in the first half of 1998. On 5 November, markets continued to expect a slight increase in interest rates from their current level. But rates were expected to fall from early 1998, though probabilities were skewed towards rates above the central band.</w:t>
      </w:r>
    </w:p>
    <w:p>
      <w:pPr>
        <w:pStyle w:val="BodyText"/>
        <w:spacing w:before="9"/>
        <w:rPr>
          <w:sz w:val="32"/>
        </w:rPr>
      </w:pPr>
    </w:p>
    <w:p>
      <w:pPr>
        <w:pStyle w:val="Heading6"/>
        <w:ind w:left="184"/>
        <w:rPr>
          <w:i/>
        </w:rPr>
      </w:pPr>
      <w:r>
        <w:rPr>
          <w:i/>
          <w:color w:val="009483"/>
        </w:rPr>
        <w:t>Long-term interest rates</w:t>
      </w:r>
    </w:p>
    <w:p>
      <w:pPr>
        <w:spacing w:line="242" w:lineRule="auto" w:before="124"/>
        <w:ind w:left="184" w:right="191" w:firstLine="0"/>
        <w:jc w:val="left"/>
        <w:rPr>
          <w:sz w:val="24"/>
        </w:rPr>
      </w:pPr>
      <w:r>
        <w:rPr>
          <w:color w:val="231F20"/>
          <w:sz w:val="24"/>
        </w:rPr>
        <w:t>The yield on ten-year gilts fell by around 50 basis points between the August and November </w:t>
      </w:r>
      <w:r>
        <w:rPr>
          <w:i/>
          <w:color w:val="231F20"/>
          <w:sz w:val="24"/>
        </w:rPr>
        <w:t>Reports</w:t>
      </w:r>
      <w:r>
        <w:rPr>
          <w:color w:val="231F20"/>
          <w:sz w:val="24"/>
        </w:rPr>
        <w:t>, having</w:t>
      </w:r>
    </w:p>
    <w:p>
      <w:pPr>
        <w:spacing w:after="0" w:line="242" w:lineRule="auto"/>
        <w:jc w:val="left"/>
        <w:rPr>
          <w:sz w:val="24"/>
        </w:rPr>
        <w:sectPr>
          <w:type w:val="continuous"/>
          <w:pgSz w:w="11880" w:h="16840"/>
          <w:pgMar w:top="1040" w:bottom="280" w:left="640" w:right="640"/>
          <w:cols w:num="2" w:equalWidth="0">
            <w:col w:w="3858" w:space="921"/>
            <w:col w:w="5821"/>
          </w:cols>
        </w:sectPr>
      </w:pPr>
    </w:p>
    <w:p>
      <w:pPr>
        <w:pStyle w:val="BodyText"/>
        <w:rPr>
          <w:sz w:val="20"/>
        </w:rPr>
      </w:pPr>
    </w:p>
    <w:p>
      <w:pPr>
        <w:spacing w:after="0"/>
        <w:rPr>
          <w:sz w:val="20"/>
        </w:rPr>
        <w:sectPr>
          <w:pgSz w:w="11880" w:h="16840"/>
          <w:pgMar w:header="566" w:footer="597" w:top="760" w:bottom="780" w:left="640" w:right="640"/>
        </w:sectPr>
      </w:pPr>
    </w:p>
    <w:p>
      <w:pPr>
        <w:pStyle w:val="BodyText"/>
        <w:spacing w:before="3"/>
        <w:rPr>
          <w:sz w:val="20"/>
        </w:rPr>
      </w:pPr>
    </w:p>
    <w:p>
      <w:pPr>
        <w:pStyle w:val="Heading9"/>
        <w:spacing w:before="0"/>
        <w:ind w:left="169"/>
      </w:pPr>
      <w:bookmarkStart w:name="Exchange rates" w:id="32"/>
      <w:bookmarkEnd w:id="32"/>
      <w:r>
        <w:rPr>
          <w:b w:val="0"/>
        </w:rPr>
      </w:r>
      <w:bookmarkStart w:name="_bookmark14" w:id="33"/>
      <w:bookmarkEnd w:id="33"/>
      <w:r>
        <w:rPr>
          <w:b w:val="0"/>
        </w:rPr>
      </w:r>
      <w:r>
        <w:rPr>
          <w:color w:val="0093C1"/>
        </w:rPr>
        <w:t>Chart 2.11</w:t>
      </w:r>
    </w:p>
    <w:p>
      <w:pPr>
        <w:spacing w:line="249" w:lineRule="auto" w:before="10"/>
        <w:ind w:left="169" w:right="0" w:firstLine="0"/>
        <w:jc w:val="left"/>
        <w:rPr>
          <w:b/>
          <w:sz w:val="20"/>
        </w:rPr>
      </w:pPr>
      <w:r>
        <w:rPr>
          <w:b/>
          <w:color w:val="0093C1"/>
          <w:sz w:val="20"/>
        </w:rPr>
        <w:t>Implied distributions for sterling three-month interest rates</w:t>
      </w:r>
    </w:p>
    <w:p>
      <w:pPr>
        <w:spacing w:before="37"/>
        <w:ind w:left="236" w:right="0" w:firstLine="0"/>
        <w:jc w:val="left"/>
        <w:rPr>
          <w:sz w:val="12"/>
        </w:rPr>
      </w:pPr>
      <w:r>
        <w:rPr>
          <w:sz w:val="12"/>
        </w:rPr>
        <w:t>Expectations as at c.o.b 13 Aug. 1997</w:t>
      </w:r>
    </w:p>
    <w:p>
      <w:pPr>
        <w:pStyle w:val="BodyText"/>
        <w:spacing w:line="20" w:lineRule="exact"/>
        <w:ind w:left="244"/>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1"/>
        <w:rPr>
          <w:sz w:val="10"/>
        </w:rPr>
      </w:pPr>
      <w:r>
        <w:rPr/>
        <w:pict>
          <v:shape style="position:absolute;margin-left:44.470001pt;margin-top:8.003055pt;width:3.75pt;height:.1pt;mso-position-horizontal-relative:page;mso-position-vertical-relative:paragraph;z-index:-15661056;mso-wrap-distance-left:0;mso-wrap-distance-right:0" coordorigin="889,160" coordsize="75,0" path="m889,160l964,160e" filled="false" stroked="true" strokeweight=".5pt" strokecolor="#000000">
            <v:path arrowok="t"/>
            <v:stroke dashstyle="solid"/>
            <w10:wrap type="topAndBottom"/>
          </v:shape>
        </w:pict>
      </w:r>
      <w:r>
        <w:rPr/>
        <w:pict>
          <v:shape style="position:absolute;margin-left:44.470001pt;margin-top:28.339054pt;width:3.75pt;height:.1pt;mso-position-horizontal-relative:page;mso-position-vertical-relative:paragraph;z-index:-15660544;mso-wrap-distance-left:0;mso-wrap-distance-right:0" coordorigin="889,567" coordsize="75,0" path="m889,567l964,567e" filled="false" stroked="true" strokeweight=".5pt" strokecolor="#000000">
            <v:path arrowok="t"/>
            <v:stroke dashstyle="solid"/>
            <w10:wrap type="topAndBottom"/>
          </v:shape>
        </w:pict>
      </w:r>
      <w:r>
        <w:rPr/>
        <w:pict>
          <v:shape style="position:absolute;margin-left:44.470001pt;margin-top:48.673054pt;width:3.75pt;height:.1pt;mso-position-horizontal-relative:page;mso-position-vertical-relative:paragraph;z-index:-15660032;mso-wrap-distance-left:0;mso-wrap-distance-right:0" coordorigin="889,973" coordsize="75,0" path="m889,973l964,973e" filled="false" stroked="true" strokeweight=".5pt" strokecolor="#000000">
            <v:path arrowok="t"/>
            <v:stroke dashstyle="solid"/>
            <w10:wrap type="topAndBottom"/>
          </v:shape>
        </w:pict>
      </w:r>
      <w:r>
        <w:rPr/>
        <w:pict>
          <v:shape style="position:absolute;margin-left:44.470001pt;margin-top:69.007057pt;width:3.75pt;height:.1pt;mso-position-horizontal-relative:page;mso-position-vertical-relative:paragraph;z-index:-15659520;mso-wrap-distance-left:0;mso-wrap-distance-right:0" coordorigin="889,1380" coordsize="75,0" path="m889,1380l964,1380e" filled="false" stroked="true" strokeweight=".5pt" strokecolor="#000000">
            <v:path arrowok="t"/>
            <v:stroke dashstyle="solid"/>
            <w10:wrap type="topAndBottom"/>
          </v:shape>
        </w:pict>
      </w:r>
    </w:p>
    <w:p>
      <w:pPr>
        <w:pStyle w:val="BodyText"/>
        <w:spacing w:before="6"/>
        <w:rPr>
          <w:sz w:val="28"/>
        </w:rPr>
      </w:pPr>
    </w:p>
    <w:p>
      <w:pPr>
        <w:pStyle w:val="BodyText"/>
        <w:spacing w:before="6"/>
        <w:rPr>
          <w:sz w:val="28"/>
        </w:rPr>
      </w:pPr>
    </w:p>
    <w:p>
      <w:pPr>
        <w:pStyle w:val="BodyText"/>
        <w:spacing w:before="6"/>
        <w:rPr>
          <w:sz w:val="28"/>
        </w:rPr>
      </w:pPr>
    </w:p>
    <w:p>
      <w:pPr>
        <w:pStyle w:val="BodyText"/>
        <w:rPr>
          <w:sz w:val="20"/>
        </w:rPr>
      </w:pPr>
    </w:p>
    <w:p>
      <w:pPr>
        <w:pStyle w:val="BodyText"/>
        <w:rPr>
          <w:sz w:val="20"/>
        </w:rPr>
      </w:pPr>
    </w:p>
    <w:p>
      <w:pPr>
        <w:pStyle w:val="BodyText"/>
        <w:spacing w:before="10"/>
        <w:rPr>
          <w:sz w:val="23"/>
        </w:rPr>
      </w:pPr>
      <w:r>
        <w:rPr/>
        <w:pict>
          <v:shape style="position:absolute;margin-left:44.470001pt;margin-top:15.972953pt;width:3.75pt;height:.1pt;mso-position-horizontal-relative:page;mso-position-vertical-relative:paragraph;z-index:-15659008;mso-wrap-distance-left:0;mso-wrap-distance-right:0" coordorigin="889,319" coordsize="75,0" path="m889,319l964,319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spacing w:line="116" w:lineRule="exact" w:before="0"/>
        <w:ind w:left="45" w:right="0" w:firstLine="0"/>
        <w:jc w:val="left"/>
        <w:rPr>
          <w:sz w:val="12"/>
        </w:rPr>
      </w:pPr>
      <w:r>
        <w:rPr>
          <w:sz w:val="12"/>
        </w:rPr>
        <w:t>Per cent</w:t>
      </w:r>
    </w:p>
    <w:p>
      <w:pPr>
        <w:pStyle w:val="BodyText"/>
        <w:spacing w:before="5"/>
        <w:rPr>
          <w:sz w:val="2"/>
        </w:rPr>
      </w:pPr>
    </w:p>
    <w:p>
      <w:pPr>
        <w:pStyle w:val="BodyText"/>
        <w:spacing w:line="20" w:lineRule="exact"/>
        <w:ind w:left="366"/>
        <w:rPr>
          <w:sz w:val="2"/>
        </w:rPr>
      </w:pPr>
      <w:r>
        <w:rPr>
          <w:sz w:val="2"/>
        </w:rPr>
        <w:pict>
          <v:group style="width:3.75pt;height:.5pt;mso-position-horizontal-relative:char;mso-position-vertical-relative:line" coordorigin="0,0" coordsize="75,10">
            <v:line style="position:absolute" from="74,5" to="0,5" stroked="true" strokeweight=".5pt" strokecolor="#000000">
              <v:stroke dashstyle="solid"/>
            </v:line>
          </v:group>
        </w:pict>
      </w:r>
      <w:r>
        <w:rPr>
          <w:sz w:val="2"/>
        </w:rPr>
      </w:r>
    </w:p>
    <w:p>
      <w:pPr>
        <w:spacing w:line="68" w:lineRule="exact" w:before="0"/>
        <w:ind w:left="487" w:right="0" w:firstLine="0"/>
        <w:jc w:val="left"/>
        <w:rPr>
          <w:sz w:val="12"/>
        </w:rPr>
      </w:pPr>
      <w:r>
        <w:rPr>
          <w:w w:val="105"/>
          <w:sz w:val="12"/>
        </w:rPr>
        <w:t>9.0</w:t>
      </w:r>
    </w:p>
    <w:p>
      <w:pPr>
        <w:pStyle w:val="BodyText"/>
        <w:rPr>
          <w:sz w:val="12"/>
        </w:rPr>
      </w:pPr>
    </w:p>
    <w:p>
      <w:pPr>
        <w:pStyle w:val="BodyText"/>
        <w:spacing w:before="4"/>
        <w:rPr>
          <w:sz w:val="11"/>
        </w:rPr>
      </w:pPr>
    </w:p>
    <w:p>
      <w:pPr>
        <w:spacing w:before="0"/>
        <w:ind w:left="0" w:right="38" w:firstLine="0"/>
        <w:jc w:val="right"/>
        <w:rPr>
          <w:sz w:val="12"/>
        </w:rPr>
      </w:pPr>
      <w:r>
        <w:rPr/>
        <w:pict>
          <v:group style="position:absolute;margin-left:44.470001pt;margin-top:.946498pt;width:144.35pt;height:114.4pt;mso-position-horizontal-relative:page;mso-position-vertical-relative:paragraph;z-index:-20935168" coordorigin="889,19" coordsize="2887,2288">
            <v:shape style="position:absolute;left:3027;top:18;width:748;height:1819" coordorigin="3028,19" coordsize="748,1819" path="m3776,19l3714,99,3630,178,3568,258,3443,409,3360,485,3173,981,3090,1138,3028,1295,3090,1288,3173,1281,3360,1420,3443,1465,3568,1557,3630,1650,3714,1744,3776,1837,3776,19xe" filled="true" fillcolor="#bfd0e6" stroked="false">
              <v:path arrowok="t"/>
              <v:fill type="solid"/>
            </v:shape>
            <v:shape style="position:absolute;left:3027;top:491;width:748;height:1066" coordorigin="3028,491" coordsize="748,1066" path="m3776,491l3714,531,3630,571,3568,611,3443,734,3360,795,3173,1039,3090,1167,3028,1296,3090,1262,3173,1228,3360,1258,3443,1296,3568,1373,3630,1434,3714,1496,3776,1557,3776,491xe" filled="true" fillcolor="#8aadd3" stroked="false">
              <v:path arrowok="t"/>
              <v:fill type="solid"/>
            </v:shape>
            <v:shape style="position:absolute;left:3027;top:706;width:748;height:683" coordorigin="3028,707" coordsize="748,683" path="m3776,707l3714,732,3630,756,3568,781,3443,859,3360,897,3173,1072,3090,1184,3028,1296,3090,1246,3173,1195,3360,1181,3443,1208,3568,1261,3630,1304,3714,1347,3776,1389,3776,707xe" filled="true" fillcolor="#5991c2" stroked="false">
              <v:path arrowok="t"/>
              <v:fill type="solid"/>
            </v:shape>
            <v:shape style="position:absolute;left:3026;top:863;width:750;height:432" coordorigin="3027,864" coordsize="750,432" path="m3775,864l3712,875,3629,887,3567,898,3442,942,3359,963,3172,1098,3089,1196,3027,1295,3089,1232,3172,1168,3235,1153,3236,1153,3306,1138,3368,1122,3451,1138,3576,1168,3638,1196,3721,1223,3776,1251,3775,864xe" filled="true" fillcolor="#0e7ab3" stroked="false">
              <v:path arrowok="t"/>
              <v:fill type="solid"/>
            </v:shape>
            <v:shape style="position:absolute;left:3027;top:994;width:748;height:300" coordorigin="3028,995" coordsize="748,300" path="m3568,995l3443,1011,3360,1019,3173,1122,3090,1208,3028,1295,3090,1220,3173,1145,3360,1070,3443,1074,3568,1082,3630,1096,3714,1110,3776,1124,3776,998,3568,995xe" filled="true" fillcolor="#0066a5" stroked="false">
              <v:path arrowok="t"/>
              <v:fill type="solid"/>
            </v:shape>
            <v:line style="position:absolute" from="889,1687" to="964,1687" stroked="true" strokeweight=".5pt" strokecolor="#000000">
              <v:stroke dashstyle="solid"/>
            </v:line>
            <v:shape style="position:absolute;left:1009;top:1469;width:125;height:149" coordorigin="1009,1470" coordsize="125,149" path="m1072,1470l1009,1618m1134,1537l1072,1470e" filled="false" stroked="true" strokeweight="1pt" strokecolor="#0066a5">
              <v:path arrowok="t"/>
              <v:stroke dashstyle="solid"/>
            </v:shape>
            <v:line style="position:absolute" from="1124,1533" to="1206,1533" stroked="true" strokeweight="1.366pt" strokecolor="#0066a5">
              <v:stroke dashstyle="solid"/>
            </v:line>
            <v:shape style="position:absolute;left:1196;top:1429;width:208;height:132" coordorigin="1196,1429" coordsize="208,132" path="m1280,1490l1196,1530m1342,1560l1280,1490m1404,1429l1342,1560e" filled="false" stroked="true" strokeweight="1pt" strokecolor="#0066a5">
              <v:path arrowok="t"/>
              <v:stroke dashstyle="solid"/>
            </v:shape>
            <v:line style="position:absolute" from="1394,1432" to="1477,1432" stroked="true" strokeweight="1.252pt" strokecolor="#0066a5">
              <v:stroke dashstyle="solid"/>
            </v:line>
            <v:shape style="position:absolute;left:1466;top:1296;width:1559;height:1000" coordorigin="1467,1296" coordsize="1559,1000" path="m1550,1495l1467,1434m1612,1482l1550,1495m1674,1557l1612,1482m1737,1686l1674,1557m1820,1781l1737,1686m1882,1941l1820,1781m1944,2033l1882,1941m2007,2081l1944,2033m2090,2056l2007,2081m2152,2202l2090,2056m2215,2296l2152,2202m2277,2287l2215,2296m2360,2262l2277,2287m2422,2125l2360,2262m2485,1831l2422,2125m2547,1790l2485,1831m2630,1814l2547,1790m2692,1917l2630,1814m2755,1917l2692,1917m2817,1768l2755,1917m2900,1715l2817,1768m2963,1540l2900,1715m3025,1296l2963,1540e" filled="false" stroked="true" strokeweight="1pt" strokecolor="#0066a5">
              <v:path arrowok="t"/>
              <v:stroke dashstyle="solid"/>
            </v:shape>
            <w10:wrap type="none"/>
          </v:group>
        </w:pict>
      </w:r>
      <w:r>
        <w:rPr/>
        <w:pict>
          <v:line style="position:absolute;mso-position-horizontal-relative:page;mso-position-vertical-relative:paragraph;z-index:15806464" from="205.493999pt,3.340497pt" to="201.779999pt,3.340497pt" stroked="true" strokeweight=".5pt" strokecolor="#000000">
            <v:stroke dashstyle="solid"/>
            <w10:wrap type="none"/>
          </v:line>
        </w:pict>
      </w:r>
      <w:r>
        <w:rPr>
          <w:spacing w:val="-1"/>
          <w:w w:val="105"/>
          <w:sz w:val="12"/>
        </w:rPr>
        <w:t>8.5</w:t>
      </w:r>
    </w:p>
    <w:p>
      <w:pPr>
        <w:pStyle w:val="BodyText"/>
        <w:rPr>
          <w:sz w:val="12"/>
        </w:rPr>
      </w:pPr>
    </w:p>
    <w:p>
      <w:pPr>
        <w:pStyle w:val="BodyText"/>
        <w:spacing w:before="4"/>
        <w:rPr>
          <w:sz w:val="11"/>
        </w:rPr>
      </w:pPr>
    </w:p>
    <w:p>
      <w:pPr>
        <w:spacing w:before="0"/>
        <w:ind w:left="0" w:right="38" w:firstLine="0"/>
        <w:jc w:val="right"/>
        <w:rPr>
          <w:sz w:val="12"/>
        </w:rPr>
      </w:pPr>
      <w:r>
        <w:rPr/>
        <w:pict>
          <v:line style="position:absolute;mso-position-horizontal-relative:page;mso-position-vertical-relative:paragraph;z-index:15805952" from="205.493999pt,3.342842pt" to="201.779999pt,3.342842pt" stroked="true" strokeweight=".5pt" strokecolor="#000000">
            <v:stroke dashstyle="solid"/>
            <w10:wrap type="none"/>
          </v:line>
        </w:pict>
      </w:r>
      <w:r>
        <w:rPr>
          <w:spacing w:val="-1"/>
          <w:w w:val="105"/>
          <w:sz w:val="12"/>
        </w:rPr>
        <w:t>8.0</w:t>
      </w:r>
    </w:p>
    <w:p>
      <w:pPr>
        <w:pStyle w:val="BodyText"/>
        <w:rPr>
          <w:sz w:val="12"/>
        </w:rPr>
      </w:pPr>
    </w:p>
    <w:p>
      <w:pPr>
        <w:pStyle w:val="BodyText"/>
        <w:spacing w:before="4"/>
        <w:rPr>
          <w:sz w:val="11"/>
        </w:rPr>
      </w:pPr>
    </w:p>
    <w:p>
      <w:pPr>
        <w:spacing w:before="0"/>
        <w:ind w:left="0" w:right="38" w:firstLine="0"/>
        <w:jc w:val="right"/>
        <w:rPr>
          <w:sz w:val="12"/>
        </w:rPr>
      </w:pPr>
      <w:r>
        <w:rPr/>
        <w:pict>
          <v:line style="position:absolute;mso-position-horizontal-relative:page;mso-position-vertical-relative:paragraph;z-index:15805440" from="205.493999pt,3.342186pt" to="201.779999pt,3.342186pt" stroked="true" strokeweight=".5pt" strokecolor="#000000">
            <v:stroke dashstyle="solid"/>
            <w10:wrap type="none"/>
          </v:line>
        </w:pict>
      </w:r>
      <w:r>
        <w:rPr>
          <w:spacing w:val="-1"/>
          <w:w w:val="105"/>
          <w:sz w:val="12"/>
        </w:rPr>
        <w:t>7.5</w:t>
      </w:r>
    </w:p>
    <w:p>
      <w:pPr>
        <w:pStyle w:val="BodyText"/>
        <w:rPr>
          <w:sz w:val="12"/>
        </w:rPr>
      </w:pPr>
    </w:p>
    <w:p>
      <w:pPr>
        <w:pStyle w:val="BodyText"/>
        <w:spacing w:before="4"/>
        <w:rPr>
          <w:sz w:val="11"/>
        </w:rPr>
      </w:pPr>
    </w:p>
    <w:p>
      <w:pPr>
        <w:spacing w:before="1"/>
        <w:ind w:left="0" w:right="38" w:firstLine="0"/>
        <w:jc w:val="right"/>
        <w:rPr>
          <w:sz w:val="12"/>
        </w:rPr>
      </w:pPr>
      <w:r>
        <w:rPr/>
        <w:pict>
          <v:line style="position:absolute;mso-position-horizontal-relative:page;mso-position-vertical-relative:paragraph;z-index:15804928" from="205.493999pt,3.39153pt" to="201.779999pt,3.39153pt" stroked="true" strokeweight=".5pt" strokecolor="#000000">
            <v:stroke dashstyle="solid"/>
            <w10:wrap type="none"/>
          </v:line>
        </w:pict>
      </w:r>
      <w:r>
        <w:rPr>
          <w:spacing w:val="-1"/>
          <w:w w:val="105"/>
          <w:sz w:val="12"/>
        </w:rPr>
        <w:t>7.0</w:t>
      </w:r>
    </w:p>
    <w:p>
      <w:pPr>
        <w:pStyle w:val="BodyText"/>
        <w:rPr>
          <w:sz w:val="12"/>
        </w:rPr>
      </w:pPr>
    </w:p>
    <w:p>
      <w:pPr>
        <w:pStyle w:val="BodyText"/>
        <w:spacing w:before="4"/>
        <w:rPr>
          <w:sz w:val="11"/>
        </w:rPr>
      </w:pPr>
    </w:p>
    <w:p>
      <w:pPr>
        <w:spacing w:before="0"/>
        <w:ind w:left="0" w:right="38" w:firstLine="0"/>
        <w:jc w:val="right"/>
        <w:rPr>
          <w:sz w:val="12"/>
        </w:rPr>
      </w:pPr>
      <w:r>
        <w:rPr/>
        <w:pict>
          <v:line style="position:absolute;mso-position-horizontal-relative:page;mso-position-vertical-relative:paragraph;z-index:15804416" from="205.493999pt,3.340874pt" to="201.779999pt,3.340874pt" stroked="true" strokeweight=".5pt" strokecolor="#000000">
            <v:stroke dashstyle="solid"/>
            <w10:wrap type="none"/>
          </v:line>
        </w:pict>
      </w:r>
      <w:r>
        <w:rPr>
          <w:spacing w:val="-1"/>
          <w:w w:val="105"/>
          <w:sz w:val="12"/>
        </w:rPr>
        <w:t>6.5</w:t>
      </w:r>
    </w:p>
    <w:p>
      <w:pPr>
        <w:pStyle w:val="BodyText"/>
        <w:rPr>
          <w:sz w:val="12"/>
        </w:rPr>
      </w:pPr>
    </w:p>
    <w:p>
      <w:pPr>
        <w:pStyle w:val="BodyText"/>
        <w:spacing w:before="4"/>
        <w:rPr>
          <w:sz w:val="11"/>
        </w:rPr>
      </w:pPr>
    </w:p>
    <w:p>
      <w:pPr>
        <w:spacing w:before="0"/>
        <w:ind w:left="0" w:right="38" w:firstLine="0"/>
        <w:jc w:val="right"/>
        <w:rPr>
          <w:sz w:val="12"/>
        </w:rPr>
      </w:pPr>
      <w:r>
        <w:rPr/>
        <w:pict>
          <v:line style="position:absolute;mso-position-horizontal-relative:page;mso-position-vertical-relative:paragraph;z-index:15803904" from="205.493999pt,3.342219pt" to="201.779999pt,3.342219pt" stroked="true" strokeweight=".5pt" strokecolor="#000000">
            <v:stroke dashstyle="solid"/>
            <w10:wrap type="none"/>
          </v:line>
        </w:pict>
      </w:r>
      <w:r>
        <w:rPr>
          <w:spacing w:val="-1"/>
          <w:w w:val="105"/>
          <w:sz w:val="12"/>
        </w:rPr>
        <w:t>6.0</w:t>
      </w:r>
    </w:p>
    <w:p>
      <w:pPr>
        <w:pStyle w:val="BodyText"/>
        <w:rPr>
          <w:sz w:val="12"/>
        </w:rPr>
      </w:pPr>
    </w:p>
    <w:p>
      <w:pPr>
        <w:pStyle w:val="BodyText"/>
        <w:spacing w:before="4"/>
        <w:rPr>
          <w:sz w:val="11"/>
        </w:rPr>
      </w:pPr>
    </w:p>
    <w:p>
      <w:pPr>
        <w:spacing w:line="128" w:lineRule="exact" w:before="0"/>
        <w:ind w:left="487" w:right="0" w:firstLine="0"/>
        <w:jc w:val="left"/>
        <w:rPr>
          <w:sz w:val="12"/>
        </w:rPr>
      </w:pPr>
      <w:r>
        <w:rPr/>
        <w:pict>
          <v:group style="position:absolute;margin-left:43.695999pt;margin-top:2.838563pt;width:163.050pt;height:7.6pt;mso-position-horizontal-relative:page;mso-position-vertical-relative:paragraph;z-index:15803392" coordorigin="874,57" coordsize="3261,152">
            <v:shape style="position:absolute;left:1011;top:62;width:3099;height:140" coordorigin="1011,62" coordsize="3099,140" path="m1031,201l4104,201m1011,193l1011,62m1077,200l1077,128m1143,200l1143,128m1209,200l1209,128m1275,200l1275,128m1341,200l1341,128m1407,200l1407,128m1473,200l1473,128m1539,200l1539,128m1605,200l1605,128m1671,200l1671,128m1737,200l1737,128m1803,192l1803,70m1869,200l1869,128m1936,200l1936,128m2002,200l2002,128m2078,200l2078,128m2144,195l2144,123m2220,200l2220,128m2281,200l2281,128m2352,200l2352,128m2418,200l2418,128m2484,200l2484,128m2550,195l2550,123m2631,202l2631,70m2692,200l2692,128m2758,197l2758,126m2824,195l2824,123m2890,195l2890,123m2955,197l2955,126m3017,195l3017,123m3088,195l3088,123m3164,200l3164,128m3235,195l3235,123m3311,195l3311,123m3377,195l3377,123m3443,197l3443,75m3509,195l3509,123m3575,195l3575,123m3641,200l3641,128m3697,195l3697,123m3847,198l3847,127m3779,196l3779,125m3913,200l3913,128m3982,200l3982,128m4110,67l4036,67e" filled="false" stroked="true" strokeweight=".5pt" strokecolor="#000000">
              <v:path arrowok="t"/>
              <v:stroke dashstyle="solid"/>
            </v:shape>
            <v:line style="position:absolute" from="967,65" to="904,65" stroked="true" strokeweight=".5pt" strokecolor="#000000">
              <v:stroke dashstyle="solid"/>
            </v:line>
            <v:shape style="position:absolute;left:873;top:61;width:3256;height:142" coordorigin="874,62" coordsize="3256,142" path="m4108,65l4108,92,4087,108,4129,121,4087,141,4129,158,4105,168,4106,199m972,62l972,88,951,104,993,118,951,138,993,155,969,165,968,203m1062,199l874,199e" filled="false" stroked="true" strokeweight=".5pt" strokecolor="#000000">
              <v:path arrowok="t"/>
              <v:stroke dashstyle="solid"/>
            </v:shape>
            <w10:wrap type="none"/>
          </v:group>
        </w:pict>
      </w:r>
      <w:r>
        <w:rPr>
          <w:w w:val="105"/>
          <w:sz w:val="12"/>
        </w:rPr>
        <w:t>5.5</w:t>
      </w:r>
    </w:p>
    <w:p>
      <w:pPr>
        <w:spacing w:line="108" w:lineRule="exact" w:before="0"/>
        <w:ind w:left="489" w:right="0" w:firstLine="0"/>
        <w:jc w:val="left"/>
        <w:rPr>
          <w:sz w:val="12"/>
        </w:rPr>
      </w:pPr>
      <w:r>
        <w:rPr>
          <w:sz w:val="12"/>
        </w:rPr>
        <w:t>0.0</w:t>
      </w:r>
    </w:p>
    <w:p>
      <w:pPr>
        <w:pStyle w:val="Heading5"/>
        <w:spacing w:line="242" w:lineRule="auto" w:before="220"/>
        <w:ind w:left="169" w:right="693"/>
      </w:pPr>
      <w:r>
        <w:rPr/>
        <w:br w:type="column"/>
      </w:r>
      <w:r>
        <w:rPr>
          <w:color w:val="231F20"/>
        </w:rPr>
        <w:t>fallen by an average of around 15 basis points each quarter for the previous two years.</w:t>
      </w:r>
      <w:r>
        <w:rPr>
          <w:color w:val="231F20"/>
          <w:position w:val="5"/>
          <w:sz w:val="16"/>
        </w:rPr>
        <w:t>(1) </w:t>
      </w:r>
      <w:r>
        <w:rPr>
          <w:color w:val="231F20"/>
        </w:rPr>
        <w:t>The yield on ten-year gilts is now around 6.6%, compared with</w:t>
      </w:r>
    </w:p>
    <w:p>
      <w:pPr>
        <w:spacing w:line="242" w:lineRule="auto" w:before="4"/>
        <w:ind w:left="170" w:right="230" w:hanging="1"/>
        <w:jc w:val="left"/>
        <w:rPr>
          <w:sz w:val="24"/>
        </w:rPr>
      </w:pPr>
      <w:r>
        <w:rPr>
          <w:color w:val="231F20"/>
          <w:sz w:val="24"/>
        </w:rPr>
        <w:t>around 7.6% a year ago. The yield on a trade-weighted average of overseas government bonds fell by around 20 basis points. On 5 </w:t>
      </w:r>
      <w:r>
        <w:rPr>
          <w:color w:val="231F20"/>
          <w:spacing w:val="-3"/>
          <w:sz w:val="24"/>
        </w:rPr>
        <w:t>November, </w:t>
      </w:r>
      <w:r>
        <w:rPr>
          <w:color w:val="231F20"/>
          <w:sz w:val="24"/>
        </w:rPr>
        <w:t>the yield on UK gilts was about 140 basis points higher than the average </w:t>
      </w:r>
      <w:r>
        <w:rPr>
          <w:color w:val="231F20"/>
          <w:spacing w:val="-4"/>
          <w:sz w:val="24"/>
        </w:rPr>
        <w:t>yield </w:t>
      </w:r>
      <w:r>
        <w:rPr>
          <w:color w:val="231F20"/>
          <w:sz w:val="24"/>
        </w:rPr>
        <w:t>on overseas bonds, a smaller margin than at the time of the August</w:t>
      </w:r>
      <w:r>
        <w:rPr>
          <w:color w:val="231F20"/>
          <w:spacing w:val="-1"/>
          <w:sz w:val="24"/>
        </w:rPr>
        <w:t> </w:t>
      </w:r>
      <w:r>
        <w:rPr>
          <w:i/>
          <w:color w:val="231F20"/>
          <w:sz w:val="24"/>
        </w:rPr>
        <w:t>Report</w:t>
      </w:r>
      <w:r>
        <w:rPr>
          <w:color w:val="231F20"/>
          <w:sz w:val="24"/>
        </w:rPr>
        <w:t>.</w:t>
      </w:r>
    </w:p>
    <w:p>
      <w:pPr>
        <w:pStyle w:val="BodyText"/>
        <w:spacing w:before="6"/>
        <w:rPr>
          <w:sz w:val="28"/>
        </w:rPr>
      </w:pPr>
    </w:p>
    <w:p>
      <w:pPr>
        <w:spacing w:line="242" w:lineRule="auto" w:before="0"/>
        <w:ind w:left="169" w:right="122" w:firstLine="0"/>
        <w:jc w:val="left"/>
        <w:rPr>
          <w:sz w:val="24"/>
        </w:rPr>
      </w:pPr>
      <w:r>
        <w:rPr>
          <w:color w:val="231F20"/>
          <w:sz w:val="24"/>
        </w:rPr>
        <w:t>Implied forward rates for the United Kingdom suggest that expected short-term interest rates have fallen since the August </w:t>
      </w:r>
      <w:r>
        <w:rPr>
          <w:i/>
          <w:color w:val="231F20"/>
          <w:sz w:val="24"/>
        </w:rPr>
        <w:t>Report</w:t>
      </w:r>
      <w:r>
        <w:rPr>
          <w:color w:val="231F20"/>
          <w:sz w:val="24"/>
        </w:rPr>
        <w:t>, by more than bond yields at longer maturities. Expected short-term interest rates are around</w:t>
      </w:r>
    </w:p>
    <w:p>
      <w:pPr>
        <w:spacing w:after="0" w:line="242" w:lineRule="auto"/>
        <w:jc w:val="left"/>
        <w:rPr>
          <w:sz w:val="24"/>
        </w:rPr>
        <w:sectPr>
          <w:type w:val="continuous"/>
          <w:pgSz w:w="11880" w:h="16840"/>
          <w:pgMar w:top="1040" w:bottom="280" w:left="640" w:right="640"/>
          <w:cols w:num="3" w:equalWidth="0">
            <w:col w:w="2976" w:space="40"/>
            <w:col w:w="684" w:space="1090"/>
            <w:col w:w="5810"/>
          </w:cols>
        </w:sectPr>
      </w:pPr>
    </w:p>
    <w:p>
      <w:pPr>
        <w:tabs>
          <w:tab w:pos="1568" w:val="left" w:leader="none"/>
          <w:tab w:pos="2370" w:val="left" w:leader="none"/>
          <w:tab w:pos="3039" w:val="left" w:leader="none"/>
        </w:tabs>
        <w:spacing w:line="110" w:lineRule="exact" w:before="0"/>
        <w:ind w:left="633" w:right="0" w:firstLine="0"/>
        <w:jc w:val="left"/>
        <w:rPr>
          <w:sz w:val="12"/>
        </w:rPr>
      </w:pPr>
      <w:r>
        <w:rPr>
          <w:sz w:val="12"/>
        </w:rPr>
        <w:t>1995</w:t>
        <w:tab/>
        <w:t>96</w:t>
        <w:tab/>
        <w:t>97</w:t>
        <w:tab/>
        <w:t>98</w:t>
      </w:r>
    </w:p>
    <w:p>
      <w:pPr>
        <w:pStyle w:val="Heading5"/>
        <w:spacing w:line="176" w:lineRule="exact" w:before="6"/>
        <w:ind w:left="633"/>
      </w:pPr>
      <w:r>
        <w:rPr/>
        <w:br w:type="column"/>
      </w:r>
      <w:r>
        <w:rPr>
          <w:color w:val="231F20"/>
        </w:rPr>
        <w:t>40 basis points lower than in August at a three-year</w:t>
      </w:r>
    </w:p>
    <w:p>
      <w:pPr>
        <w:spacing w:after="0" w:line="176" w:lineRule="exact"/>
        <w:sectPr>
          <w:type w:val="continuous"/>
          <w:pgSz w:w="11880" w:h="16840"/>
          <w:pgMar w:top="1040" w:bottom="280" w:left="640" w:right="640"/>
          <w:cols w:num="2" w:equalWidth="0">
            <w:col w:w="3200" w:space="1126"/>
            <w:col w:w="6274"/>
          </w:cols>
        </w:sectPr>
      </w:pPr>
    </w:p>
    <w:p>
      <w:pPr>
        <w:spacing w:before="1"/>
        <w:ind w:left="237" w:right="0" w:firstLine="0"/>
        <w:jc w:val="left"/>
        <w:rPr>
          <w:sz w:val="12"/>
        </w:rPr>
      </w:pPr>
      <w:r>
        <w:rPr>
          <w:sz w:val="12"/>
        </w:rPr>
        <w:t>Expectations as at c.o.b 5 Nov. 1997</w:t>
      </w:r>
    </w:p>
    <w:p>
      <w:pPr>
        <w:pStyle w:val="BodyText"/>
        <w:spacing w:line="20" w:lineRule="exact"/>
        <w:ind w:left="256"/>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1"/>
        <w:rPr>
          <w:sz w:val="11"/>
        </w:rPr>
      </w:pPr>
      <w:r>
        <w:rPr/>
        <w:pict>
          <v:shape style="position:absolute;margin-left:45.080002pt;margin-top:8.593373pt;width:3.75pt;height:.1pt;mso-position-horizontal-relative:page;mso-position-vertical-relative:paragraph;z-index:-15657472;mso-wrap-distance-left:0;mso-wrap-distance-right:0" coordorigin="902,172" coordsize="75,0" path="m902,172l976,172e" filled="false" stroked="true" strokeweight=".5pt" strokecolor="#000000">
            <v:path arrowok="t"/>
            <v:stroke dashstyle="solid"/>
            <w10:wrap type="topAndBottom"/>
          </v:shape>
        </w:pict>
      </w:r>
      <w:r>
        <w:rPr/>
        <w:pict>
          <v:shape style="position:absolute;margin-left:45.080002pt;margin-top:28.929373pt;width:3.75pt;height:.1pt;mso-position-horizontal-relative:page;mso-position-vertical-relative:paragraph;z-index:-15656960;mso-wrap-distance-left:0;mso-wrap-distance-right:0" coordorigin="902,579" coordsize="75,0" path="m902,579l976,579e" filled="false" stroked="true" strokeweight=".5pt" strokecolor="#000000">
            <v:path arrowok="t"/>
            <v:stroke dashstyle="solid"/>
            <w10:wrap type="topAndBottom"/>
          </v:shape>
        </w:pict>
      </w:r>
      <w:r>
        <w:rPr/>
        <w:pict>
          <v:shape style="position:absolute;margin-left:45.080002pt;margin-top:49.263374pt;width:3.75pt;height:.1pt;mso-position-horizontal-relative:page;mso-position-vertical-relative:paragraph;z-index:-15656448;mso-wrap-distance-left:0;mso-wrap-distance-right:0" coordorigin="902,985" coordsize="75,0" path="m902,985l976,985e" filled="false" stroked="true" strokeweight=".5pt" strokecolor="#000000">
            <v:path arrowok="t"/>
            <v:stroke dashstyle="solid"/>
            <w10:wrap type="topAndBottom"/>
          </v:shape>
        </w:pict>
      </w:r>
      <w:r>
        <w:rPr/>
        <w:pict>
          <v:shape style="position:absolute;margin-left:45.080002pt;margin-top:69.597374pt;width:3.75pt;height:.1pt;mso-position-horizontal-relative:page;mso-position-vertical-relative:paragraph;z-index:-15655936;mso-wrap-distance-left:0;mso-wrap-distance-right:0" coordorigin="902,1392" coordsize="75,0" path="m902,1392l976,1392e" filled="false" stroked="true" strokeweight=".5pt" strokecolor="#000000">
            <v:path arrowok="t"/>
            <v:stroke dashstyle="solid"/>
            <w10:wrap type="topAndBottom"/>
          </v:shape>
        </w:pict>
      </w:r>
    </w:p>
    <w:p>
      <w:pPr>
        <w:pStyle w:val="BodyText"/>
        <w:spacing w:before="6"/>
        <w:rPr>
          <w:sz w:val="28"/>
        </w:rPr>
      </w:pPr>
    </w:p>
    <w:p>
      <w:pPr>
        <w:pStyle w:val="BodyText"/>
        <w:spacing w:before="6"/>
        <w:rPr>
          <w:sz w:val="28"/>
        </w:rPr>
      </w:pPr>
    </w:p>
    <w:p>
      <w:pPr>
        <w:pStyle w:val="BodyText"/>
        <w:spacing w:before="6"/>
        <w:rPr>
          <w:sz w:val="28"/>
        </w:rPr>
      </w:pPr>
    </w:p>
    <w:p>
      <w:pPr>
        <w:spacing w:line="108" w:lineRule="exact" w:before="0"/>
        <w:ind w:left="237" w:right="0" w:firstLine="0"/>
        <w:jc w:val="left"/>
        <w:rPr>
          <w:sz w:val="12"/>
        </w:rPr>
      </w:pPr>
      <w:r>
        <w:rPr/>
        <w:br w:type="column"/>
      </w:r>
      <w:r>
        <w:rPr>
          <w:sz w:val="12"/>
        </w:rPr>
        <w:t>Per cent</w:t>
      </w:r>
    </w:p>
    <w:p>
      <w:pPr>
        <w:spacing w:line="114" w:lineRule="exact" w:before="0"/>
        <w:ind w:left="669" w:right="0" w:firstLine="0"/>
        <w:jc w:val="left"/>
        <w:rPr>
          <w:sz w:val="12"/>
        </w:rPr>
      </w:pPr>
      <w:r>
        <w:rPr/>
        <w:pict>
          <v:group style="position:absolute;margin-left:45.080002pt;margin-top:10.365677pt;width:159.8pt;height:124.3pt;mso-position-horizontal-relative:page;mso-position-vertical-relative:paragraph;z-index:-20931072" coordorigin="902,207" coordsize="3196,2486">
            <v:shape style="position:absolute;left:3232;top:207;width:748;height:2276" coordorigin="3233,207" coordsize="748,2276" path="m3981,207l3898,277,3773,415,3711,516,3627,617,3565,718,3440,1005,3357,1148,3233,1435,3357,1605,3440,1689,3565,1859,3627,1935,3711,2012,3773,2089,3898,2352,3981,2483,3981,207xe" filled="true" fillcolor="#bfd0e6" stroked="false">
              <v:path arrowok="t"/>
              <v:fill type="solid"/>
            </v:shape>
            <v:shape style="position:absolute;left:3230;top:803;width:748;height:1252" coordorigin="3231,804" coordsize="748,1252" path="m3979,804l3896,832,3771,887,3709,924,3626,960,3563,997,3439,1174,3356,1262,3231,1439,3356,1518,3439,1558,3563,1638,3626,1704,3709,1769,3771,1835,3896,1982,3979,2055,3979,804xe" filled="true" fillcolor="#8aadd3" stroked="false">
              <v:path arrowok="t"/>
              <v:fill type="solid"/>
            </v:shape>
            <v:shape style="position:absolute;left:3230;top:1056;width:748;height:779" coordorigin="3231,1057" coordsize="748,779" path="m3979,1057l3896,1067,3771,1088,3709,1108,3626,1129,3563,1149,3439,1263,3356,1320,3231,1433,3356,1470,3439,1489,3563,1526,3626,1579,3709,1631,3771,1683,3896,1785,3979,1835,3979,1057xe" filled="true" fillcolor="#5991c2" stroked="false">
              <v:path arrowok="t"/>
              <v:fill type="solid"/>
            </v:shape>
            <v:shape style="position:absolute;left:3230;top:1238;width:748;height:443" coordorigin="3230,1238" coordsize="748,443" path="m3770,1238l3708,1245,3625,1253,3563,1260,3438,1332,3355,1368,3230,1441,3239,1441,3363,1449,3447,1453,3571,1461,3634,1498,3717,1536,3779,1573,3770,1573,3895,1645,3978,1681,3978,1245,3895,1243,3770,1238xe" filled="true" fillcolor="#0e7ab3" stroked="false">
              <v:path arrowok="t"/>
              <v:fill type="solid"/>
            </v:shape>
            <v:shape style="position:absolute;left:3227;top:1332;width:748;height:203" coordorigin="3228,1333" coordsize="748,203" path="m3560,1333l3435,1375,3352,1396,3228,1439,3352,1422,3435,1413,3560,1396,3622,1419,3706,1441,3768,1463,3892,1511,3976,1535,3976,1394,3892,1381,3768,1355,3706,1347,3622,1340,3560,1333xe" filled="true" fillcolor="#0066a5" stroked="false">
              <v:path arrowok="t"/>
              <v:fill type="solid"/>
            </v:shape>
            <v:shape style="position:absolute;left:901;top:454;width:3196;height:2034" coordorigin="902,454" coordsize="3196,2034" path="m4097,2488l4023,2488m4097,2081l4023,2081m4097,1674l4023,1674m4097,1268l4023,1268m4097,861l4023,861m4097,454l4023,454m902,2079l976,2079e" filled="false" stroked="true" strokeweight=".5pt" strokecolor="#000000">
              <v:path arrowok="t"/>
              <v:stroke dashstyle="solid"/>
            </v:shape>
            <v:shape style="position:absolute;left:1006;top:1857;width:125;height:149" coordorigin="1007,1857" coordsize="125,149" path="m1069,1857l1007,2006m1131,1924l1069,1857e" filled="false" stroked="true" strokeweight="1pt" strokecolor="#0066a5">
              <v:path arrowok="t"/>
              <v:stroke dashstyle="solid"/>
            </v:shape>
            <v:line style="position:absolute" from="1121,1921" to="1204,1921" stroked="true" strokeweight="1.366pt" strokecolor="#0066a5">
              <v:stroke dashstyle="solid"/>
            </v:line>
            <v:shape style="position:absolute;left:1193;top:1816;width:208;height:132" coordorigin="1194,1817" coordsize="208,132" path="m1277,1878l1194,1917m1339,1948l1277,1878m1401,1817l1339,1948e" filled="false" stroked="true" strokeweight="1pt" strokecolor="#0066a5">
              <v:path arrowok="t"/>
              <v:stroke dashstyle="solid"/>
            </v:shape>
            <v:line style="position:absolute" from="1391,1819" to="1474,1819" stroked="true" strokeweight="1.252pt" strokecolor="#0066a5">
              <v:stroke dashstyle="solid"/>
            </v:line>
            <v:shape style="position:absolute;left:1463;top:1439;width:1767;height:1244" coordorigin="1464,1439" coordsize="1767,1244" path="m1547,1883l1464,1822m1609,1870l1547,1883m1671,1945l1609,1870m1734,2073l1671,1945m1817,2169l1734,2073m1879,2329l1817,2169m1942,2421l1879,2329m2004,2469l1942,2421m2087,2444l2004,2469m2149,2590l2087,2444m2212,2683l2149,2590m2274,2674l2212,2683m2357,2649l2274,2674m2420,2512l2357,2649m2482,2218l2420,2512m2544,2177l2482,2218m2627,2201l2544,2177m2690,2304l2627,2201m2752,2305l2690,2304m2814,2156l2752,2305m2897,2102l2814,2156m2960,1927l2897,2102m3022,1684l2960,1927m3084,1525l3022,1684m3168,1477l3084,1525m3230,1439l3168,1477e" filled="false" stroked="true" strokeweight="1pt" strokecolor="#0066a5">
              <v:path arrowok="t"/>
              <v:stroke dashstyle="solid"/>
            </v:shape>
            <w10:wrap type="none"/>
          </v:group>
        </w:pict>
      </w:r>
      <w:r>
        <w:rPr/>
        <w:pict>
          <v:line style="position:absolute;mso-position-horizontal-relative:page;mso-position-vertical-relative:paragraph;z-index:15808000" from="204.428005pt,1.789677pt" to="200.714005pt,1.789677pt" stroked="true" strokeweight=".5pt" strokecolor="#000000">
            <v:stroke dashstyle="solid"/>
            <w10:wrap type="none"/>
          </v:line>
        </w:pict>
      </w:r>
      <w:r>
        <w:rPr>
          <w:w w:val="105"/>
          <w:sz w:val="12"/>
        </w:rPr>
        <w:t>9.0</w:t>
      </w:r>
    </w:p>
    <w:p>
      <w:pPr>
        <w:pStyle w:val="BodyText"/>
        <w:rPr>
          <w:sz w:val="12"/>
        </w:rPr>
      </w:pPr>
    </w:p>
    <w:p>
      <w:pPr>
        <w:pStyle w:val="BodyText"/>
        <w:spacing w:before="4"/>
        <w:rPr>
          <w:sz w:val="11"/>
        </w:rPr>
      </w:pPr>
    </w:p>
    <w:p>
      <w:pPr>
        <w:spacing w:before="0"/>
        <w:ind w:left="0" w:right="38" w:firstLine="0"/>
        <w:jc w:val="right"/>
        <w:rPr>
          <w:sz w:val="12"/>
        </w:rPr>
      </w:pPr>
      <w:r>
        <w:rPr>
          <w:sz w:val="12"/>
        </w:rPr>
        <w:t>8.5</w:t>
      </w:r>
    </w:p>
    <w:p>
      <w:pPr>
        <w:pStyle w:val="BodyText"/>
        <w:rPr>
          <w:sz w:val="12"/>
        </w:rPr>
      </w:pPr>
    </w:p>
    <w:p>
      <w:pPr>
        <w:pStyle w:val="BodyText"/>
        <w:spacing w:before="4"/>
        <w:rPr>
          <w:sz w:val="11"/>
        </w:rPr>
      </w:pPr>
    </w:p>
    <w:p>
      <w:pPr>
        <w:spacing w:before="0"/>
        <w:ind w:left="0" w:right="38" w:firstLine="0"/>
        <w:jc w:val="right"/>
        <w:rPr>
          <w:sz w:val="12"/>
        </w:rPr>
      </w:pPr>
      <w:r>
        <w:rPr>
          <w:sz w:val="12"/>
        </w:rPr>
        <w:t>8.0</w:t>
      </w:r>
    </w:p>
    <w:p>
      <w:pPr>
        <w:pStyle w:val="BodyText"/>
        <w:rPr>
          <w:sz w:val="12"/>
        </w:rPr>
      </w:pPr>
    </w:p>
    <w:p>
      <w:pPr>
        <w:pStyle w:val="BodyText"/>
        <w:spacing w:before="4"/>
        <w:rPr>
          <w:sz w:val="11"/>
        </w:rPr>
      </w:pPr>
    </w:p>
    <w:p>
      <w:pPr>
        <w:spacing w:before="0"/>
        <w:ind w:left="0" w:right="38" w:firstLine="0"/>
        <w:jc w:val="right"/>
        <w:rPr>
          <w:sz w:val="12"/>
        </w:rPr>
      </w:pPr>
      <w:r>
        <w:rPr>
          <w:sz w:val="12"/>
        </w:rPr>
        <w:t>7.5</w:t>
      </w:r>
    </w:p>
    <w:p>
      <w:pPr>
        <w:pStyle w:val="BodyText"/>
        <w:rPr>
          <w:sz w:val="12"/>
        </w:rPr>
      </w:pPr>
    </w:p>
    <w:p>
      <w:pPr>
        <w:pStyle w:val="BodyText"/>
        <w:spacing w:before="4"/>
        <w:rPr>
          <w:sz w:val="11"/>
        </w:rPr>
      </w:pPr>
    </w:p>
    <w:p>
      <w:pPr>
        <w:spacing w:before="1"/>
        <w:ind w:left="0" w:right="38" w:firstLine="0"/>
        <w:jc w:val="right"/>
        <w:rPr>
          <w:sz w:val="12"/>
        </w:rPr>
      </w:pPr>
      <w:r>
        <w:rPr>
          <w:sz w:val="12"/>
        </w:rPr>
        <w:t>7.0</w:t>
      </w:r>
    </w:p>
    <w:p>
      <w:pPr>
        <w:pStyle w:val="BodyText"/>
        <w:rPr>
          <w:sz w:val="12"/>
        </w:rPr>
      </w:pPr>
    </w:p>
    <w:p>
      <w:pPr>
        <w:pStyle w:val="BodyText"/>
        <w:spacing w:before="4"/>
        <w:rPr>
          <w:sz w:val="11"/>
        </w:rPr>
      </w:pPr>
    </w:p>
    <w:p>
      <w:pPr>
        <w:spacing w:before="0"/>
        <w:ind w:left="0" w:right="38" w:firstLine="0"/>
        <w:jc w:val="right"/>
        <w:rPr>
          <w:sz w:val="12"/>
        </w:rPr>
      </w:pPr>
      <w:r>
        <w:rPr>
          <w:sz w:val="12"/>
        </w:rPr>
        <w:t>6.5</w:t>
      </w:r>
    </w:p>
    <w:p>
      <w:pPr>
        <w:pStyle w:val="Heading5"/>
        <w:spacing w:line="242" w:lineRule="auto" w:before="104"/>
        <w:ind w:left="237" w:right="174" w:hanging="1"/>
      </w:pPr>
      <w:r>
        <w:rPr/>
        <w:br w:type="column"/>
      </w:r>
      <w:r>
        <w:rPr>
          <w:color w:val="231F20"/>
        </w:rPr>
        <w:t>horizon, and around 70 basis points lower at both five and ten years. Rates are currently expected to be around 6.6% at a three-year horizon, falling to around 6.4% at a ten-year horizon, compared with around 7.4% a year ago at a three-year horizon, rising to around 8.3% at a</w:t>
      </w:r>
    </w:p>
    <w:p>
      <w:pPr>
        <w:spacing w:line="242" w:lineRule="auto" w:before="7"/>
        <w:ind w:left="237" w:right="130" w:firstLine="0"/>
        <w:jc w:val="left"/>
        <w:rPr>
          <w:sz w:val="24"/>
        </w:rPr>
      </w:pPr>
      <w:r>
        <w:rPr>
          <w:color w:val="231F20"/>
          <w:sz w:val="24"/>
        </w:rPr>
        <w:t>ten-year horizon. Changes in nominal interest rates reflect changes in expected inflation and real interest rate expectations.</w:t>
      </w:r>
    </w:p>
    <w:p>
      <w:pPr>
        <w:spacing w:after="0" w:line="242" w:lineRule="auto"/>
        <w:jc w:val="left"/>
        <w:rPr>
          <w:sz w:val="24"/>
        </w:rPr>
        <w:sectPr>
          <w:type w:val="continuous"/>
          <w:pgSz w:w="11880" w:h="16840"/>
          <w:pgMar w:top="1040" w:bottom="280" w:left="640" w:right="640"/>
          <w:cols w:num="3" w:equalWidth="0">
            <w:col w:w="2034" w:space="787"/>
            <w:col w:w="866" w:space="1035"/>
            <w:col w:w="5878"/>
          </w:cols>
        </w:sectPr>
      </w:pPr>
    </w:p>
    <w:p>
      <w:pPr>
        <w:pStyle w:val="BodyText"/>
        <w:spacing w:before="6" w:after="1"/>
        <w:rPr>
          <w:sz w:val="21"/>
        </w:rPr>
      </w:pPr>
    </w:p>
    <w:p>
      <w:pPr>
        <w:pStyle w:val="BodyText"/>
        <w:spacing w:line="20" w:lineRule="exact"/>
        <w:ind w:left="256"/>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spacing w:before="5"/>
        <w:rPr>
          <w:sz w:val="12"/>
        </w:rPr>
      </w:pPr>
    </w:p>
    <w:p>
      <w:pPr>
        <w:tabs>
          <w:tab w:pos="1565" w:val="left" w:leader="none"/>
          <w:tab w:pos="2368" w:val="left" w:leader="none"/>
          <w:tab w:pos="3036" w:val="left" w:leader="none"/>
        </w:tabs>
        <w:spacing w:before="0"/>
        <w:ind w:left="630" w:right="0" w:firstLine="0"/>
        <w:jc w:val="left"/>
        <w:rPr>
          <w:sz w:val="12"/>
        </w:rPr>
      </w:pPr>
      <w:r>
        <w:rPr>
          <w:sz w:val="12"/>
        </w:rPr>
        <w:t>1995</w:t>
        <w:tab/>
        <w:t>96</w:t>
        <w:tab/>
        <w:t>97</w:t>
        <w:tab/>
        <w:t>98</w:t>
      </w:r>
    </w:p>
    <w:p>
      <w:pPr>
        <w:spacing w:before="62"/>
        <w:ind w:left="168" w:right="0" w:firstLine="0"/>
        <w:jc w:val="left"/>
        <w:rPr>
          <w:sz w:val="12"/>
        </w:rPr>
      </w:pPr>
      <w:r>
        <w:rPr>
          <w:color w:val="231F20"/>
          <w:sz w:val="12"/>
        </w:rPr>
        <w:t>Sources: LIFFE and Bank of England.</w:t>
      </w:r>
    </w:p>
    <w:p>
      <w:pPr>
        <w:pStyle w:val="BodyText"/>
        <w:spacing w:before="10"/>
        <w:rPr>
          <w:sz w:val="15"/>
        </w:rPr>
      </w:pPr>
      <w:r>
        <w:rPr/>
        <w:br w:type="column"/>
      </w:r>
      <w:r>
        <w:rPr>
          <w:sz w:val="15"/>
        </w:rPr>
      </w:r>
    </w:p>
    <w:p>
      <w:pPr>
        <w:spacing w:before="0"/>
        <w:ind w:left="168" w:right="0" w:firstLine="0"/>
        <w:jc w:val="left"/>
        <w:rPr>
          <w:sz w:val="12"/>
        </w:rPr>
      </w:pPr>
      <w:r>
        <w:rPr>
          <w:w w:val="105"/>
          <w:sz w:val="12"/>
        </w:rPr>
        <w:t>6.0</w:t>
      </w:r>
    </w:p>
    <w:p>
      <w:pPr>
        <w:pStyle w:val="BodyText"/>
        <w:rPr>
          <w:sz w:val="12"/>
        </w:rPr>
      </w:pPr>
    </w:p>
    <w:p>
      <w:pPr>
        <w:pStyle w:val="BodyText"/>
        <w:spacing w:before="4"/>
        <w:rPr>
          <w:sz w:val="11"/>
        </w:rPr>
      </w:pPr>
    </w:p>
    <w:p>
      <w:pPr>
        <w:spacing w:line="131" w:lineRule="exact" w:before="1"/>
        <w:ind w:left="168" w:right="0" w:firstLine="0"/>
        <w:jc w:val="left"/>
        <w:rPr>
          <w:sz w:val="12"/>
        </w:rPr>
      </w:pPr>
      <w:r>
        <w:rPr/>
        <w:pict>
          <v:group style="position:absolute;margin-left:43.556pt;margin-top:3.138577pt;width:163.050pt;height:7.6pt;mso-position-horizontal-relative:page;mso-position-vertical-relative:paragraph;z-index:15807488" coordorigin="871,63" coordsize="3261,152">
            <v:shape style="position:absolute;left:1008;top:64;width:3092;height:144" coordorigin="1008,64" coordsize="3092,144" path="m1028,207l4100,207m1008,204l1008,68m1074,206l1074,134m1140,206l1140,134m1206,206l1206,134m1272,206l1272,134m1338,206l1338,134m1404,206l1404,134m1470,206l1470,134m1537,206l1537,134m1603,206l1603,134m1669,206l1669,134m1735,206l1735,134m1816,203l1816,79m1877,206l1877,134m1940,206l1940,134m2006,206l2006,134m2080,208l2080,137m2156,206l2156,134m2274,201l2274,129m2358,203l2358,132m2424,201l2424,129m2482,203l2482,132m2551,201l2551,129m2632,196l2632,64m2688,200l2688,126m2757,201l2757,129m2818,201l2818,129m2891,203l2891,132m2962,203l2962,132m3023,203l3023,132m3087,201l3087,129m3168,201l3168,129m3239,201l3239,129m3312,203l3312,132m3376,201l3376,129m3439,206l3439,74m3505,204l3505,129m3564,203l3564,132m3630,204l3630,133m3703,206l3703,134m3769,206l3769,134m3835,206l3835,134m2215,207l2215,136m3911,206l3911,134m3988,207l3988,136m4097,73l4023,73e" filled="false" stroked="true" strokeweight=".5pt" strokecolor="#000000">
              <v:path arrowok="t"/>
              <v:stroke dashstyle="solid"/>
            </v:shape>
            <v:line style="position:absolute" from="964,71" to="902,71" stroked="true" strokeweight=".5pt" strokecolor="#000000">
              <v:stroke dashstyle="solid"/>
            </v:line>
            <v:shape style="position:absolute;left:871;top:67;width:3256;height:142" coordorigin="871,68" coordsize="3256,142" path="m4105,71l4105,98,4085,114,4126,127,4085,147,4126,164,4102,174,4103,205m969,68l969,94,948,110,990,124,948,144,990,161,966,171,965,209m1059,205l871,205e" filled="false" stroked="true" strokeweight=".5pt" strokecolor="#000000">
              <v:path arrowok="t"/>
              <v:stroke dashstyle="solid"/>
            </v:shape>
            <w10:wrap type="none"/>
          </v:group>
        </w:pict>
      </w:r>
      <w:r>
        <w:rPr>
          <w:w w:val="105"/>
          <w:sz w:val="12"/>
        </w:rPr>
        <w:t>5.5</w:t>
      </w:r>
    </w:p>
    <w:p>
      <w:pPr>
        <w:spacing w:line="131" w:lineRule="exact" w:before="0"/>
        <w:ind w:left="180" w:right="0" w:firstLine="0"/>
        <w:jc w:val="left"/>
        <w:rPr>
          <w:sz w:val="12"/>
        </w:rPr>
      </w:pPr>
      <w:r>
        <w:rPr>
          <w:sz w:val="12"/>
        </w:rPr>
        <w:t>0.0</w:t>
      </w:r>
    </w:p>
    <w:p>
      <w:pPr>
        <w:pStyle w:val="BodyText"/>
        <w:spacing w:before="2"/>
        <w:rPr>
          <w:sz w:val="28"/>
        </w:rPr>
      </w:pPr>
      <w:r>
        <w:rPr/>
        <w:br w:type="column"/>
      </w:r>
      <w:r>
        <w:rPr>
          <w:sz w:val="28"/>
        </w:rPr>
      </w:r>
    </w:p>
    <w:p>
      <w:pPr>
        <w:pStyle w:val="Heading5"/>
        <w:spacing w:line="242" w:lineRule="auto"/>
        <w:ind w:left="168" w:right="248" w:hanging="1"/>
      </w:pPr>
      <w:r>
        <w:rPr>
          <w:color w:val="231F20"/>
        </w:rPr>
        <w:t>Chart 2.12 shows that UK inflation expectations, derived by analysing conventional and index-linked gilt yields, have risen since August at short horizons, but</w:t>
      </w:r>
    </w:p>
    <w:p>
      <w:pPr>
        <w:spacing w:after="0" w:line="242" w:lineRule="auto"/>
        <w:sectPr>
          <w:type w:val="continuous"/>
          <w:pgSz w:w="11880" w:h="16840"/>
          <w:pgMar w:top="1040" w:bottom="280" w:left="640" w:right="640"/>
          <w:cols w:num="3" w:equalWidth="0">
            <w:col w:w="3197" w:space="124"/>
            <w:col w:w="371" w:space="1100"/>
            <w:col w:w="5808"/>
          </w:cols>
        </w:sectPr>
      </w:pPr>
    </w:p>
    <w:p>
      <w:pPr>
        <w:pStyle w:val="BodyText"/>
        <w:spacing w:before="1"/>
        <w:rPr>
          <w:sz w:val="10"/>
        </w:rPr>
      </w:pPr>
    </w:p>
    <w:p>
      <w:pPr>
        <w:spacing w:line="208" w:lineRule="auto" w:before="1"/>
        <w:ind w:left="168" w:right="54" w:firstLine="0"/>
        <w:jc w:val="left"/>
        <w:rPr>
          <w:sz w:val="12"/>
        </w:rPr>
      </w:pPr>
      <w:r>
        <w:rPr>
          <w:color w:val="231F20"/>
          <w:sz w:val="12"/>
        </w:rPr>
        <w:t>The chart shows the relative likelihood of possible outcomes. The markets judge that there is a 10% chance of interest rates being within the darkest, central band at any date. The next deepest shade (on both sides of the central band) takes the probability out to 30%, and so on in steps of</w:t>
      </w:r>
    </w:p>
    <w:p>
      <w:pPr>
        <w:spacing w:line="114" w:lineRule="exact" w:before="0"/>
        <w:ind w:left="168" w:right="0" w:firstLine="0"/>
        <w:jc w:val="left"/>
        <w:rPr>
          <w:sz w:val="12"/>
        </w:rPr>
      </w:pPr>
      <w:r>
        <w:rPr>
          <w:color w:val="231F20"/>
          <w:sz w:val="12"/>
        </w:rPr>
        <w:t>20 percentage points. The more uncertainty there is about the interest</w:t>
      </w:r>
    </w:p>
    <w:p>
      <w:pPr>
        <w:spacing w:line="208" w:lineRule="auto" w:before="5"/>
        <w:ind w:left="168" w:right="13" w:firstLine="0"/>
        <w:jc w:val="left"/>
        <w:rPr>
          <w:sz w:val="12"/>
        </w:rPr>
      </w:pPr>
      <w:r>
        <w:rPr>
          <w:color w:val="231F20"/>
          <w:sz w:val="12"/>
        </w:rPr>
        <w:t>rate outcome at any particular time horizon, the wider the bands. And if the risks are more on one side than the other, then the bands will be wider on that side of the central band.</w:t>
      </w:r>
    </w:p>
    <w:p>
      <w:pPr>
        <w:pStyle w:val="BodyText"/>
        <w:rPr>
          <w:sz w:val="12"/>
        </w:rPr>
      </w:pPr>
    </w:p>
    <w:p>
      <w:pPr>
        <w:pStyle w:val="BodyText"/>
        <w:spacing w:before="8"/>
        <w:rPr>
          <w:sz w:val="15"/>
        </w:rPr>
      </w:pPr>
    </w:p>
    <w:p>
      <w:pPr>
        <w:pStyle w:val="Heading9"/>
        <w:spacing w:before="0"/>
        <w:ind w:left="185"/>
      </w:pPr>
      <w:r>
        <w:rPr>
          <w:color w:val="0093C1"/>
        </w:rPr>
        <w:t>Chart 2.12</w:t>
      </w:r>
    </w:p>
    <w:p>
      <w:pPr>
        <w:spacing w:before="10"/>
        <w:ind w:left="185" w:right="0" w:firstLine="0"/>
        <w:jc w:val="left"/>
        <w:rPr>
          <w:b/>
          <w:sz w:val="20"/>
        </w:rPr>
      </w:pPr>
      <w:r>
        <w:rPr>
          <w:b/>
          <w:color w:val="0093C1"/>
          <w:sz w:val="20"/>
        </w:rPr>
        <w:t>Implied forward inflation rates</w:t>
      </w:r>
    </w:p>
    <w:p>
      <w:pPr>
        <w:spacing w:before="86"/>
        <w:ind w:left="3090" w:right="0" w:firstLine="0"/>
        <w:jc w:val="left"/>
        <w:rPr>
          <w:sz w:val="12"/>
        </w:rPr>
      </w:pPr>
      <w:r>
        <w:rPr/>
        <w:pict>
          <v:line style="position:absolute;mso-position-horizontal-relative:page;mso-position-vertical-relative:paragraph;z-index:15808512" from="40.770pt,12.405574pt" to="45.77pt,12.405574pt" stroked="true" strokeweight=".5pt" strokecolor="#000000">
            <v:stroke dashstyle="solid"/>
            <w10:wrap type="none"/>
          </v:line>
        </w:pict>
      </w:r>
      <w:r>
        <w:rPr/>
        <w:pict>
          <v:line style="position:absolute;mso-position-horizontal-relative:page;mso-position-vertical-relative:paragraph;z-index:-20927488" from="200.770004pt,12.405574pt" to="205.770004pt,12.405574pt" stroked="true" strokeweight=".5pt" strokecolor="#000000">
            <v:stroke dashstyle="solid"/>
            <w10:wrap type="none"/>
          </v:line>
        </w:pict>
      </w:r>
      <w:r>
        <w:rPr>
          <w:sz w:val="12"/>
        </w:rPr>
        <w:t>Per cent </w:t>
      </w:r>
      <w:r>
        <w:rPr>
          <w:position w:val="-7"/>
          <w:sz w:val="12"/>
        </w:rPr>
        <w:t>4.0</w:t>
      </w:r>
    </w:p>
    <w:p>
      <w:pPr>
        <w:pStyle w:val="BodyText"/>
        <w:rPr>
          <w:sz w:val="20"/>
        </w:rPr>
      </w:pPr>
    </w:p>
    <w:p>
      <w:pPr>
        <w:pStyle w:val="BodyText"/>
        <w:rPr>
          <w:sz w:val="20"/>
        </w:rPr>
      </w:pPr>
    </w:p>
    <w:p>
      <w:pPr>
        <w:pStyle w:val="BodyText"/>
        <w:spacing w:before="10"/>
        <w:rPr>
          <w:sz w:val="15"/>
        </w:rPr>
      </w:pPr>
    </w:p>
    <w:p>
      <w:pPr>
        <w:spacing w:before="0"/>
        <w:ind w:left="948" w:right="1492" w:firstLine="0"/>
        <w:jc w:val="center"/>
        <w:rPr>
          <w:sz w:val="12"/>
        </w:rPr>
      </w:pPr>
      <w:r>
        <w:rPr/>
        <w:pict>
          <v:group style="position:absolute;margin-left:67.269997pt;margin-top:5.603559pt;width:138.5pt;height:35pt;mso-position-horizontal-relative:page;mso-position-vertical-relative:paragraph;z-index:15811584" coordorigin="1345,112" coordsize="2770,700">
            <v:line style="position:absolute" from="4015,302" to="4115,302" stroked="true" strokeweight=".5pt" strokecolor="#000000">
              <v:stroke dashstyle="solid"/>
            </v:line>
            <v:shape style="position:absolute;left:1355;top:162;width:2620;height:640" coordorigin="1355,162" coordsize="2620,640" path="m1355,162l1455,202m1455,202l1575,302m1575,302l1655,422m1655,422l1775,522m1775,522l1875,602m1875,602l1975,682m1975,682l2075,742m2075,742l2175,782m2175,782l2275,802m2275,802l2375,802m2375,802l2475,802m2475,802l2575,802m2575,802l2675,782m2675,782l2775,762m2775,762l2875,742m2875,742l2975,702m2975,702l3075,682m3075,682l3175,642m3175,642l3275,602m3275,602l3375,562m3375,562l3475,542m3475,542l3575,502m3575,502l3675,462m3675,462l3775,422m3775,422l3875,382m3875,382l3975,342e" filled="false" stroked="true" strokeweight="1pt" strokecolor="#ed1b2d">
              <v:path arrowok="t"/>
              <v:stroke dashstyle="solid"/>
            </v:shape>
            <v:shape style="position:absolute;left:1355;top:142;width:2020;height:380" coordorigin="1355,142" coordsize="2020,380" path="m1355,462l1455,502m1455,502l1575,522m1575,522l1655,522m1655,522l1775,502m1775,502l1875,462m1875,462l1975,442m1975,442l2075,402m2075,402l2175,362m2175,362l2275,322m2275,322l2375,302m2375,302l2475,262m2475,262l2575,242m2575,242l2675,222m2675,222l2775,202m2775,202l2875,182m2875,182l2975,182m2975,182l3075,162m3075,162l3175,162m3175,162l3275,162m3275,162l3375,142e" filled="false" stroked="true" strokeweight="1pt" strokecolor="#faab54">
              <v:path arrowok="t"/>
              <v:stroke dashstyle="solid"/>
            </v:shape>
            <v:rect style="position:absolute;left:3375;top:132;width:600;height:20" filled="true" fillcolor="#faab54" stroked="false">
              <v:fill type="solid"/>
            </v:rect>
            <v:shape style="position:absolute;left:1355;top:122;width:2020;height:300" coordorigin="1355,122" coordsize="2020,300" path="m1355,422l1455,382m1455,382l1575,362m1575,362l1655,322m1655,322l1775,302m1775,302l1875,262m1875,262l1975,242m1975,242l2075,222m2075,222l2175,202m2175,202l2275,182m2275,182l2375,182m2375,182l2475,162m2475,162l2575,162m2575,162l2675,142m2675,142l2775,142m2775,142l2875,142m2875,142l2975,142m2975,142l3075,122m3075,122l3175,122m3175,122l3275,122m3275,122l3375,122e" filled="false" stroked="true" strokeweight="1pt" strokecolor="#0066a5">
              <v:path arrowok="t"/>
              <v:stroke dashstyle="solid"/>
            </v:shape>
            <v:rect style="position:absolute;left:3375;top:112;width:600;height:20" filled="true" fillcolor="#0066a5" stroked="false">
              <v:fill type="solid"/>
            </v:rect>
            <v:shape style="position:absolute;left:2285;top:325;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w10:wrap type="none"/>
          </v:group>
        </w:pict>
      </w:r>
      <w:r>
        <w:rPr>
          <w:sz w:val="12"/>
        </w:rPr>
        <w:t>8 August</w:t>
      </w:r>
    </w:p>
    <w:p>
      <w:pPr>
        <w:spacing w:before="82"/>
        <w:ind w:left="0" w:right="186" w:firstLine="0"/>
        <w:jc w:val="right"/>
        <w:rPr>
          <w:sz w:val="12"/>
        </w:rPr>
      </w:pPr>
      <w:r>
        <w:rPr/>
        <w:pict>
          <v:line style="position:absolute;mso-position-horizontal-relative:page;mso-position-vertical-relative:paragraph;z-index:15809024" from="40.770pt,8.201561pt" to="45.77pt,8.201561pt" stroked="true" strokeweight=".5pt" strokecolor="#000000">
            <v:stroke dashstyle="solid"/>
            <w10:wrap type="none"/>
          </v:line>
        </w:pict>
      </w:r>
      <w:r>
        <w:rPr>
          <w:sz w:val="12"/>
        </w:rPr>
        <w:t>3.5</w:t>
      </w:r>
    </w:p>
    <w:p>
      <w:pPr>
        <w:pStyle w:val="BodyText"/>
        <w:rPr>
          <w:sz w:val="12"/>
        </w:rPr>
      </w:pPr>
    </w:p>
    <w:p>
      <w:pPr>
        <w:pStyle w:val="BodyText"/>
        <w:rPr>
          <w:sz w:val="12"/>
        </w:rPr>
      </w:pPr>
    </w:p>
    <w:p>
      <w:pPr>
        <w:pStyle w:val="BodyText"/>
        <w:spacing w:before="2"/>
        <w:rPr>
          <w:sz w:val="16"/>
        </w:rPr>
      </w:pPr>
    </w:p>
    <w:p>
      <w:pPr>
        <w:spacing w:before="0"/>
        <w:ind w:left="1416" w:right="1183" w:firstLine="0"/>
        <w:jc w:val="center"/>
        <w:rPr>
          <w:sz w:val="12"/>
        </w:rPr>
      </w:pPr>
      <w:r>
        <w:rPr>
          <w:sz w:val="12"/>
        </w:rPr>
        <w:t>5 November</w:t>
      </w:r>
    </w:p>
    <w:p>
      <w:pPr>
        <w:pStyle w:val="BodyText"/>
        <w:rPr>
          <w:sz w:val="12"/>
        </w:rPr>
      </w:pPr>
    </w:p>
    <w:p>
      <w:pPr>
        <w:pStyle w:val="BodyText"/>
        <w:spacing w:before="9"/>
        <w:rPr>
          <w:sz w:val="10"/>
        </w:rPr>
      </w:pPr>
    </w:p>
    <w:p>
      <w:pPr>
        <w:spacing w:before="0"/>
        <w:ind w:left="0" w:right="186" w:firstLine="0"/>
        <w:jc w:val="right"/>
        <w:rPr>
          <w:sz w:val="12"/>
        </w:rPr>
      </w:pPr>
      <w:r>
        <w:rPr/>
        <w:pict>
          <v:line style="position:absolute;mso-position-horizontal-relative:page;mso-position-vertical-relative:paragraph;z-index:15809536" from="40.770pt,4.101561pt" to="45.77pt,4.101561pt" stroked="true" strokeweight=".5pt" strokecolor="#000000">
            <v:stroke dashstyle="solid"/>
            <w10:wrap type="none"/>
          </v:line>
        </w:pict>
      </w:r>
      <w:r>
        <w:rPr/>
        <w:pict>
          <v:line style="position:absolute;mso-position-horizontal-relative:page;mso-position-vertical-relative:paragraph;z-index:15812096" from="200.770004pt,4.101561pt" to="205.770004pt,4.101561pt" stroked="true" strokeweight=".5pt" strokecolor="#000000">
            <v:stroke dashstyle="solid"/>
            <w10:wrap type="none"/>
          </v:line>
        </w:pict>
      </w:r>
      <w:r>
        <w:rPr>
          <w:sz w:val="12"/>
        </w:rPr>
        <w:t>3.0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0" w:right="186" w:firstLine="0"/>
        <w:jc w:val="right"/>
        <w:rPr>
          <w:sz w:val="12"/>
        </w:rPr>
      </w:pPr>
      <w:r>
        <w:rPr/>
        <w:pict>
          <v:group style="position:absolute;margin-left:40.770pt;margin-top:3.851561pt;width:167pt;height:8.85pt;mso-position-horizontal-relative:page;mso-position-vertical-relative:paragraph;z-index:-20928000" coordorigin="815,77" coordsize="3340,177">
            <v:shape style="position:absolute;left:815;top:82;width:3300;height:160" coordorigin="815,82" coordsize="3300,160" path="m815,82l915,82m955,242l955,182m1055,242l1055,182m1155,242l1155,182m1255,242l1255,182m1355,242l1355,182m1455,242l1455,182m1555,242l1555,182m1655,242l1655,182m1755,242l1755,182m1855,242l1855,182m1955,242l1955,182m2055,242l2055,182m2175,242l2175,182m2255,242l2255,182m2375,242l2375,182m2475,242l2475,182m2575,242l2575,182m2675,242l2675,182m2775,242l2775,182m2875,242l2875,182m2975,242l2975,182m3075,242l3075,182m3175,242l3175,182m3275,242l3275,182m3375,242l3375,182m3475,242l3475,182m3575,242l3575,182m3675,242l3675,182m3775,242l3775,182m3875,242l3875,182m3975,242l3975,182m955,242l3975,242m815,242l1002,242m3815,242l4115,242e" filled="false" stroked="true" strokeweight=".5pt" strokecolor="#000000">
              <v:path arrowok="t"/>
              <v:stroke dashstyle="solid"/>
            </v:shape>
            <v:shape style="position:absolute;left:894;top:88;width:49;height:153" coordorigin="895,89" coordsize="49,153" path="m919,89l919,121,895,141,943,157,895,181,943,202,915,214,914,242e" filled="false" stroked="true" strokeweight=".5pt" strokecolor="#000000">
              <v:path arrowok="t"/>
              <v:stroke dashstyle="solid"/>
            </v:shape>
            <v:line style="position:absolute" from="4015,82" to="4115,82" stroked="true" strokeweight=".5pt" strokecolor="#000000">
              <v:stroke dashstyle="solid"/>
            </v:line>
            <v:shape style="position:absolute;left:4101;top:95;width:49;height:153" coordorigin="4101,96" coordsize="49,153" path="m4125,96l4125,128,4101,147,4150,164,4101,188,4150,208,4121,220,4121,249e" filled="false" stroked="true" strokeweight=".5pt" strokecolor="#000000">
              <v:path arrowok="t"/>
              <v:stroke dashstyle="solid"/>
            </v:shape>
            <w10:wrap type="none"/>
          </v:group>
        </w:pict>
      </w:r>
      <w:r>
        <w:rPr>
          <w:sz w:val="12"/>
        </w:rPr>
        <w:t>2.5</w:t>
      </w:r>
    </w:p>
    <w:p>
      <w:pPr>
        <w:spacing w:line="204" w:lineRule="exact" w:before="52"/>
        <w:ind w:left="305" w:right="0" w:firstLine="0"/>
        <w:jc w:val="left"/>
        <w:rPr>
          <w:sz w:val="12"/>
        </w:rPr>
      </w:pPr>
      <w:r>
        <w:rPr>
          <w:sz w:val="12"/>
        </w:rPr>
        <w:t>0    1     2    3     4     5     6    7      8     9    10  11   12   13   14   15  </w:t>
      </w:r>
      <w:r>
        <w:rPr>
          <w:position w:val="7"/>
          <w:sz w:val="12"/>
        </w:rPr>
        <w:t>0.0</w:t>
      </w:r>
    </w:p>
    <w:p>
      <w:pPr>
        <w:spacing w:line="134" w:lineRule="exact" w:before="0"/>
        <w:ind w:left="1416" w:right="1427" w:firstLine="0"/>
        <w:jc w:val="center"/>
        <w:rPr>
          <w:sz w:val="12"/>
        </w:rPr>
      </w:pPr>
      <w:r>
        <w:rPr>
          <w:sz w:val="12"/>
        </w:rPr>
        <w:t>Years ahead</w:t>
      </w:r>
    </w:p>
    <w:p>
      <w:pPr>
        <w:spacing w:before="76"/>
        <w:ind w:left="185" w:right="0" w:firstLine="0"/>
        <w:jc w:val="left"/>
        <w:rPr>
          <w:sz w:val="12"/>
        </w:rPr>
      </w:pPr>
      <w:r>
        <w:rPr>
          <w:color w:val="231F20"/>
          <w:sz w:val="12"/>
        </w:rPr>
        <w:t>Source: Bank of England.</w:t>
      </w:r>
    </w:p>
    <w:p>
      <w:pPr>
        <w:pStyle w:val="Heading5"/>
        <w:spacing w:line="242" w:lineRule="auto" w:before="1"/>
        <w:ind w:left="168" w:right="155"/>
      </w:pPr>
      <w:r>
        <w:rPr/>
        <w:br w:type="column"/>
      </w:r>
      <w:r>
        <w:rPr>
          <w:color w:val="231F20"/>
        </w:rPr>
        <w:t>have fallen at medium and longer horizons, particularly around six and seven years ahead. And index-linked gilt yields suggest that expected short-term real rates may have fallen since the previous </w:t>
      </w:r>
      <w:r>
        <w:rPr>
          <w:i/>
          <w:color w:val="231F20"/>
        </w:rPr>
        <w:t>Report</w:t>
      </w:r>
      <w:r>
        <w:rPr>
          <w:color w:val="231F20"/>
        </w:rPr>
        <w:t>, as Chart 2.13 shows.</w:t>
      </w:r>
    </w:p>
    <w:p>
      <w:pPr>
        <w:pStyle w:val="BodyText"/>
        <w:spacing w:before="7"/>
        <w:rPr>
          <w:sz w:val="26"/>
        </w:rPr>
      </w:pPr>
    </w:p>
    <w:p>
      <w:pPr>
        <w:spacing w:before="0"/>
        <w:ind w:left="168" w:right="0" w:firstLine="0"/>
        <w:jc w:val="left"/>
        <w:rPr>
          <w:sz w:val="24"/>
        </w:rPr>
      </w:pPr>
      <w:r>
        <w:rPr>
          <w:color w:val="231F20"/>
          <w:sz w:val="24"/>
        </w:rPr>
        <w:t>Nominal forward rates have also fallen overseas.</w:t>
      </w:r>
    </w:p>
    <w:p>
      <w:pPr>
        <w:spacing w:line="242" w:lineRule="auto" w:before="4"/>
        <w:ind w:left="168" w:right="109" w:hanging="1"/>
        <w:jc w:val="left"/>
        <w:rPr>
          <w:sz w:val="24"/>
        </w:rPr>
      </w:pPr>
      <w:r>
        <w:rPr>
          <w:color w:val="231F20"/>
          <w:sz w:val="24"/>
        </w:rPr>
        <w:t>Chart 2.14 shows that rates at a five-year maturity have generally fallen in European countries, perhaps because of greater confidence about EMU taking place and about its potential sustainability. But nominal rates have also fallen in the United States. US real rates, derived by comparing conventional and index-linked yields for five and ten-year gilts, have fallen, though by less than UK real rates. And US inflation expectations have fallen further than UK inflation expectations.</w:t>
      </w:r>
    </w:p>
    <w:p>
      <w:pPr>
        <w:pStyle w:val="BodyText"/>
        <w:spacing w:before="4"/>
        <w:rPr>
          <w:sz w:val="32"/>
        </w:rPr>
      </w:pPr>
    </w:p>
    <w:p>
      <w:pPr>
        <w:pStyle w:val="Heading6"/>
        <w:spacing w:before="1"/>
        <w:ind w:left="169"/>
        <w:rPr>
          <w:i/>
        </w:rPr>
      </w:pPr>
      <w:r>
        <w:rPr>
          <w:i/>
          <w:color w:val="009483"/>
        </w:rPr>
        <w:t>Exchange rates</w:t>
      </w:r>
    </w:p>
    <w:p>
      <w:pPr>
        <w:spacing w:line="242" w:lineRule="auto" w:before="124"/>
        <w:ind w:left="168" w:right="0" w:firstLine="0"/>
        <w:jc w:val="left"/>
        <w:rPr>
          <w:sz w:val="24"/>
        </w:rPr>
      </w:pPr>
      <w:r>
        <w:rPr>
          <w:color w:val="231F20"/>
          <w:sz w:val="24"/>
        </w:rPr>
        <w:t>The nominal effective exchange rate used in the inflation forecast—based on its average in the 15 working days to</w:t>
      </w:r>
    </w:p>
    <w:p>
      <w:pPr>
        <w:pStyle w:val="BodyText"/>
        <w:spacing w:before="8"/>
        <w:rPr>
          <w:sz w:val="9"/>
        </w:rPr>
      </w:pPr>
      <w:r>
        <w:rPr/>
        <w:pict>
          <v:shape style="position:absolute;margin-left:278.5pt;margin-top:7.627629pt;width:277pt;height:.1pt;mso-position-horizontal-relative:page;mso-position-vertical-relative:paragraph;z-index:-15654912;mso-wrap-distance-left:0;mso-wrap-distance-right:0" coordorigin="5570,153" coordsize="5540,0" path="m5570,153l11110,153e" filled="false" stroked="true" strokeweight=".125pt" strokecolor="#231f20">
            <v:path arrowok="t"/>
            <v:stroke dashstyle="solid"/>
            <w10:wrap type="topAndBottom"/>
          </v:shape>
        </w:pict>
      </w:r>
    </w:p>
    <w:p>
      <w:pPr>
        <w:spacing w:line="208" w:lineRule="auto" w:before="0"/>
        <w:ind w:left="411" w:right="729" w:hanging="240"/>
        <w:jc w:val="left"/>
        <w:rPr>
          <w:sz w:val="16"/>
        </w:rPr>
      </w:pPr>
      <w:r>
        <w:rPr>
          <w:color w:val="231F20"/>
          <w:sz w:val="16"/>
        </w:rPr>
        <w:t>(1) Long-term interest rates reflect the expected path of short-term rates and the risk premia associated with the uncertainty about future inflation and real interest rates. The implied level of short-term interest rates at different points in the future can be estimated from the current maturity structure of interest rates.</w:t>
      </w:r>
    </w:p>
    <w:p>
      <w:pPr>
        <w:spacing w:after="0" w:line="208" w:lineRule="auto"/>
        <w:jc w:val="left"/>
        <w:rPr>
          <w:sz w:val="16"/>
        </w:rPr>
        <w:sectPr>
          <w:type w:val="continuous"/>
          <w:pgSz w:w="11880" w:h="16840"/>
          <w:pgMar w:top="1040" w:bottom="280" w:left="640" w:right="640"/>
          <w:cols w:num="2" w:equalWidth="0">
            <w:col w:w="3854" w:space="938"/>
            <w:col w:w="5808"/>
          </w:cols>
        </w:sectPr>
      </w:pPr>
    </w:p>
    <w:p>
      <w:pPr>
        <w:pStyle w:val="BodyText"/>
        <w:rPr>
          <w:sz w:val="20"/>
        </w:rPr>
      </w:pPr>
    </w:p>
    <w:p>
      <w:pPr>
        <w:spacing w:after="0"/>
        <w:rPr>
          <w:sz w:val="20"/>
        </w:rPr>
        <w:sectPr>
          <w:headerReference w:type="default" r:id="rId23"/>
          <w:headerReference w:type="even" r:id="rId24"/>
          <w:footerReference w:type="default" r:id="rId25"/>
          <w:footerReference w:type="even" r:id="rId26"/>
          <w:pgSz w:w="11880" w:h="16840"/>
          <w:pgMar w:header="566" w:footer="597" w:top="760" w:bottom="780" w:left="640" w:right="640"/>
          <w:pgNumType w:start="15"/>
        </w:sectPr>
      </w:pPr>
    </w:p>
    <w:p>
      <w:pPr>
        <w:pStyle w:val="BodyText"/>
        <w:spacing w:before="7"/>
        <w:rPr>
          <w:sz w:val="19"/>
        </w:rPr>
      </w:pPr>
    </w:p>
    <w:p>
      <w:pPr>
        <w:pStyle w:val="Heading9"/>
        <w:spacing w:before="1"/>
        <w:ind w:left="164"/>
      </w:pPr>
      <w:r>
        <w:rPr>
          <w:color w:val="0093C1"/>
        </w:rPr>
        <w:t>Chart 2.13</w:t>
      </w:r>
    </w:p>
    <w:p>
      <w:pPr>
        <w:spacing w:line="249" w:lineRule="auto" w:before="10"/>
        <w:ind w:left="164" w:right="20" w:firstLine="0"/>
        <w:jc w:val="left"/>
        <w:rPr>
          <w:sz w:val="12"/>
        </w:rPr>
      </w:pPr>
      <w:r>
        <w:rPr>
          <w:b/>
          <w:color w:val="0093C1"/>
          <w:sz w:val="20"/>
        </w:rPr>
        <w:t>Average annual real interest rates expected in the next ten years</w:t>
      </w:r>
      <w:r>
        <w:rPr>
          <w:color w:val="231F20"/>
          <w:position w:val="4"/>
          <w:sz w:val="12"/>
        </w:rPr>
        <w:t>(a)</w:t>
      </w:r>
    </w:p>
    <w:p>
      <w:pPr>
        <w:spacing w:before="3"/>
        <w:ind w:left="3089" w:right="0" w:firstLine="0"/>
        <w:jc w:val="left"/>
        <w:rPr>
          <w:sz w:val="12"/>
        </w:rPr>
      </w:pPr>
      <w:r>
        <w:rPr>
          <w:sz w:val="12"/>
        </w:rPr>
        <w:t>Per cent </w:t>
      </w:r>
      <w:r>
        <w:rPr>
          <w:spacing w:val="5"/>
          <w:sz w:val="12"/>
        </w:rPr>
        <w:t> </w:t>
      </w:r>
      <w:r>
        <w:rPr>
          <w:position w:val="-5"/>
          <w:sz w:val="12"/>
        </w:rPr>
        <w:t>4.8</w:t>
      </w:r>
    </w:p>
    <w:p>
      <w:pPr>
        <w:spacing w:before="142"/>
        <w:ind w:left="0" w:right="201" w:firstLine="0"/>
        <w:jc w:val="right"/>
        <w:rPr>
          <w:sz w:val="12"/>
        </w:rPr>
      </w:pPr>
      <w:r>
        <w:rPr/>
        <w:pict>
          <v:group style="position:absolute;margin-left:42.73pt;margin-top:3.701565pt;width:163pt;height:134pt;mso-position-horizontal-relative:page;mso-position-vertical-relative:paragraph;z-index:-20920832" coordorigin="855,74" coordsize="3260,2680">
            <v:shape style="position:absolute;left:854;top:224;width:80;height:540" coordorigin="855,224" coordsize="80,540" path="m935,764l855,764m935,504l855,504m935,224l855,224e" filled="false" stroked="true" strokeweight=".5pt" strokecolor="#000000">
              <v:path arrowok="t"/>
              <v:stroke dashstyle="solid"/>
            </v:shape>
            <v:shape style="position:absolute;left:964;top:194;width:380;height:680" type="#_x0000_t75" stroked="false">
              <v:imagedata r:id="rId27" o:title=""/>
            </v:shape>
            <v:shape style="position:absolute;left:1334;top:84;width:1660;height:2660" coordorigin="1335,84" coordsize="1660,2660" path="m1335,204l1335,144,1355,104,1355,84,1355,304,1375,344,1375,564m1375,564l1375,724,1395,784m1395,784l1395,1184,1415,1224,1415,1624m1415,1624l1415,1664,1435,1704,1435,1824,1455,1824,1455,1684m1455,1684l1455,1664,1475,1644,1475,1444,1495,1444,1495,1404m1495,1404l1495,1424,1515,1424,1515,1484,1535,1504,1535,1584m1535,1584l1535,1604,1555,1624,1555,1824,1575,1864,1575,1944m1575,1944l1575,1984,1595,2004,1595,2024m1595,2024l1595,2124,1615,2144,1615,2184m1615,2184l1635,2184,1655,2164,1655,2044m1655,2044l1675,2024,1675,1904,1695,1904m1695,1904l1695,1924,1715,1924,1715,1964,1735,1964,1735,1944m1735,1944l1755,1944,1755,1964,1775,1964,1775,2024m1775,2024l1795,2024,1795,2044m1795,2044l1795,2104,1815,2104m1815,2104l1835,2124,1835,2144,1855,2144,1855,2224m1855,2224l1875,2224,1875,2244,1895,2264m1895,2264l1915,2284,1915,2344,1935,2364,1935,2404m1935,2404l1955,2404,1955,2444,1975,2444,1975,2484m1975,2484l1975,2504,1995,2504,1995,2524m1995,2524l1995,2644,2015,2664,2015,2744,2035,2744m2035,2744l2035,2724,2035,2744,2055,2744,2055,2724,2075,2724m2075,2724l2075,2644,2095,2624,2095,2444m2115,2444l2115,2344,2135,2324,2135,2184m2135,2184l2135,2164,2155,2144,2155,2024,2175,2004,2175,1924m2175,1924l2175,1904,2195,1884,2195,1864m2195,1864l2195,1764,2215,1744,2215,1544,2235,1524,2235,1504m2235,1504l2235,1364,2255,1344,2255,1284,2275,1284,2275,1264m2275,1264l2275,1204,2295,1204,2295,1224,2315,1224m2315,1224l2315,1244,2315,1224,2335,1224,2335,1284m2335,1284l2355,1304,2355,1384,2375,1384,2375,1304m2375,1304l2395,1284,2395,1264m2395,1264l2395,1224,2415,1204,2415,1244,2435,1264m2435,1264l2435,1284,2435,1264,2455,1264,2455,1244,2475,1244m2475,1244l2475,1264,2495,1264,2495,1244,2515,1244m2515,1244l2535,1244,2555,1224m2555,1224l2555,1184,2595,1184m2585,1194l2605,1194m2595,1204l2595,1224,2615,1224,2615,1244,2615,1224,2635,1204m2635,1204l2635,1224,2655,1224,2655,1264,2675,1264,2675,1284m2675,1284l2675,1324,2695,1324,2695,1384,2715,1404m2715,1404l2715,1504,2735,1524,2735,1684,2755,1704m2755,1704l2755,1664,2775,1664,2775,1504,2795,1504m2785,1494l2805,1494m2795,1504l2795,1504,2815,1484,2815,1544,2835,1544,2835,1564m2835,1564l2835,1584,2855,1604,2855,1724,2875,1724,2875,1744m2875,1744l2875,1804,2895,1804,2895,1784,2915,1784,2915,1744m2915,1744l2915,1624,2935,1604,2935,1484,2955,1484m2955,1484l2955,1464,2955,1484,2975,1484,2975,1564,2995,1584e" filled="false" stroked="true" strokeweight="1pt" strokecolor="#00a995">
              <v:path arrowok="t"/>
              <v:stroke dashstyle="solid"/>
            </v:shape>
            <v:line style="position:absolute" from="2985,1604" to="3005,1604" stroked="true" strokeweight="2pt" strokecolor="#00a995">
              <v:stroke dashstyle="solid"/>
            </v:line>
            <v:shape style="position:absolute;left:2994;top:1284;width:920;height:620" coordorigin="2995,1284" coordsize="920,620" path="m2995,1624l2995,1664,3015,1684,3015,1724,3035,1724,3035,1744m3035,1744l3075,1744,3075,1764m3075,1764l3075,1724,3095,1724,3095,1664,3115,1644,3115,1604m3115,1604l3115,1544,3135,1544,3135,1464,3155,1464,3155,1444m3155,1444l3155,1384,3175,1384,3175,1404,3195,1404m3185,1414l3205,1414m3195,1424l3195,1464,3215,1464,3235,1444,3235,1424m3235,1424l3235,1384,3255,1384,3255,1324,3275,1324,3275,1284m3275,1284l3295,1284,3295,1304,3315,1304,3315,1344m3315,1344l3315,1364,3335,1364,3335,1384,3355,1384,3355,1404m3355,1404l3355,1444,3375,1464,3375,1524,3395,1524m3395,1544l3395,1544m3395,1544l3395,1524,3415,1524,3415,1544,3435,1544,3435,1624m3435,1624l3435,1644,3455,1664,3455,1764,3475,1764,3475,1744m3475,1744l3475,1724,3495,1704,3515,1704,3515,1744m3515,1744l3515,1764,3535,1764,3535,1744,3555,1744,3555,1724m3555,1724l3555,1684,3575,1684,3575,1664,3575,1684,3595,1664m3595,1664l3595,1664m3595,1664l3595,1704,3615,1724,3615,1804,3635,1824,3635,1904m3635,1904l3655,1904,3655,1804,3675,1784,3675,1704m3675,1704l3675,1684,3695,1664,3695,1584,3715,1564m3715,1564l3715,1564,3735,1584,3735,1644,3755,1644m3755,1644l3755,1604,3775,1584,3775,1484,3795,1484,3795,1464m3785,1454l3805,1454m3815,1444l3815,1484,3835,1484,3835,1524m3835,1524l3835,1524,3855,1544,3875,1544,3875,1564m3875,1564l3895,1564,3915,1584,3915,1604e" filled="false" stroked="true" strokeweight="1pt" strokecolor="#00a995">
              <v:path arrowok="t"/>
              <v:stroke dashstyle="solid"/>
            </v:shape>
            <v:shape style="position:absolute;left:4034;top:1584;width:80;height:280" coordorigin="4035,1584" coordsize="80,280" path="m4115,1864l4035,1864m4115,1584l4035,1584e" filled="false" stroked="true" strokeweight=".5pt" strokecolor="#000000">
              <v:path arrowok="t"/>
              <v:stroke dashstyle="solid"/>
            </v:shape>
            <v:shape style="position:absolute;left:3914;top:1604;width:40;height:340" coordorigin="3915,1604" coordsize="40,340" path="m3915,1604l3915,1624,3935,1644,3935,1764,3955,1784,3955,1944e" filled="false" stroked="true" strokeweight="1pt" strokecolor="#00a995">
              <v:path arrowok="t"/>
              <v:stroke dashstyle="solid"/>
            </v:shape>
            <v:line style="position:absolute" from="4115,2144" to="4035,2144" stroked="true" strokeweight=".5pt" strokecolor="#000000">
              <v:stroke dashstyle="solid"/>
            </v:line>
            <v:shape style="position:absolute;left:3954;top:1944;width:40;height:140" coordorigin="3955,1944" coordsize="40,140" path="m3955,1944l3955,1984,3975,2004,3975,2084,3995,2084e" filled="false" stroked="true" strokeweight="1pt" strokecolor="#00a995">
              <v:path arrowok="t"/>
              <v:stroke dashstyle="solid"/>
            </v:shape>
            <w10:wrap type="none"/>
          </v:group>
        </w:pict>
      </w:r>
      <w:r>
        <w:rPr/>
        <w:pict>
          <v:line style="position:absolute;mso-position-horizontal-relative:page;mso-position-vertical-relative:paragraph;z-index:15820800" from="205.729996pt,11.201565pt" to="201.729996pt,11.201565pt" stroked="true" strokeweight=".5pt" strokecolor="#000000">
            <v:stroke dashstyle="solid"/>
            <w10:wrap type="none"/>
          </v:line>
        </w:pict>
      </w:r>
      <w:r>
        <w:rPr>
          <w:sz w:val="12"/>
        </w:rPr>
        <w:t>4.6</w:t>
      </w:r>
    </w:p>
    <w:p>
      <w:pPr>
        <w:pStyle w:val="BodyText"/>
        <w:spacing w:before="7"/>
        <w:rPr>
          <w:sz w:val="10"/>
        </w:rPr>
      </w:pPr>
    </w:p>
    <w:p>
      <w:pPr>
        <w:spacing w:before="0"/>
        <w:ind w:left="0" w:right="201" w:firstLine="0"/>
        <w:jc w:val="right"/>
        <w:rPr>
          <w:sz w:val="12"/>
        </w:rPr>
      </w:pPr>
      <w:r>
        <w:rPr/>
        <w:pict>
          <v:line style="position:absolute;mso-position-horizontal-relative:page;mso-position-vertical-relative:paragraph;z-index:15820288" from="205.729996pt,5.101565pt" to="201.729996pt,5.101565pt" stroked="true" strokeweight=".5pt" strokecolor="#000000">
            <v:stroke dashstyle="solid"/>
            <w10:wrap type="none"/>
          </v:line>
        </w:pict>
      </w:r>
      <w:r>
        <w:rPr>
          <w:sz w:val="12"/>
        </w:rPr>
        <w:t>4.4</w:t>
      </w:r>
    </w:p>
    <w:p>
      <w:pPr>
        <w:pStyle w:val="BodyText"/>
        <w:spacing w:before="4"/>
        <w:rPr>
          <w:sz w:val="12"/>
        </w:rPr>
      </w:pPr>
    </w:p>
    <w:p>
      <w:pPr>
        <w:spacing w:before="0"/>
        <w:ind w:left="0" w:right="201" w:firstLine="0"/>
        <w:jc w:val="right"/>
        <w:rPr>
          <w:sz w:val="12"/>
        </w:rPr>
      </w:pPr>
      <w:r>
        <w:rPr/>
        <w:pict>
          <v:line style="position:absolute;mso-position-horizontal-relative:page;mso-position-vertical-relative:paragraph;z-index:15819776" from="205.729996pt,4.101565pt" to="201.729996pt,4.101565pt" stroked="true" strokeweight=".5pt" strokecolor="#000000">
            <v:stroke dashstyle="solid"/>
            <w10:wrap type="none"/>
          </v:line>
        </w:pict>
      </w:r>
      <w:r>
        <w:rPr>
          <w:sz w:val="12"/>
        </w:rPr>
        <w:t>4.2</w:t>
      </w:r>
    </w:p>
    <w:p>
      <w:pPr>
        <w:pStyle w:val="BodyText"/>
        <w:spacing w:before="4"/>
        <w:rPr>
          <w:sz w:val="12"/>
        </w:rPr>
      </w:pPr>
    </w:p>
    <w:p>
      <w:pPr>
        <w:spacing w:before="0"/>
        <w:ind w:left="0" w:right="201" w:firstLine="0"/>
        <w:jc w:val="right"/>
        <w:rPr>
          <w:sz w:val="12"/>
        </w:rPr>
      </w:pPr>
      <w:r>
        <w:rPr/>
        <w:pict>
          <v:line style="position:absolute;mso-position-horizontal-relative:page;mso-position-vertical-relative:paragraph;z-index:-20921344" from="46.73pt,4.101565pt" to="42.73pt,4.101565pt" stroked="true" strokeweight=".5pt" strokecolor="#000000">
            <v:stroke dashstyle="solid"/>
            <w10:wrap type="none"/>
          </v:line>
        </w:pict>
      </w:r>
      <w:r>
        <w:rPr/>
        <w:pict>
          <v:line style="position:absolute;mso-position-horizontal-relative:page;mso-position-vertical-relative:paragraph;z-index:15819264" from="205.729996pt,4.101565pt" to="201.729996pt,4.101565pt" stroked="true" strokeweight=".5pt" strokecolor="#000000">
            <v:stroke dashstyle="solid"/>
            <w10:wrap type="none"/>
          </v:line>
        </w:pict>
      </w:r>
      <w:r>
        <w:rPr>
          <w:sz w:val="12"/>
        </w:rPr>
        <w:t>4.0</w:t>
      </w:r>
    </w:p>
    <w:p>
      <w:pPr>
        <w:pStyle w:val="Heading5"/>
        <w:spacing w:line="242" w:lineRule="auto" w:before="220"/>
        <w:ind w:left="164" w:right="231"/>
      </w:pPr>
      <w:r>
        <w:rPr/>
        <w:br w:type="column"/>
      </w:r>
      <w:r>
        <w:rPr>
          <w:color w:val="231F20"/>
        </w:rPr>
        <w:t>5 November—was 102.0. This was 3% lower than the exchange rate used in the inflation projection in the August </w:t>
      </w:r>
      <w:r>
        <w:rPr>
          <w:i/>
          <w:color w:val="231F20"/>
        </w:rPr>
        <w:t>Report</w:t>
      </w:r>
      <w:r>
        <w:rPr>
          <w:color w:val="231F20"/>
        </w:rPr>
        <w:t>, having fluctuated in response to press reports on the likelihood of the United Kingdom joining EMU. Sterling remains around 20% higher than at the time of the August 1996 </w:t>
      </w:r>
      <w:r>
        <w:rPr>
          <w:i/>
          <w:color w:val="231F20"/>
        </w:rPr>
        <w:t>Report</w:t>
      </w:r>
      <w:r>
        <w:rPr>
          <w:color w:val="231F20"/>
        </w:rPr>
        <w:t>, when sterling reached its trough (see Chart 2.15).</w:t>
      </w:r>
    </w:p>
    <w:p>
      <w:pPr>
        <w:spacing w:after="0" w:line="242" w:lineRule="auto"/>
        <w:sectPr>
          <w:type w:val="continuous"/>
          <w:pgSz w:w="11880" w:h="16840"/>
          <w:pgMar w:top="1040" w:bottom="280" w:left="640" w:right="640"/>
          <w:cols w:num="2" w:equalWidth="0">
            <w:col w:w="3898" w:space="901"/>
            <w:col w:w="5801"/>
          </w:cols>
        </w:sectPr>
      </w:pPr>
    </w:p>
    <w:p>
      <w:pPr>
        <w:pStyle w:val="BodyText"/>
        <w:rPr>
          <w:sz w:val="19"/>
        </w:rPr>
      </w:pPr>
    </w:p>
    <w:p>
      <w:pPr>
        <w:pStyle w:val="BodyText"/>
        <w:spacing w:line="20" w:lineRule="exact"/>
        <w:ind w:left="209"/>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spacing w:before="5"/>
        <w:rPr>
          <w:sz w:val="17"/>
        </w:rPr>
      </w:pPr>
      <w:r>
        <w:rPr/>
        <w:pict>
          <v:shape style="position:absolute;margin-left:42.73pt;margin-top:12.25pt;width:4pt;height:.1pt;mso-position-horizontal-relative:page;mso-position-vertical-relative:paragraph;z-index:-15644160;mso-wrap-distance-left:0;mso-wrap-distance-right:0" coordorigin="855,245" coordsize="80,0" path="m935,245l855,245e" filled="false" stroked="true" strokeweight=".5pt" strokecolor="#000000">
            <v:path arrowok="t"/>
            <v:stroke dashstyle="solid"/>
            <w10:wrap type="topAndBottom"/>
          </v:shape>
        </w:pict>
      </w:r>
      <w:r>
        <w:rPr/>
        <w:pict>
          <v:shape style="position:absolute;margin-left:42.73pt;margin-top:26.25pt;width:4pt;height:.1pt;mso-position-horizontal-relative:page;mso-position-vertical-relative:paragraph;z-index:-15643648;mso-wrap-distance-left:0;mso-wrap-distance-right:0" coordorigin="855,525" coordsize="80,0" path="m935,525l855,525e" filled="false" stroked="true" strokeweight=".5pt" strokecolor="#000000">
            <v:path arrowok="t"/>
            <v:stroke dashstyle="solid"/>
            <w10:wrap type="topAndBottom"/>
          </v:shape>
        </w:pict>
      </w:r>
      <w:r>
        <w:rPr/>
        <w:pict>
          <v:shape style="position:absolute;margin-left:42.73pt;margin-top:40.25pt;width:4pt;height:.1pt;mso-position-horizontal-relative:page;mso-position-vertical-relative:paragraph;z-index:-15643136;mso-wrap-distance-left:0;mso-wrap-distance-right:0" coordorigin="855,805" coordsize="80,0" path="m935,805l855,805e" filled="false" stroked="true" strokeweight=".5pt" strokecolor="#000000">
            <v:path arrowok="t"/>
            <v:stroke dashstyle="solid"/>
            <w10:wrap type="topAndBottom"/>
          </v:shape>
        </w:pict>
      </w:r>
      <w:r>
        <w:rPr/>
        <w:pict>
          <v:shape style="position:absolute;margin-left:42.73pt;margin-top:54.25pt;width:4pt;height:.1pt;mso-position-horizontal-relative:page;mso-position-vertical-relative:paragraph;z-index:-15642624;mso-wrap-distance-left:0;mso-wrap-distance-right:0" coordorigin="855,1085" coordsize="80,0" path="m935,1085l855,1085e" filled="false" stroked="true" strokeweight=".5pt" strokecolor="#000000">
            <v:path arrowok="t"/>
            <v:stroke dashstyle="solid"/>
            <w10:wrap type="topAndBottom"/>
          </v:shape>
        </w:pict>
      </w:r>
      <w:r>
        <w:rPr/>
        <w:pict>
          <v:shape style="position:absolute;margin-left:42.73pt;margin-top:67.25pt;width:4pt;height:.1pt;mso-position-horizontal-relative:page;mso-position-vertical-relative:paragraph;z-index:-15642112;mso-wrap-distance-left:0;mso-wrap-distance-right:0" coordorigin="855,1345" coordsize="80,0" path="m935,1345l855,1345e" filled="false" stroked="true" strokeweight=".5pt" strokecolor="#000000">
            <v:path arrowok="t"/>
            <v:stroke dashstyle="solid"/>
            <w10:wrap type="topAndBottom"/>
          </v:shape>
        </w:pict>
      </w:r>
    </w:p>
    <w:p>
      <w:pPr>
        <w:pStyle w:val="BodyText"/>
        <w:spacing w:before="6"/>
        <w:rPr>
          <w:sz w:val="17"/>
        </w:rPr>
      </w:pPr>
    </w:p>
    <w:p>
      <w:pPr>
        <w:pStyle w:val="BodyText"/>
        <w:spacing w:before="6"/>
        <w:rPr>
          <w:sz w:val="17"/>
        </w:rPr>
      </w:pPr>
    </w:p>
    <w:p>
      <w:pPr>
        <w:pStyle w:val="BodyText"/>
        <w:spacing w:before="6"/>
        <w:rPr>
          <w:sz w:val="17"/>
        </w:rPr>
      </w:pPr>
    </w:p>
    <w:p>
      <w:pPr>
        <w:pStyle w:val="BodyText"/>
        <w:spacing w:before="9"/>
        <w:rPr>
          <w:sz w:val="15"/>
        </w:rPr>
      </w:pPr>
    </w:p>
    <w:p>
      <w:pPr>
        <w:pStyle w:val="BodyText"/>
        <w:rPr>
          <w:sz w:val="12"/>
        </w:rPr>
      </w:pPr>
    </w:p>
    <w:p>
      <w:pPr>
        <w:pStyle w:val="BodyText"/>
        <w:rPr>
          <w:sz w:val="12"/>
        </w:rPr>
      </w:pPr>
    </w:p>
    <w:p>
      <w:pPr>
        <w:pStyle w:val="BodyText"/>
        <w:spacing w:before="10"/>
        <w:rPr>
          <w:sz w:val="12"/>
        </w:rPr>
      </w:pPr>
    </w:p>
    <w:p>
      <w:pPr>
        <w:spacing w:before="0"/>
        <w:ind w:left="0" w:right="0" w:firstLine="0"/>
        <w:jc w:val="right"/>
        <w:rPr>
          <w:sz w:val="12"/>
        </w:rPr>
      </w:pPr>
      <w:r>
        <w:rPr>
          <w:sz w:val="12"/>
        </w:rPr>
        <w:t>1992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tabs>
          <w:tab w:pos="799" w:val="left" w:leader="none"/>
          <w:tab w:pos="1319" w:val="left" w:leader="none"/>
        </w:tabs>
        <w:spacing w:before="0"/>
        <w:ind w:left="299" w:right="0" w:firstLine="0"/>
        <w:jc w:val="left"/>
        <w:rPr>
          <w:sz w:val="12"/>
        </w:rPr>
      </w:pPr>
      <w:r>
        <w:rPr>
          <w:sz w:val="12"/>
        </w:rPr>
        <w:t>93</w:t>
        <w:tab/>
        <w:t>94</w:t>
        <w:tab/>
      </w:r>
      <w:r>
        <w:rPr>
          <w:spacing w:val="-10"/>
          <w:sz w:val="12"/>
        </w:rPr>
        <w:t>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tabs>
          <w:tab w:pos="879" w:val="left" w:leader="none"/>
        </w:tabs>
        <w:spacing w:before="0"/>
        <w:ind w:left="359" w:right="0" w:firstLine="0"/>
        <w:jc w:val="left"/>
        <w:rPr>
          <w:sz w:val="12"/>
        </w:rPr>
      </w:pPr>
      <w:r>
        <w:rPr>
          <w:sz w:val="12"/>
        </w:rPr>
        <w:t>96</w:t>
        <w:tab/>
      </w:r>
      <w:r>
        <w:rPr>
          <w:spacing w:val="-10"/>
          <w:sz w:val="12"/>
        </w:rPr>
        <w:t>97</w:t>
      </w:r>
    </w:p>
    <w:p>
      <w:pPr>
        <w:pStyle w:val="BodyText"/>
        <w:spacing w:before="4"/>
        <w:rPr>
          <w:sz w:val="12"/>
        </w:rPr>
      </w:pPr>
      <w:r>
        <w:rPr/>
        <w:br w:type="column"/>
      </w:r>
      <w:r>
        <w:rPr>
          <w:sz w:val="12"/>
        </w:rPr>
      </w:r>
    </w:p>
    <w:p>
      <w:pPr>
        <w:spacing w:before="0"/>
        <w:ind w:left="240" w:right="0" w:firstLine="0"/>
        <w:jc w:val="left"/>
        <w:rPr>
          <w:sz w:val="12"/>
        </w:rPr>
      </w:pPr>
      <w:r>
        <w:rPr>
          <w:sz w:val="12"/>
        </w:rPr>
        <w:t>3.8</w:t>
      </w:r>
    </w:p>
    <w:p>
      <w:pPr>
        <w:pStyle w:val="BodyText"/>
        <w:spacing w:before="7"/>
        <w:rPr>
          <w:sz w:val="10"/>
        </w:rPr>
      </w:pPr>
    </w:p>
    <w:p>
      <w:pPr>
        <w:spacing w:before="0"/>
        <w:ind w:left="240" w:right="0" w:firstLine="0"/>
        <w:jc w:val="left"/>
        <w:rPr>
          <w:sz w:val="12"/>
        </w:rPr>
      </w:pPr>
      <w:r>
        <w:rPr/>
        <w:pict>
          <v:line style="position:absolute;mso-position-horizontal-relative:page;mso-position-vertical-relative:paragraph;z-index:15818752" from="205.729996pt,-8.898435pt" to="201.729996pt,-8.898435pt" stroked="true" strokeweight=".5pt" strokecolor="#000000">
            <v:stroke dashstyle="solid"/>
            <w10:wrap type="none"/>
          </v:line>
        </w:pict>
      </w:r>
      <w:r>
        <w:rPr>
          <w:sz w:val="12"/>
        </w:rPr>
        <w:t>3.6</w:t>
      </w:r>
    </w:p>
    <w:p>
      <w:pPr>
        <w:pStyle w:val="BodyText"/>
        <w:spacing w:before="4"/>
        <w:rPr>
          <w:sz w:val="12"/>
        </w:rPr>
      </w:pPr>
    </w:p>
    <w:p>
      <w:pPr>
        <w:spacing w:before="0"/>
        <w:ind w:left="240" w:right="0" w:firstLine="0"/>
        <w:jc w:val="left"/>
        <w:rPr>
          <w:sz w:val="12"/>
        </w:rPr>
      </w:pPr>
      <w:r>
        <w:rPr>
          <w:sz w:val="12"/>
        </w:rPr>
        <w:t>3.4</w:t>
      </w:r>
    </w:p>
    <w:p>
      <w:pPr>
        <w:pStyle w:val="BodyText"/>
        <w:spacing w:before="7"/>
        <w:rPr>
          <w:sz w:val="10"/>
        </w:rPr>
      </w:pPr>
    </w:p>
    <w:p>
      <w:pPr>
        <w:spacing w:before="0"/>
        <w:ind w:left="240" w:right="0" w:firstLine="0"/>
        <w:jc w:val="left"/>
        <w:rPr>
          <w:sz w:val="12"/>
        </w:rPr>
      </w:pPr>
      <w:r>
        <w:rPr>
          <w:sz w:val="12"/>
        </w:rPr>
        <w:t>3.2</w:t>
      </w:r>
    </w:p>
    <w:p>
      <w:pPr>
        <w:pStyle w:val="BodyText"/>
        <w:spacing w:before="4"/>
        <w:rPr>
          <w:sz w:val="12"/>
        </w:rPr>
      </w:pPr>
    </w:p>
    <w:p>
      <w:pPr>
        <w:spacing w:before="0"/>
        <w:ind w:left="240" w:right="0" w:firstLine="0"/>
        <w:jc w:val="left"/>
        <w:rPr>
          <w:sz w:val="12"/>
        </w:rPr>
      </w:pPr>
      <w:r>
        <w:rPr/>
        <w:pict>
          <v:line style="position:absolute;mso-position-horizontal-relative:page;mso-position-vertical-relative:paragraph;z-index:15818240" from="205.729996pt,5.101565pt" to="201.729996pt,5.101565pt" stroked="true" strokeweight=".5pt" strokecolor="#000000">
            <v:stroke dashstyle="solid"/>
            <w10:wrap type="none"/>
          </v:line>
        </w:pict>
      </w:r>
      <w:r>
        <w:rPr>
          <w:sz w:val="12"/>
        </w:rPr>
        <w:t>3.0</w:t>
      </w:r>
    </w:p>
    <w:p>
      <w:pPr>
        <w:pStyle w:val="BodyText"/>
        <w:spacing w:before="4"/>
        <w:rPr>
          <w:sz w:val="12"/>
        </w:rPr>
      </w:pPr>
    </w:p>
    <w:p>
      <w:pPr>
        <w:spacing w:before="0"/>
        <w:ind w:left="240" w:right="0" w:firstLine="0"/>
        <w:jc w:val="left"/>
        <w:rPr>
          <w:sz w:val="12"/>
        </w:rPr>
      </w:pPr>
      <w:r>
        <w:rPr/>
        <w:pict>
          <v:line style="position:absolute;mso-position-horizontal-relative:page;mso-position-vertical-relative:paragraph;z-index:15817728" from="205.729996pt,4.101565pt" to="201.729996pt,4.101565pt" stroked="true" strokeweight=".5pt" strokecolor="#000000">
            <v:stroke dashstyle="solid"/>
            <w10:wrap type="none"/>
          </v:line>
        </w:pict>
      </w:r>
      <w:r>
        <w:rPr>
          <w:sz w:val="12"/>
        </w:rPr>
        <w:t>2.8</w:t>
      </w:r>
    </w:p>
    <w:p>
      <w:pPr>
        <w:pStyle w:val="BodyText"/>
        <w:spacing w:before="4"/>
        <w:rPr>
          <w:sz w:val="12"/>
        </w:rPr>
      </w:pPr>
    </w:p>
    <w:p>
      <w:pPr>
        <w:spacing w:before="0"/>
        <w:ind w:left="240" w:right="0" w:firstLine="0"/>
        <w:jc w:val="left"/>
        <w:rPr>
          <w:sz w:val="12"/>
        </w:rPr>
      </w:pPr>
      <w:r>
        <w:rPr/>
        <w:pict>
          <v:group style="position:absolute;margin-left:42.73pt;margin-top:3.851565pt;width:164.5pt;height:7.5pt;mso-position-horizontal-relative:page;mso-position-vertical-relative:paragraph;z-index:15816192" coordorigin="855,77" coordsize="3290,150">
            <v:shape style="position:absolute;left:854;top:82;width:3260;height:140" coordorigin="855,82" coordsize="3260,140" path="m935,82l855,82m4115,82l4035,82m975,222l3995,222m1495,222l1495,182m2015,222l2015,182m2515,222l2515,182m3035,222l3035,182m3555,222l3555,182m975,222l975,182m1070,222l855,222m4115,222l3700,222e" filled="false" stroked="true" strokeweight=".5pt" strokecolor="#000000">
              <v:path arrowok="t"/>
              <v:stroke dashstyle="solid"/>
            </v:shape>
            <v:shape style="position:absolute;left:914;top:88;width:3225;height:127" coordorigin="915,89" coordsize="3225,127" path="m4120,89l4120,115,4100,132,4140,145,4100,165,4140,182,4116,192,4116,215m935,89l935,115,915,132,955,145,915,165,955,182,931,192,931,215e" filled="false" stroked="true" strokeweight=".5pt" strokecolor="#000000">
              <v:path arrowok="t"/>
              <v:stroke dashstyle="solid"/>
            </v:shape>
            <w10:wrap type="none"/>
          </v:group>
        </w:pict>
      </w:r>
      <w:r>
        <w:rPr>
          <w:sz w:val="12"/>
        </w:rPr>
        <w:t>2.6</w:t>
      </w:r>
    </w:p>
    <w:p>
      <w:pPr>
        <w:spacing w:before="12"/>
        <w:ind w:left="240" w:right="0" w:firstLine="0"/>
        <w:jc w:val="left"/>
        <w:rPr>
          <w:sz w:val="12"/>
        </w:rPr>
      </w:pPr>
      <w:r>
        <w:rPr>
          <w:sz w:val="12"/>
        </w:rPr>
        <w:t>0.0</w:t>
      </w:r>
    </w:p>
    <w:p>
      <w:pPr>
        <w:pStyle w:val="BodyText"/>
        <w:spacing w:before="10"/>
        <w:rPr>
          <w:sz w:val="23"/>
        </w:rPr>
      </w:pPr>
      <w:r>
        <w:rPr/>
        <w:br w:type="column"/>
      </w:r>
      <w:r>
        <w:rPr>
          <w:sz w:val="23"/>
        </w:rPr>
      </w:r>
    </w:p>
    <w:p>
      <w:pPr>
        <w:pStyle w:val="Heading5"/>
        <w:spacing w:line="242" w:lineRule="auto"/>
        <w:ind w:left="504" w:right="563"/>
      </w:pPr>
      <w:r>
        <w:rPr>
          <w:color w:val="231F20"/>
        </w:rPr>
        <w:t>Sterling rose by 18% against the Deutsche Mark and by 11% against the Japanese yen in the year to October. Though it has fallen by 3% against the</w:t>
      </w:r>
    </w:p>
    <w:p>
      <w:pPr>
        <w:spacing w:line="242" w:lineRule="auto" w:before="4"/>
        <w:ind w:left="504" w:right="257" w:firstLine="0"/>
        <w:jc w:val="left"/>
        <w:rPr>
          <w:sz w:val="24"/>
        </w:rPr>
      </w:pPr>
      <w:r>
        <w:rPr>
          <w:color w:val="231F20"/>
          <w:sz w:val="24"/>
        </w:rPr>
        <w:t>Deutsche Mark since August, it has risen by 5% against the Japanese yen in the same period. Against the</w:t>
      </w:r>
    </w:p>
    <w:p>
      <w:pPr>
        <w:spacing w:line="242" w:lineRule="auto" w:before="3"/>
        <w:ind w:left="504" w:right="257" w:firstLine="0"/>
        <w:jc w:val="left"/>
        <w:rPr>
          <w:sz w:val="24"/>
        </w:rPr>
      </w:pPr>
      <w:r>
        <w:rPr>
          <w:color w:val="231F20"/>
          <w:sz w:val="24"/>
        </w:rPr>
        <w:t>US dollar, sterling rose by 3% in the year to October, with an increase of 2% since August. The Bundesbank</w:t>
      </w:r>
    </w:p>
    <w:p>
      <w:pPr>
        <w:spacing w:after="0" w:line="242" w:lineRule="auto"/>
        <w:jc w:val="left"/>
        <w:rPr>
          <w:sz w:val="24"/>
        </w:rPr>
        <w:sectPr>
          <w:type w:val="continuous"/>
          <w:pgSz w:w="11880" w:h="16840"/>
          <w:pgMar w:top="1040" w:bottom="280" w:left="640" w:right="640"/>
          <w:cols w:num="5" w:equalWidth="0">
            <w:col w:w="745" w:space="40"/>
            <w:col w:w="1440" w:space="39"/>
            <w:col w:w="1000" w:space="40"/>
            <w:col w:w="431" w:space="725"/>
            <w:col w:w="6140"/>
          </w:cols>
        </w:sectPr>
      </w:pPr>
    </w:p>
    <w:p>
      <w:pPr>
        <w:spacing w:line="92" w:lineRule="exact" w:before="0"/>
        <w:ind w:left="164" w:right="0" w:firstLine="0"/>
        <w:jc w:val="left"/>
        <w:rPr>
          <w:sz w:val="12"/>
        </w:rPr>
      </w:pPr>
      <w:r>
        <w:rPr>
          <w:color w:val="231F20"/>
          <w:sz w:val="12"/>
        </w:rPr>
        <w:t>Note: Daily data. Final observation is 5 November.</w:t>
      </w:r>
    </w:p>
    <w:p>
      <w:pPr>
        <w:spacing w:before="102"/>
        <w:ind w:left="164" w:right="0" w:firstLine="0"/>
        <w:jc w:val="left"/>
        <w:rPr>
          <w:sz w:val="12"/>
        </w:rPr>
      </w:pPr>
      <w:r>
        <w:rPr>
          <w:color w:val="231F20"/>
          <w:sz w:val="12"/>
        </w:rPr>
        <w:t>Source: Bank of England.</w:t>
      </w:r>
    </w:p>
    <w:p>
      <w:pPr>
        <w:pStyle w:val="BodyText"/>
        <w:spacing w:before="1"/>
        <w:rPr>
          <w:sz w:val="10"/>
        </w:rPr>
      </w:pPr>
    </w:p>
    <w:p>
      <w:pPr>
        <w:spacing w:line="208" w:lineRule="auto" w:before="0"/>
        <w:ind w:left="404" w:right="38" w:hanging="240"/>
        <w:jc w:val="left"/>
        <w:rPr>
          <w:sz w:val="12"/>
        </w:rPr>
      </w:pPr>
      <w:r>
        <w:rPr>
          <w:color w:val="231F20"/>
          <w:sz w:val="12"/>
        </w:rPr>
        <w:t>(a)  Average annual real interest rates expected in the next ten years, derived from the par yield curve using the Svensson method; a </w:t>
      </w:r>
      <w:r>
        <w:rPr>
          <w:color w:val="231F20"/>
          <w:spacing w:val="-3"/>
          <w:sz w:val="12"/>
        </w:rPr>
        <w:t>20-day </w:t>
      </w:r>
      <w:r>
        <w:rPr>
          <w:color w:val="231F20"/>
          <w:sz w:val="12"/>
        </w:rPr>
        <w:t>moving average.</w:t>
      </w:r>
    </w:p>
    <w:p>
      <w:pPr>
        <w:pStyle w:val="Heading9"/>
        <w:spacing w:before="25"/>
        <w:ind w:left="164"/>
      </w:pPr>
      <w:r>
        <w:rPr>
          <w:color w:val="0093C1"/>
        </w:rPr>
        <w:t>Chart 2.14</w:t>
      </w:r>
    </w:p>
    <w:p>
      <w:pPr>
        <w:spacing w:line="249" w:lineRule="auto" w:before="10"/>
        <w:ind w:left="164" w:right="332" w:firstLine="0"/>
        <w:jc w:val="left"/>
        <w:rPr>
          <w:sz w:val="12"/>
        </w:rPr>
      </w:pPr>
      <w:r>
        <w:rPr>
          <w:b/>
          <w:color w:val="0093C1"/>
          <w:sz w:val="20"/>
        </w:rPr>
        <w:t>International nominal forward interest rates, five years ahead</w:t>
      </w:r>
      <w:r>
        <w:rPr>
          <w:color w:val="231F20"/>
          <w:position w:val="4"/>
          <w:sz w:val="12"/>
        </w:rPr>
        <w:t>(a)</w:t>
      </w:r>
    </w:p>
    <w:p>
      <w:pPr>
        <w:spacing w:before="23"/>
        <w:ind w:left="3109" w:right="0" w:firstLine="0"/>
        <w:jc w:val="left"/>
        <w:rPr>
          <w:sz w:val="12"/>
        </w:rPr>
      </w:pPr>
      <w:r>
        <w:rPr/>
        <w:pict>
          <v:line style="position:absolute;mso-position-horizontal-relative:page;mso-position-vertical-relative:paragraph;z-index:15824384" from="46.73pt,8.251555pt" to="41.73pt,8.251555pt" stroked="true" strokeweight=".5pt" strokecolor="#000000">
            <v:stroke dashstyle="solid"/>
            <w10:wrap type="none"/>
          </v:line>
        </w:pict>
      </w:r>
      <w:r>
        <w:rPr>
          <w:sz w:val="12"/>
        </w:rPr>
        <w:t>Per ce</w:t>
      </w:r>
      <w:r>
        <w:rPr>
          <w:sz w:val="12"/>
          <w:u w:val="single"/>
        </w:rPr>
        <w:t>n</w:t>
      </w:r>
      <w:r>
        <w:rPr>
          <w:sz w:val="12"/>
        </w:rPr>
        <w:t>t</w:t>
      </w:r>
      <w:r>
        <w:rPr>
          <w:spacing w:val="10"/>
          <w:sz w:val="12"/>
        </w:rPr>
        <w:t> </w:t>
      </w:r>
      <w:r>
        <w:rPr>
          <w:position w:val="-5"/>
          <w:sz w:val="12"/>
        </w:rPr>
        <w:t>7.2</w:t>
      </w:r>
    </w:p>
    <w:p>
      <w:pPr>
        <w:pStyle w:val="BodyText"/>
        <w:spacing w:before="6"/>
        <w:rPr>
          <w:sz w:val="17"/>
        </w:rPr>
      </w:pPr>
    </w:p>
    <w:p>
      <w:pPr>
        <w:spacing w:before="1"/>
        <w:ind w:left="0" w:right="152" w:firstLine="0"/>
        <w:jc w:val="right"/>
        <w:rPr>
          <w:sz w:val="12"/>
        </w:rPr>
      </w:pPr>
      <w:r>
        <w:rPr/>
        <w:pict>
          <v:group style="position:absolute;margin-left:41.73pt;margin-top:-3.348445pt;width:165pt;height:137pt;mso-position-horizontal-relative:page;mso-position-vertical-relative:paragraph;z-index:15823360" coordorigin="835,-67" coordsize="3300,2740">
            <v:shape style="position:absolute;left:834;top:83;width:100;height:2340" coordorigin="835,83" coordsize="100,2340" path="m935,2083l835,2083m935,2423l835,2423m935,1763l835,1763m935,1423l835,1423m935,1083l835,1083m935,743l835,743m935,83l835,83e" filled="false" stroked="true" strokeweight=".5pt" strokecolor="#000000">
              <v:path arrowok="t"/>
              <v:stroke dashstyle="solid"/>
            </v:shape>
            <v:shape style="position:absolute;left:974;top:-57;width:2560;height:2020" coordorigin="975,-57" coordsize="2560,2020" path="m975,103l1055,-17,1115,63,1155,203,1195,-57,1235,-57,1295,123,1335,23,1375,103,1415,83,1475,183,1515,183,1555,223,1615,203,1655,23,1695,63,1735,23,1775,63,1835,83m1835,83l1875,143,1915,183,2055,183,2095,263,2135,183,2195,183,2235,163,2275,223,2315,383,2375,643,2415,603,2455,863,2495,743,2555,823,2595,803,2635,923,2675,903m2675,903l2735,1523,2775,1423,2815,1443,2855,1603,2915,1643,2955,1863,2995,1963,3035,1783,3095,1583,3135,1423,3175,1363,3215,1523,3275,1383,3315,1303,3355,1183,3395,1203,3455,1103,3495,1083,3535,1083e" filled="false" stroked="true" strokeweight="1pt" strokecolor="#008256">
              <v:path arrowok="t"/>
              <v:stroke dashstyle="solid"/>
            </v:shape>
            <v:line style="position:absolute" from="4135,1083" to="4035,1083" stroked="true" strokeweight=".5pt" strokecolor="#000000">
              <v:stroke dashstyle="solid"/>
            </v:line>
            <v:shape style="position:absolute;left:3534;top:963;width:460;height:300" coordorigin="3535,963" coordsize="460,300" path="m3535,1083l3575,1223,3615,1263,3675,1223,3715,963,3755,1143,3795,1043,3855,1083,3895,1183,3935,1043,3995,1083e" filled="false" stroked="true" strokeweight="1pt" strokecolor="#008256">
              <v:path arrowok="t"/>
              <v:stroke dashstyle="solid"/>
            </v:shape>
            <v:shape style="position:absolute;left:974;top:743;width:2560;height:840" coordorigin="975,743" coordsize="2560,840" path="m975,1163l1015,1063,1055,1043,1115,1063,1155,1003,1195,863,1235,883,1295,803,1335,743,1375,1063,1415,1023,1475,1043,1515,1063,1555,1103,1615,963,1655,963,1695,843,1735,843,1775,983,1835,923m1835,923l1875,923,1915,1003,1955,943,2015,923,2055,843,2095,903,2135,923,2195,823,2235,823,2275,983,2315,1023,2375,1343,2415,1343,2455,1303,2495,1343,2555,1363,2595,1363,2635,1503,2675,1283m2675,1283l2735,1343,2775,1303,2815,1283,2855,1403,2915,1503,2955,1523,2995,1563,3035,1583,3095,1343,3135,1363,3175,1243,3215,1243,3275,1343,3315,1303,3355,1303,3395,1203,3455,1243,3495,1243,3535,1283e" filled="false" stroked="true" strokeweight="1pt" strokecolor="#0066a5">
              <v:path arrowok="t"/>
              <v:stroke dashstyle="solid"/>
            </v:shape>
            <v:shape style="position:absolute;left:4034;top:1423;width:100;height:340" coordorigin="4035,1423" coordsize="100,340" path="m4135,1763l4035,1763m4135,1423l4035,1423e" filled="false" stroked="true" strokeweight=".5pt" strokecolor="#000000">
              <v:path arrowok="t"/>
              <v:stroke dashstyle="solid"/>
            </v:shape>
            <v:shape style="position:absolute;left:3534;top:1283;width:460;height:500" coordorigin="3535,1283" coordsize="460,500" path="m3535,1283l3575,1443,3615,1503,3675,1783,3715,1463,3755,1643,3795,1763,3855,1783,3895,1643,3935,1543,3995,1603e" filled="false" stroked="true" strokeweight="1pt" strokecolor="#0066a5">
              <v:path arrowok="t"/>
              <v:stroke dashstyle="solid"/>
            </v:shape>
            <v:line style="position:absolute" from="935,423" to="835,423" stroked="true" strokeweight=".5pt" strokecolor="#000000">
              <v:stroke dashstyle="solid"/>
            </v:line>
            <v:shape style="position:absolute;left:974;top:223;width:3020;height:1980" coordorigin="975,223" coordsize="3020,1980" path="m975,863l1015,663,1055,363,1115,643,1155,603,1195,223,1235,683,1295,723,1335,663,1375,663,1415,403,1475,403,1515,763,1555,943,1615,983,1655,983,1695,503,1735,423,1775,703,1835,623m1835,623l1875,1023,1915,1263,1955,1283,2015,1143,2055,1203,2095,1363,2135,1343,2195,1423,2235,1423,2275,1283,2315,1523,2375,1343,2415,1183,2455,1843,2495,1883,2555,1923,2595,1923,2635,1803,2675,1763m2675,1763l2735,2123,2775,1523,2815,1863,2855,1683,2915,2003,2955,1563,2995,1683,3035,2203,3095,1363,3135,1863,3175,1723,3215,1383,3275,1823,3315,1643,3355,2043,3395,1923,3455,1943,3495,1783,3535,1863m3535,1863l3575,1883,3615,1583,3675,1803,3715,1663,3755,1743,3795,1803,3855,1883,3895,1883,3935,1903,3995,1883e" filled="false" stroked="true" strokeweight="1pt" strokecolor="#0099d8">
              <v:path arrowok="t"/>
              <v:stroke dashstyle="solid"/>
            </v:shape>
            <v:shape style="position:absolute;left:974;top:1463;width:2560;height:900" coordorigin="975,1463" coordsize="2560,900" path="m975,1703l1015,1663,1055,1543,1115,1603,1155,1603,1195,1463,1235,1523,1295,1663,1335,1623,1375,1683,1415,1663,1475,1763,1555,1883,1615,1823,1655,1823,1695,1663,1735,1523,1775,1743,1835,1663m1835,1663l1875,1723,1915,1643,1955,1723,2015,1743,2055,1943,2095,1743,2135,1783,2195,1823,2235,1763,2275,1883,2315,1863,2375,1963,2415,2003,2455,2163,2495,1943,2555,2163,2595,2163,2635,2063,2675,2003m2675,2003l2735,2143,2775,2083,2815,2103,2855,2223,2915,2303,2955,2323,2995,2363,3035,2363,3095,2303,3135,2203,3175,2083,3215,2143,3275,2103,3315,2143,3355,1983,3395,1843,3455,1943,3495,1963,3535,1823e" filled="false" stroked="true" strokeweight="1pt" strokecolor="#faab54">
              <v:path arrowok="t"/>
              <v:stroke dashstyle="solid"/>
            </v:shape>
            <v:line style="position:absolute" from="4135,2083" to="4035,2083" stroked="true" strokeweight=".5pt" strokecolor="#000000">
              <v:stroke dashstyle="solid"/>
            </v:line>
            <v:shape style="position:absolute;left:3534;top:1823;width:460;height:240" coordorigin="3535,1823" coordsize="460,240" path="m3535,1823l3575,1943,3615,1923,3675,1923,3715,2003,3755,1943,3795,2063,3855,2023,3895,2023,3935,2003,3995,1943e" filled="false" stroked="true" strokeweight="1pt" strokecolor="#faab54">
              <v:path arrowok="t"/>
              <v:stroke dashstyle="solid"/>
            </v:shape>
            <v:shape style="position:absolute;left:974;top:1763;width:3020;height:900" coordorigin="975,1763" coordsize="3020,900" path="m975,2223l1015,2183,1055,2023,1115,2023,1155,1963,1195,1943,1235,1943,1295,1983,1335,2123,1375,2123,1415,2103,1475,2263,1515,2323,1555,2203,1615,2383,1655,2383,1695,2103,1735,2003,1775,2103,1835,2083m1835,2083l1915,2163,1955,2083,2015,1763,2055,1983,2095,2123,2135,2183,2195,2163,2235,2103,2275,2163,2315,2123,2375,2283,2415,2223,2455,2363,2495,2283,2555,2263,2595,2283,2675,2283m2675,2283l2735,2283,2775,2203,2815,2263,2855,2363,2915,2663,2955,2323,2995,2363,3035,2363,3095,2283,3135,2143,3175,1983,3215,2123,3275,2163,3315,2123,3355,2383,3395,1923,3455,2083,3495,2063,3535,1963m3535,1963l3575,2103,3615,2143,3675,2263,3715,2063,3755,2143,3795,2143,3855,2103,3895,2063,3935,2103,3995,2063e" filled="false" stroked="true" strokeweight="1pt" strokecolor="#952e40">
              <v:path arrowok="t"/>
              <v:stroke dashstyle="solid"/>
            </v:shape>
            <v:shape style="position:absolute;left:2319;top:206;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1774;top:406;width:240;height:133" type="#_x0000_t202" filled="false" stroked="false">
              <v:textbox inset="0,0,0,0">
                <w:txbxContent>
                  <w:p>
                    <w:pPr>
                      <w:spacing w:line="133" w:lineRule="exact" w:before="0"/>
                      <w:ind w:left="0" w:right="0" w:firstLine="0"/>
                      <w:jc w:val="left"/>
                      <w:rPr>
                        <w:sz w:val="12"/>
                      </w:rPr>
                    </w:pPr>
                    <w:r>
                      <w:rPr>
                        <w:sz w:val="12"/>
                      </w:rPr>
                      <w:t>Italy</w:t>
                    </w:r>
                  </w:p>
                </w:txbxContent>
              </v:textbox>
              <w10:wrap type="none"/>
            </v:shape>
            <v:shape style="position:absolute;left:1062;top:1116;width:664;height:423" type="#_x0000_t202" filled="false" stroked="false">
              <v:textbox inset="0,0,0,0">
                <w:txbxContent>
                  <w:p>
                    <w:pPr>
                      <w:spacing w:line="133" w:lineRule="exact" w:before="0"/>
                      <w:ind w:left="0" w:right="0" w:firstLine="0"/>
                      <w:jc w:val="left"/>
                      <w:rPr>
                        <w:sz w:val="12"/>
                      </w:rPr>
                    </w:pPr>
                    <w:r>
                      <w:rPr>
                        <w:sz w:val="12"/>
                      </w:rPr>
                      <w:t>United States</w:t>
                    </w:r>
                  </w:p>
                  <w:p>
                    <w:pPr>
                      <w:spacing w:line="240" w:lineRule="auto" w:before="2"/>
                      <w:rPr>
                        <w:sz w:val="13"/>
                      </w:rPr>
                    </w:pPr>
                  </w:p>
                  <w:p>
                    <w:pPr>
                      <w:spacing w:before="0"/>
                      <w:ind w:left="178" w:right="0" w:firstLine="0"/>
                      <w:jc w:val="left"/>
                      <w:rPr>
                        <w:sz w:val="12"/>
                      </w:rPr>
                    </w:pPr>
                    <w:r>
                      <w:rPr>
                        <w:sz w:val="12"/>
                      </w:rPr>
                      <w:t>Germany</w:t>
                    </w:r>
                  </w:p>
                </w:txbxContent>
              </v:textbox>
              <w10:wrap type="none"/>
            </v:shape>
            <v:shape style="position:absolute;left:1681;top:2346;width:347;height:133" type="#_x0000_t202" filled="false" stroked="false">
              <v:textbox inset="0,0,0,0">
                <w:txbxContent>
                  <w:p>
                    <w:pPr>
                      <w:spacing w:line="133" w:lineRule="exact" w:before="0"/>
                      <w:ind w:left="0" w:right="0" w:firstLine="0"/>
                      <w:jc w:val="left"/>
                      <w:rPr>
                        <w:sz w:val="12"/>
                      </w:rPr>
                    </w:pPr>
                    <w:r>
                      <w:rPr>
                        <w:sz w:val="12"/>
                      </w:rPr>
                      <w:t>France</w:t>
                    </w:r>
                  </w:p>
                </w:txbxContent>
              </v:textbox>
              <w10:wrap type="none"/>
            </v:shape>
            <w10:wrap type="none"/>
          </v:group>
        </w:pict>
      </w:r>
      <w:r>
        <w:rPr/>
        <w:pict>
          <v:line style="position:absolute;mso-position-horizontal-relative:page;mso-position-vertical-relative:paragraph;z-index:15826432" from="206.729996pt,4.151555pt" to="201.729996pt,4.151555pt" stroked="true" strokeweight=".5pt" strokecolor="#000000">
            <v:stroke dashstyle="solid"/>
            <w10:wrap type="none"/>
          </v:line>
        </w:pict>
      </w:r>
      <w:r>
        <w:rPr>
          <w:sz w:val="12"/>
        </w:rPr>
        <w:t>7.0</w:t>
      </w:r>
    </w:p>
    <w:p>
      <w:pPr>
        <w:pStyle w:val="BodyText"/>
        <w:spacing w:before="6"/>
        <w:rPr>
          <w:sz w:val="17"/>
        </w:rPr>
      </w:pPr>
    </w:p>
    <w:p>
      <w:pPr>
        <w:spacing w:before="0"/>
        <w:ind w:left="0" w:right="152" w:firstLine="0"/>
        <w:jc w:val="right"/>
        <w:rPr>
          <w:sz w:val="12"/>
        </w:rPr>
      </w:pPr>
      <w:r>
        <w:rPr/>
        <w:pict>
          <v:line style="position:absolute;mso-position-horizontal-relative:page;mso-position-vertical-relative:paragraph;z-index:15825920" from="206.729996pt,4.101555pt" to="201.729996pt,4.101555pt" stroked="true" strokeweight=".5pt" strokecolor="#000000">
            <v:stroke dashstyle="solid"/>
            <w10:wrap type="none"/>
          </v:line>
        </w:pict>
      </w:r>
      <w:r>
        <w:rPr>
          <w:sz w:val="12"/>
        </w:rPr>
        <w:t>6.8</w:t>
      </w:r>
    </w:p>
    <w:p>
      <w:pPr>
        <w:pStyle w:val="BodyText"/>
        <w:spacing w:before="9"/>
        <w:rPr>
          <w:sz w:val="15"/>
        </w:rPr>
      </w:pPr>
    </w:p>
    <w:p>
      <w:pPr>
        <w:spacing w:before="1"/>
        <w:ind w:left="0" w:right="152" w:firstLine="0"/>
        <w:jc w:val="right"/>
        <w:rPr>
          <w:sz w:val="12"/>
        </w:rPr>
      </w:pPr>
      <w:r>
        <w:rPr/>
        <w:pict>
          <v:line style="position:absolute;mso-position-horizontal-relative:page;mso-position-vertical-relative:paragraph;z-index:15825408" from="206.729996pt,4.151555pt" to="201.729996pt,4.151555pt" stroked="true" strokeweight=".5pt" strokecolor="#000000">
            <v:stroke dashstyle="solid"/>
            <w10:wrap type="none"/>
          </v:line>
        </w:pict>
      </w:r>
      <w:r>
        <w:rPr>
          <w:sz w:val="12"/>
        </w:rPr>
        <w:t>6.6</w:t>
      </w:r>
    </w:p>
    <w:p>
      <w:pPr>
        <w:pStyle w:val="BodyText"/>
        <w:spacing w:before="6"/>
        <w:rPr>
          <w:sz w:val="17"/>
        </w:rPr>
      </w:pPr>
    </w:p>
    <w:p>
      <w:pPr>
        <w:spacing w:before="0"/>
        <w:ind w:left="0" w:right="152" w:firstLine="0"/>
        <w:jc w:val="right"/>
        <w:rPr>
          <w:sz w:val="12"/>
        </w:rPr>
      </w:pPr>
      <w:r>
        <w:rPr>
          <w:sz w:val="12"/>
        </w:rPr>
        <w:t>6.4</w:t>
      </w:r>
    </w:p>
    <w:p>
      <w:pPr>
        <w:pStyle w:val="BodyText"/>
        <w:spacing w:before="6"/>
        <w:rPr>
          <w:sz w:val="17"/>
        </w:rPr>
      </w:pPr>
    </w:p>
    <w:p>
      <w:pPr>
        <w:spacing w:before="1"/>
        <w:ind w:left="0" w:right="152" w:firstLine="0"/>
        <w:jc w:val="right"/>
        <w:rPr>
          <w:sz w:val="12"/>
        </w:rPr>
      </w:pPr>
      <w:r>
        <w:rPr>
          <w:sz w:val="12"/>
        </w:rPr>
        <w:t>6.2</w:t>
      </w:r>
    </w:p>
    <w:p>
      <w:pPr>
        <w:pStyle w:val="BodyText"/>
        <w:spacing w:before="6"/>
        <w:rPr>
          <w:sz w:val="17"/>
        </w:rPr>
      </w:pPr>
    </w:p>
    <w:p>
      <w:pPr>
        <w:spacing w:before="0"/>
        <w:ind w:left="0" w:right="152" w:firstLine="0"/>
        <w:jc w:val="right"/>
        <w:rPr>
          <w:sz w:val="12"/>
        </w:rPr>
      </w:pPr>
      <w:r>
        <w:rPr>
          <w:sz w:val="12"/>
        </w:rPr>
        <w:t>6.0</w:t>
      </w:r>
    </w:p>
    <w:p>
      <w:pPr>
        <w:pStyle w:val="BodyText"/>
        <w:spacing w:before="10"/>
        <w:rPr>
          <w:sz w:val="15"/>
        </w:rPr>
      </w:pPr>
    </w:p>
    <w:p>
      <w:pPr>
        <w:spacing w:before="0"/>
        <w:ind w:left="0" w:right="152" w:firstLine="0"/>
        <w:jc w:val="right"/>
        <w:rPr>
          <w:sz w:val="12"/>
        </w:rPr>
      </w:pPr>
      <w:r>
        <w:rPr>
          <w:sz w:val="12"/>
        </w:rPr>
        <w:t>5.8</w:t>
      </w:r>
    </w:p>
    <w:p>
      <w:pPr>
        <w:pStyle w:val="BodyText"/>
        <w:spacing w:before="6"/>
        <w:rPr>
          <w:sz w:val="17"/>
        </w:rPr>
      </w:pPr>
    </w:p>
    <w:p>
      <w:pPr>
        <w:spacing w:before="0"/>
        <w:ind w:left="0" w:right="152" w:firstLine="0"/>
        <w:jc w:val="right"/>
        <w:rPr>
          <w:sz w:val="12"/>
        </w:rPr>
      </w:pPr>
      <w:r>
        <w:rPr/>
        <w:pict>
          <v:line style="position:absolute;mso-position-horizontal-relative:page;mso-position-vertical-relative:paragraph;z-index:15824896" from="206.729996pt,4.101555pt" to="201.729996pt,4.101555pt" stroked="true" strokeweight=".5pt" strokecolor="#000000">
            <v:stroke dashstyle="solid"/>
            <w10:wrap type="none"/>
          </v:line>
        </w:pict>
      </w:r>
      <w:r>
        <w:rPr>
          <w:sz w:val="12"/>
        </w:rPr>
        <w:t>5.6</w:t>
      </w:r>
    </w:p>
    <w:p>
      <w:pPr>
        <w:pStyle w:val="BodyText"/>
        <w:spacing w:before="7"/>
        <w:rPr>
          <w:sz w:val="17"/>
        </w:rPr>
      </w:pPr>
    </w:p>
    <w:p>
      <w:pPr>
        <w:spacing w:before="0"/>
        <w:ind w:left="0" w:right="152" w:firstLine="0"/>
        <w:jc w:val="right"/>
        <w:rPr>
          <w:sz w:val="12"/>
        </w:rPr>
      </w:pPr>
      <w:r>
        <w:rPr/>
        <w:pict>
          <v:group style="position:absolute;margin-left:41.73pt;margin-top:3.851555pt;width:166.5pt;height:7.5pt;mso-position-horizontal-relative:page;mso-position-vertical-relative:paragraph;z-index:15823872" coordorigin="835,77" coordsize="3330,150">
            <v:shape style="position:absolute;left:834;top:82;width:3300;height:140" coordorigin="835,82" coordsize="3300,140" path="m935,82l835,82m4135,82l4035,82m975,222l4135,222m975,222l975,182m1835,222l1835,182m3855,222l3855,182m2815,222l2815,182m1025,222l835,222m4135,222l4035,222e" filled="false" stroked="true" strokeweight=".5pt" strokecolor="#000000">
              <v:path arrowok="t"/>
              <v:stroke dashstyle="solid"/>
            </v:shape>
            <v:shape style="position:absolute;left:914;top:83;width:3245;height:137" coordorigin="915,84" coordsize="3245,137" path="m4140,84l4140,110,4120,127,4160,140,4120,160,4160,177,4136,187,4136,220m935,84l935,110,915,127,955,140,915,160,955,177,931,187,931,220e" filled="false" stroked="true" strokeweight=".5pt" strokecolor="#000000">
              <v:path arrowok="t"/>
              <v:stroke dashstyle="solid"/>
            </v:shape>
            <w10:wrap type="none"/>
          </v:group>
        </w:pict>
      </w:r>
      <w:r>
        <w:rPr>
          <w:sz w:val="12"/>
        </w:rPr>
        <w:t>5.4</w:t>
      </w:r>
    </w:p>
    <w:p>
      <w:pPr>
        <w:spacing w:line="40" w:lineRule="exact" w:before="2"/>
        <w:ind w:left="0" w:right="152" w:firstLine="0"/>
        <w:jc w:val="right"/>
        <w:rPr>
          <w:sz w:val="12"/>
        </w:rPr>
      </w:pPr>
      <w:r>
        <w:rPr>
          <w:sz w:val="12"/>
        </w:rPr>
        <w:t>0.0</w:t>
      </w:r>
    </w:p>
    <w:p>
      <w:pPr>
        <w:pStyle w:val="Heading5"/>
        <w:spacing w:line="242" w:lineRule="auto" w:before="3"/>
        <w:ind w:left="164" w:right="633"/>
        <w:jc w:val="both"/>
      </w:pPr>
      <w:r>
        <w:rPr/>
        <w:br w:type="column"/>
      </w:r>
      <w:r>
        <w:rPr>
          <w:color w:val="231F20"/>
        </w:rPr>
        <w:t>raised its 14-day repo rate on 9 October by 30 basis points to 3.3%, the first increase since August </w:t>
      </w:r>
      <w:r>
        <w:rPr>
          <w:color w:val="231F20"/>
          <w:spacing w:val="-4"/>
        </w:rPr>
        <w:t>1996. </w:t>
      </w:r>
      <w:r>
        <w:rPr>
          <w:color w:val="231F20"/>
        </w:rPr>
        <w:t>It explained that this was because ‘import prices,</w:t>
      </w:r>
    </w:p>
    <w:p>
      <w:pPr>
        <w:spacing w:line="242" w:lineRule="auto" w:before="4"/>
        <w:ind w:left="164" w:right="97" w:firstLine="0"/>
        <w:jc w:val="left"/>
        <w:rPr>
          <w:sz w:val="24"/>
        </w:rPr>
      </w:pPr>
      <w:r>
        <w:rPr>
          <w:color w:val="231F20"/>
          <w:sz w:val="24"/>
        </w:rPr>
        <w:t>producer prices and consumer prices have all risen . . . due in large part to exchange rate movements against the US dollar and to increases in administered prices’.</w:t>
      </w:r>
    </w:p>
    <w:p>
      <w:pPr>
        <w:spacing w:line="242" w:lineRule="auto" w:before="4"/>
        <w:ind w:left="165" w:right="97" w:hanging="1"/>
        <w:jc w:val="left"/>
        <w:rPr>
          <w:sz w:val="24"/>
        </w:rPr>
      </w:pPr>
      <w:r>
        <w:rPr>
          <w:color w:val="231F20"/>
          <w:sz w:val="24"/>
        </w:rPr>
        <w:t>There had been speculation that the Bundesbank would raise rates during the past few months, and forward rates had risen.</w:t>
      </w:r>
    </w:p>
    <w:p>
      <w:pPr>
        <w:pStyle w:val="BodyText"/>
        <w:spacing w:before="10"/>
        <w:rPr>
          <w:sz w:val="29"/>
        </w:rPr>
      </w:pPr>
    </w:p>
    <w:p>
      <w:pPr>
        <w:spacing w:before="0"/>
        <w:ind w:left="165" w:right="0" w:firstLine="0"/>
        <w:jc w:val="left"/>
        <w:rPr>
          <w:sz w:val="24"/>
        </w:rPr>
      </w:pPr>
      <w:r>
        <w:rPr>
          <w:color w:val="231F20"/>
          <w:sz w:val="24"/>
        </w:rPr>
        <w:t>Chart 2.16 shows the path for sterling implied</w:t>
      </w:r>
    </w:p>
    <w:p>
      <w:pPr>
        <w:spacing w:line="242" w:lineRule="auto" w:before="4"/>
        <w:ind w:left="165" w:right="257" w:firstLine="0"/>
        <w:jc w:val="left"/>
        <w:rPr>
          <w:sz w:val="24"/>
        </w:rPr>
      </w:pPr>
      <w:r>
        <w:rPr>
          <w:color w:val="231F20"/>
          <w:sz w:val="24"/>
        </w:rPr>
        <w:t>by uncovered interest parity. In common currency terms, assets with similar liquidity and risk characteristics should have the same expected return; differences imply that the exchange rate is expected to change to equalise returns in common currency terms. So the path the exchange rate has to follow if expected</w:t>
      </w:r>
    </w:p>
    <w:p>
      <w:pPr>
        <w:spacing w:after="0" w:line="242" w:lineRule="auto"/>
        <w:jc w:val="left"/>
        <w:rPr>
          <w:sz w:val="24"/>
        </w:rPr>
        <w:sectPr>
          <w:type w:val="continuous"/>
          <w:pgSz w:w="11880" w:h="16840"/>
          <w:pgMar w:top="1040" w:bottom="280" w:left="640" w:right="640"/>
          <w:cols w:num="2" w:equalWidth="0">
            <w:col w:w="3844" w:space="955"/>
            <w:col w:w="5801"/>
          </w:cols>
        </w:sectPr>
      </w:pPr>
    </w:p>
    <w:p>
      <w:pPr>
        <w:tabs>
          <w:tab w:pos="1577" w:val="left" w:leader="none"/>
          <w:tab w:pos="2657" w:val="left" w:leader="none"/>
        </w:tabs>
        <w:spacing w:before="60"/>
        <w:ind w:left="661" w:right="0" w:firstLine="0"/>
        <w:jc w:val="left"/>
        <w:rPr>
          <w:sz w:val="12"/>
        </w:rPr>
      </w:pPr>
      <w:r>
        <w:rPr>
          <w:sz w:val="12"/>
        </w:rPr>
        <w:t>Aug.</w:t>
        <w:tab/>
        <w:t>Sept.</w:t>
        <w:tab/>
      </w:r>
      <w:r>
        <w:rPr>
          <w:spacing w:val="-5"/>
          <w:sz w:val="12"/>
        </w:rPr>
        <w:t>Oct.</w:t>
      </w:r>
    </w:p>
    <w:p>
      <w:pPr>
        <w:spacing w:before="82"/>
        <w:ind w:left="1714" w:right="0" w:firstLine="0"/>
        <w:jc w:val="left"/>
        <w:rPr>
          <w:sz w:val="12"/>
        </w:rPr>
      </w:pPr>
      <w:r>
        <w:rPr>
          <w:sz w:val="12"/>
        </w:rPr>
        <w:t>1997</w:t>
      </w:r>
    </w:p>
    <w:p>
      <w:pPr>
        <w:spacing w:line="417" w:lineRule="auto" w:before="4"/>
        <w:ind w:left="164" w:right="0" w:firstLine="0"/>
        <w:jc w:val="left"/>
        <w:rPr>
          <w:sz w:val="12"/>
        </w:rPr>
      </w:pPr>
      <w:r>
        <w:rPr>
          <w:color w:val="231F20"/>
          <w:sz w:val="12"/>
        </w:rPr>
        <w:t>Note: Daily data. Final observation is 5 November. Source: Bank of England.</w:t>
      </w:r>
    </w:p>
    <w:p>
      <w:pPr>
        <w:spacing w:before="0"/>
        <w:ind w:left="164" w:right="0" w:firstLine="0"/>
        <w:jc w:val="left"/>
        <w:rPr>
          <w:sz w:val="12"/>
        </w:rPr>
      </w:pPr>
      <w:r>
        <w:rPr>
          <w:color w:val="231F20"/>
          <w:sz w:val="12"/>
        </w:rPr>
        <w:t>(a) Implied six-month interest rates.</w:t>
      </w:r>
    </w:p>
    <w:p>
      <w:pPr>
        <w:pStyle w:val="Heading9"/>
        <w:spacing w:before="23"/>
        <w:ind w:left="160"/>
      </w:pPr>
      <w:r>
        <w:rPr>
          <w:color w:val="0093C1"/>
        </w:rPr>
        <w:t>Chart 2.15</w:t>
      </w:r>
    </w:p>
    <w:p>
      <w:pPr>
        <w:spacing w:before="10"/>
        <w:ind w:left="160" w:right="0" w:firstLine="0"/>
        <w:jc w:val="left"/>
        <w:rPr>
          <w:b/>
          <w:sz w:val="20"/>
        </w:rPr>
      </w:pPr>
      <w:r>
        <w:rPr>
          <w:b/>
          <w:color w:val="0093C1"/>
          <w:sz w:val="20"/>
        </w:rPr>
        <w:t>Sterling effective exchange rate</w:t>
      </w:r>
    </w:p>
    <w:p>
      <w:pPr>
        <w:pStyle w:val="BodyText"/>
        <w:spacing w:before="5" w:after="40"/>
        <w:rPr>
          <w:b/>
          <w:sz w:val="14"/>
        </w:rPr>
      </w:pPr>
    </w:p>
    <w:p>
      <w:pPr>
        <w:pStyle w:val="BodyText"/>
        <w:spacing w:line="20" w:lineRule="exact"/>
        <w:ind w:left="19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60"/>
        <w:ind w:left="67" w:right="20" w:firstLine="0"/>
        <w:jc w:val="center"/>
        <w:rPr>
          <w:sz w:val="12"/>
        </w:rPr>
      </w:pPr>
      <w:r>
        <w:rPr/>
        <w:br w:type="column"/>
      </w:r>
      <w:r>
        <w:rPr>
          <w:sz w:val="12"/>
        </w:rPr>
        <w:t>Nov.</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spacing w:before="1"/>
        <w:ind w:left="36" w:right="20" w:firstLine="0"/>
        <w:jc w:val="center"/>
        <w:rPr>
          <w:sz w:val="12"/>
        </w:rPr>
      </w:pPr>
      <w:r>
        <w:rPr>
          <w:sz w:val="12"/>
        </w:rPr>
        <w:t>1990 = 1</w:t>
      </w:r>
      <w:r>
        <w:rPr>
          <w:sz w:val="12"/>
          <w:u w:val="single"/>
        </w:rPr>
        <w:t>00</w:t>
      </w:r>
      <w:r>
        <w:rPr>
          <w:spacing w:val="15"/>
          <w:sz w:val="12"/>
        </w:rPr>
        <w:t> </w:t>
      </w:r>
      <w:r>
        <w:rPr>
          <w:position w:val="-5"/>
          <w:sz w:val="12"/>
        </w:rPr>
        <w:t>108</w:t>
      </w:r>
    </w:p>
    <w:p>
      <w:pPr>
        <w:spacing w:before="62"/>
        <w:ind w:left="649" w:right="0" w:firstLine="0"/>
        <w:jc w:val="left"/>
        <w:rPr>
          <w:sz w:val="12"/>
        </w:rPr>
      </w:pPr>
      <w:r>
        <w:rPr/>
        <w:pict>
          <v:group style="position:absolute;margin-left:42.040001pt;margin-top:4.701569pt;width:165pt;height:132.75pt;mso-position-horizontal-relative:page;mso-position-vertical-relative:paragraph;z-index:15827456" coordorigin="841,94" coordsize="3300,2655">
            <v:shape style="position:absolute;left:840;top:164;width:3300;height:2580" coordorigin="841,164" coordsize="3300,2580" path="m941,2744l841,2744m941,2524l841,2524m941,2304l841,2304m941,2104l841,2104m941,1884l841,1884m941,1664l841,1664m941,1444l841,1444m941,1244l841,1244m941,584l841,584m941,384l841,384m941,164l841,164m4141,2744l4041,2744m4141,2524l4041,2524m4141,2304l4041,2304m4141,2104l4041,2104m4141,1884l4041,1884m4141,1664l4041,1664m4141,1444l4041,1444m4141,1244l4041,1244m4141,1024l4041,1024m4141,164l4041,164e" filled="false" stroked="true" strokeweight=".5pt" strokecolor="#000000">
              <v:path arrowok="t"/>
              <v:stroke dashstyle="solid"/>
            </v:shape>
            <v:shape style="position:absolute;left:840;top:94;width:3300;height:2640" type="#_x0000_t75" stroked="false">
              <v:imagedata r:id="rId28" o:title=""/>
            </v:shape>
            <w10:wrap type="none"/>
          </v:group>
        </w:pict>
      </w:r>
      <w:r>
        <w:rPr>
          <w:sz w:val="12"/>
        </w:rPr>
        <w:t>106</w:t>
      </w:r>
    </w:p>
    <w:p>
      <w:pPr>
        <w:spacing w:before="82"/>
        <w:ind w:left="649" w:right="0" w:firstLine="0"/>
        <w:jc w:val="left"/>
        <w:rPr>
          <w:sz w:val="12"/>
        </w:rPr>
      </w:pPr>
      <w:r>
        <w:rPr>
          <w:sz w:val="12"/>
        </w:rPr>
        <w:t>104</w:t>
      </w:r>
    </w:p>
    <w:p>
      <w:pPr>
        <w:spacing w:before="82"/>
        <w:ind w:left="649" w:right="0" w:firstLine="0"/>
        <w:jc w:val="left"/>
        <w:rPr>
          <w:sz w:val="12"/>
        </w:rPr>
      </w:pPr>
      <w:r>
        <w:rPr>
          <w:sz w:val="12"/>
        </w:rPr>
        <w:t>102</w:t>
      </w:r>
    </w:p>
    <w:p>
      <w:pPr>
        <w:spacing w:before="82"/>
        <w:ind w:left="649" w:right="0" w:firstLine="0"/>
        <w:jc w:val="left"/>
        <w:rPr>
          <w:sz w:val="12"/>
        </w:rPr>
      </w:pPr>
      <w:r>
        <w:rPr>
          <w:sz w:val="12"/>
        </w:rPr>
        <w:t>100</w:t>
      </w:r>
    </w:p>
    <w:p>
      <w:pPr>
        <w:spacing w:before="62"/>
        <w:ind w:left="709" w:right="0" w:firstLine="0"/>
        <w:jc w:val="left"/>
        <w:rPr>
          <w:sz w:val="12"/>
        </w:rPr>
      </w:pPr>
      <w:r>
        <w:rPr>
          <w:sz w:val="12"/>
        </w:rPr>
        <w:t>98</w:t>
      </w:r>
    </w:p>
    <w:p>
      <w:pPr>
        <w:spacing w:before="82"/>
        <w:ind w:left="709" w:right="0" w:firstLine="0"/>
        <w:jc w:val="left"/>
        <w:rPr>
          <w:sz w:val="12"/>
        </w:rPr>
      </w:pPr>
      <w:r>
        <w:rPr>
          <w:sz w:val="12"/>
        </w:rPr>
        <w:t>96</w:t>
      </w:r>
    </w:p>
    <w:p>
      <w:pPr>
        <w:spacing w:before="82"/>
        <w:ind w:left="709" w:right="0" w:firstLine="0"/>
        <w:jc w:val="left"/>
        <w:rPr>
          <w:sz w:val="12"/>
        </w:rPr>
      </w:pPr>
      <w:r>
        <w:rPr>
          <w:sz w:val="12"/>
        </w:rPr>
        <w:t>94</w:t>
      </w:r>
    </w:p>
    <w:p>
      <w:pPr>
        <w:spacing w:before="62"/>
        <w:ind w:left="709" w:right="0" w:firstLine="0"/>
        <w:jc w:val="left"/>
        <w:rPr>
          <w:sz w:val="12"/>
        </w:rPr>
      </w:pPr>
      <w:r>
        <w:rPr>
          <w:sz w:val="12"/>
        </w:rPr>
        <w:t>92</w:t>
      </w:r>
    </w:p>
    <w:p>
      <w:pPr>
        <w:spacing w:before="82"/>
        <w:ind w:left="709" w:right="0" w:firstLine="0"/>
        <w:jc w:val="left"/>
        <w:rPr>
          <w:sz w:val="12"/>
        </w:rPr>
      </w:pPr>
      <w:r>
        <w:rPr>
          <w:sz w:val="12"/>
        </w:rPr>
        <w:t>90</w:t>
      </w:r>
    </w:p>
    <w:p>
      <w:pPr>
        <w:spacing w:before="82"/>
        <w:ind w:left="709" w:right="0" w:firstLine="0"/>
        <w:jc w:val="left"/>
        <w:rPr>
          <w:sz w:val="12"/>
        </w:rPr>
      </w:pPr>
      <w:r>
        <w:rPr>
          <w:sz w:val="12"/>
        </w:rPr>
        <w:t>88</w:t>
      </w:r>
    </w:p>
    <w:p>
      <w:pPr>
        <w:spacing w:before="82"/>
        <w:ind w:left="709" w:right="0" w:firstLine="0"/>
        <w:jc w:val="left"/>
        <w:rPr>
          <w:sz w:val="12"/>
        </w:rPr>
      </w:pPr>
      <w:r>
        <w:rPr>
          <w:sz w:val="12"/>
        </w:rPr>
        <w:t>86</w:t>
      </w:r>
    </w:p>
    <w:p>
      <w:pPr>
        <w:spacing w:before="62"/>
        <w:ind w:left="709" w:right="0" w:firstLine="0"/>
        <w:jc w:val="left"/>
        <w:rPr>
          <w:sz w:val="12"/>
        </w:rPr>
      </w:pPr>
      <w:r>
        <w:rPr>
          <w:sz w:val="12"/>
        </w:rPr>
        <w:t>84</w:t>
      </w:r>
    </w:p>
    <w:p>
      <w:pPr>
        <w:spacing w:before="82"/>
        <w:ind w:left="709" w:right="0" w:firstLine="0"/>
        <w:jc w:val="left"/>
        <w:rPr>
          <w:sz w:val="12"/>
        </w:rPr>
      </w:pPr>
      <w:r>
        <w:rPr>
          <w:sz w:val="12"/>
        </w:rPr>
        <w:t>82</w:t>
      </w:r>
    </w:p>
    <w:p>
      <w:pPr>
        <w:spacing w:before="82"/>
        <w:ind w:left="709" w:right="0" w:firstLine="0"/>
        <w:jc w:val="left"/>
        <w:rPr>
          <w:sz w:val="12"/>
        </w:rPr>
      </w:pPr>
      <w:r>
        <w:rPr/>
        <w:pict>
          <v:shape style="position:absolute;margin-left:42.040001pt;margin-top:6.201561pt;width:165pt;height:3pt;mso-position-horizontal-relative:page;mso-position-vertical-relative:paragraph;z-index:15826944" coordorigin="841,124" coordsize="3300,60" path="m941,184l841,184m4141,184l4041,184m981,184l4001,184m1501,184l1501,124m2021,184l2021,124m2541,184l2541,124m3041,184l3041,124m3561,184l3561,124m981,184l981,124e" filled="false" stroked="true" strokeweight=".5pt" strokecolor="#000000">
            <v:path arrowok="t"/>
            <v:stroke dashstyle="solid"/>
            <w10:wrap type="none"/>
          </v:shape>
        </w:pict>
      </w:r>
      <w:r>
        <w:rPr>
          <w:sz w:val="12"/>
        </w:rPr>
        <w:t>80</w:t>
      </w:r>
    </w:p>
    <w:p>
      <w:pPr>
        <w:pStyle w:val="Heading5"/>
        <w:spacing w:line="242" w:lineRule="auto"/>
        <w:ind w:left="160" w:right="220"/>
      </w:pPr>
      <w:r>
        <w:rPr/>
        <w:br w:type="column"/>
      </w:r>
      <w:r>
        <w:rPr>
          <w:color w:val="231F20"/>
        </w:rPr>
        <w:t>returns are to be equalised can be calculated by comparing UK interest rates at different maturities with overseas rates. UK interest rates are higher than </w:t>
      </w:r>
      <w:r>
        <w:rPr>
          <w:color w:val="231F20"/>
          <w:spacing w:val="-4"/>
        </w:rPr>
        <w:t>average </w:t>
      </w:r>
      <w:r>
        <w:rPr>
          <w:color w:val="231F20"/>
        </w:rPr>
        <w:t>interest rates overseas, so UIP implies that sterling is expected to depreciate. The expected rate of depreciation has slowed since the August </w:t>
      </w:r>
      <w:r>
        <w:rPr>
          <w:i/>
          <w:color w:val="231F20"/>
        </w:rPr>
        <w:t>Report</w:t>
      </w:r>
      <w:r>
        <w:rPr>
          <w:color w:val="231F20"/>
        </w:rPr>
        <w:t>—the path in Chart 2.16 has become less steep. This is because overseas implied forward interest rates </w:t>
      </w:r>
      <w:r>
        <w:rPr>
          <w:color w:val="231F20"/>
          <w:spacing w:val="-3"/>
        </w:rPr>
        <w:t>have </w:t>
      </w:r>
      <w:r>
        <w:rPr>
          <w:color w:val="231F20"/>
        </w:rPr>
        <w:t>risen relative to UK rates. Sterling’s actual path since May is shown by joining the starting points of the three profile lines in Chart 2.16; it is clear that UIP alone has not been a good predictor of actual exchange rate movements.</w:t>
      </w:r>
    </w:p>
    <w:p>
      <w:pPr>
        <w:pStyle w:val="BodyText"/>
        <w:spacing w:before="2"/>
        <w:rPr>
          <w:sz w:val="30"/>
        </w:rPr>
      </w:pPr>
    </w:p>
    <w:p>
      <w:pPr>
        <w:spacing w:line="242" w:lineRule="auto" w:before="0"/>
        <w:ind w:left="161" w:right="220" w:hanging="1"/>
        <w:jc w:val="left"/>
        <w:rPr>
          <w:i/>
          <w:sz w:val="24"/>
        </w:rPr>
      </w:pPr>
      <w:r>
        <w:rPr>
          <w:color w:val="231F20"/>
          <w:sz w:val="24"/>
        </w:rPr>
        <w:t>News about overseas and UK monetary policy could have contributed to the rise in sterling since August 1996. An article in November’s </w:t>
      </w:r>
      <w:r>
        <w:rPr>
          <w:i/>
          <w:color w:val="231F20"/>
          <w:sz w:val="24"/>
        </w:rPr>
        <w:t>Quarterly Bulletin</w:t>
      </w:r>
    </w:p>
    <w:p>
      <w:pPr>
        <w:spacing w:after="0" w:line="242" w:lineRule="auto"/>
        <w:jc w:val="left"/>
        <w:rPr>
          <w:sz w:val="24"/>
        </w:rPr>
        <w:sectPr>
          <w:type w:val="continuous"/>
          <w:pgSz w:w="11880" w:h="16840"/>
          <w:pgMar w:top="1040" w:bottom="280" w:left="640" w:right="640"/>
          <w:cols w:num="3" w:equalWidth="0">
            <w:col w:w="2862" w:space="40"/>
            <w:col w:w="870" w:space="1031"/>
            <w:col w:w="5797"/>
          </w:cols>
        </w:sectPr>
      </w:pPr>
    </w:p>
    <w:p>
      <w:pPr>
        <w:tabs>
          <w:tab w:pos="1050" w:val="left" w:leader="none"/>
          <w:tab w:pos="1570" w:val="left" w:leader="none"/>
          <w:tab w:pos="2070" w:val="left" w:leader="none"/>
          <w:tab w:pos="2590" w:val="left" w:leader="none"/>
          <w:tab w:pos="3110" w:val="left" w:leader="none"/>
        </w:tabs>
        <w:spacing w:line="133" w:lineRule="exact" w:before="0"/>
        <w:ind w:left="490" w:right="0" w:firstLine="0"/>
        <w:jc w:val="left"/>
        <w:rPr>
          <w:sz w:val="12"/>
        </w:rPr>
      </w:pPr>
      <w:r>
        <w:rPr>
          <w:sz w:val="12"/>
        </w:rPr>
        <w:t>1992</w:t>
        <w:tab/>
        <w:t>93</w:t>
        <w:tab/>
        <w:t>94</w:t>
        <w:tab/>
        <w:t>95</w:t>
        <w:tab/>
        <w:t>96</w:t>
        <w:tab/>
        <w:t>97</w:t>
      </w:r>
    </w:p>
    <w:p>
      <w:pPr>
        <w:spacing w:line="417" w:lineRule="auto" w:before="6"/>
        <w:ind w:left="160" w:right="308" w:firstLine="0"/>
        <w:jc w:val="left"/>
        <w:rPr>
          <w:sz w:val="12"/>
        </w:rPr>
      </w:pPr>
      <w:r>
        <w:rPr>
          <w:color w:val="231F20"/>
          <w:sz w:val="12"/>
        </w:rPr>
        <w:t>Note: Daily data. Final observation is 5 November. Source: Bank of England.</w:t>
      </w:r>
    </w:p>
    <w:p>
      <w:pPr>
        <w:pStyle w:val="Heading5"/>
        <w:spacing w:line="242" w:lineRule="auto" w:before="4"/>
        <w:ind w:left="160" w:right="156"/>
      </w:pPr>
      <w:r>
        <w:rPr/>
        <w:br w:type="column"/>
      </w:r>
      <w:r>
        <w:rPr>
          <w:color w:val="231F20"/>
        </w:rPr>
        <w:t>describes how the UIP condition can be employed to help identify the contribution of monetary policy news</w:t>
      </w:r>
      <w:r>
        <w:rPr>
          <w:color w:val="231F20"/>
          <w:spacing w:val="-16"/>
        </w:rPr>
        <w:t> </w:t>
      </w:r>
      <w:r>
        <w:rPr>
          <w:color w:val="231F20"/>
          <w:spacing w:val="-8"/>
        </w:rPr>
        <w:t>to</w:t>
      </w:r>
    </w:p>
    <w:p>
      <w:pPr>
        <w:spacing w:after="0" w:line="242" w:lineRule="auto"/>
        <w:sectPr>
          <w:type w:val="continuous"/>
          <w:pgSz w:w="11880" w:h="16840"/>
          <w:pgMar w:top="1040" w:bottom="280" w:left="640" w:right="640"/>
          <w:cols w:num="2" w:equalWidth="0">
            <w:col w:w="3271" w:space="1532"/>
            <w:col w:w="5797"/>
          </w:cols>
        </w:sectPr>
      </w:pPr>
    </w:p>
    <w:p>
      <w:pPr>
        <w:pStyle w:val="BodyText"/>
        <w:rPr>
          <w:sz w:val="20"/>
        </w:rPr>
      </w:pPr>
    </w:p>
    <w:p>
      <w:pPr>
        <w:spacing w:after="0"/>
        <w:rPr>
          <w:sz w:val="20"/>
        </w:rPr>
        <w:sectPr>
          <w:pgSz w:w="11880" w:h="16840"/>
          <w:pgMar w:header="566" w:footer="597" w:top="760" w:bottom="780" w:left="640" w:right="640"/>
        </w:sectPr>
      </w:pPr>
    </w:p>
    <w:p>
      <w:pPr>
        <w:pStyle w:val="BodyText"/>
        <w:spacing w:before="10"/>
        <w:rPr>
          <w:sz w:val="20"/>
        </w:rPr>
      </w:pPr>
    </w:p>
    <w:p>
      <w:pPr>
        <w:pStyle w:val="Heading9"/>
        <w:spacing w:before="0"/>
        <w:ind w:left="156"/>
      </w:pPr>
      <w:bookmarkStart w:name="Summary" w:id="34"/>
      <w:bookmarkEnd w:id="34"/>
      <w:r>
        <w:rPr>
          <w:b w:val="0"/>
        </w:rPr>
      </w:r>
      <w:bookmarkStart w:name="_bookmark15" w:id="35"/>
      <w:bookmarkEnd w:id="35"/>
      <w:r>
        <w:rPr>
          <w:b w:val="0"/>
        </w:rPr>
      </w:r>
      <w:r>
        <w:rPr>
          <w:color w:val="0093C1"/>
        </w:rPr>
        <w:t>Chart 2.16</w:t>
      </w:r>
    </w:p>
    <w:p>
      <w:pPr>
        <w:spacing w:before="10"/>
        <w:ind w:left="156" w:right="0" w:firstLine="0"/>
        <w:jc w:val="left"/>
        <w:rPr>
          <w:sz w:val="12"/>
        </w:rPr>
      </w:pPr>
      <w:r>
        <w:rPr>
          <w:b/>
          <w:color w:val="0093C1"/>
          <w:sz w:val="20"/>
        </w:rPr>
        <w:t>UK effective exchange rate profiles</w:t>
      </w:r>
      <w:r>
        <w:rPr>
          <w:color w:val="231F20"/>
          <w:position w:val="4"/>
          <w:sz w:val="12"/>
        </w:rPr>
        <w:t>(a)</w:t>
      </w:r>
    </w:p>
    <w:p>
      <w:pPr>
        <w:spacing w:before="68"/>
        <w:ind w:left="206" w:right="0" w:firstLine="0"/>
        <w:jc w:val="left"/>
        <w:rPr>
          <w:sz w:val="12"/>
        </w:rPr>
      </w:pPr>
      <w:r>
        <w:rPr>
          <w:sz w:val="12"/>
        </w:rPr>
        <w:t>ERI implied:</w:t>
      </w:r>
    </w:p>
    <w:p>
      <w:pPr>
        <w:pStyle w:val="BodyText"/>
        <w:spacing w:before="10"/>
        <w:rPr>
          <w:sz w:val="6"/>
        </w:rPr>
      </w:pPr>
    </w:p>
    <w:p>
      <w:pPr>
        <w:pStyle w:val="BodyText"/>
        <w:spacing w:line="71" w:lineRule="exact"/>
        <w:ind w:left="198"/>
        <w:rPr>
          <w:sz w:val="7"/>
        </w:rPr>
      </w:pPr>
      <w:r>
        <w:rPr>
          <w:position w:val="0"/>
          <w:sz w:val="7"/>
        </w:rPr>
        <w:pict>
          <v:group style="width:6.65pt;height:3.6pt;mso-position-horizontal-relative:char;mso-position-vertical-relative:line" coordorigin="0,0" coordsize="133,72">
            <v:shape style="position:absolute;left:5;top:5;width:123;height:62" coordorigin="5,5" coordsize="123,62" path="m128,5l5,5,66,66,128,5xe" filled="true" fillcolor="#b5e1e1" stroked="false">
              <v:path arrowok="t"/>
              <v:fill type="solid"/>
            </v:shape>
            <v:shape style="position:absolute;left:5;top:5;width:123;height:62" coordorigin="5,5" coordsize="123,62" path="m5,5l66,66,128,5,5,5xe" filled="false" stroked="true" strokeweight=".5pt" strokecolor="#000000">
              <v:path arrowok="t"/>
              <v:stroke dashstyle="solid"/>
            </v:shape>
          </v:group>
        </w:pict>
      </w:r>
      <w:r>
        <w:rPr>
          <w:position w:val="0"/>
          <w:sz w:val="7"/>
        </w:rPr>
      </w:r>
    </w:p>
    <w:p>
      <w:pPr>
        <w:pStyle w:val="Heading5"/>
        <w:spacing w:line="280" w:lineRule="atLeast" w:before="226"/>
        <w:ind w:left="156" w:right="208" w:hanging="1"/>
      </w:pPr>
      <w:r>
        <w:rPr/>
        <w:br w:type="column"/>
      </w:r>
      <w:r>
        <w:rPr>
          <w:color w:val="231F20"/>
        </w:rPr>
        <w:t>exchange rate changes.</w:t>
      </w:r>
      <w:r>
        <w:rPr>
          <w:color w:val="231F20"/>
          <w:position w:val="5"/>
          <w:sz w:val="16"/>
        </w:rPr>
        <w:t>(1) </w:t>
      </w:r>
      <w:r>
        <w:rPr>
          <w:color w:val="231F20"/>
        </w:rPr>
        <w:t>Chart 2.17 shows that monetary policy news was at its most important towards the end of 1996 in explaining sterling’s appreciation.</w:t>
      </w:r>
    </w:p>
    <w:p>
      <w:pPr>
        <w:spacing w:after="0" w:line="280" w:lineRule="atLeast"/>
        <w:sectPr>
          <w:type w:val="continuous"/>
          <w:pgSz w:w="11880" w:h="16840"/>
          <w:pgMar w:top="1040" w:bottom="280" w:left="640" w:right="640"/>
          <w:cols w:num="2" w:equalWidth="0">
            <w:col w:w="3317" w:space="1486"/>
            <w:col w:w="5797"/>
          </w:cols>
        </w:sectPr>
      </w:pPr>
    </w:p>
    <w:p>
      <w:pPr>
        <w:tabs>
          <w:tab w:pos="1574" w:val="left" w:leader="none"/>
          <w:tab w:pos="2661" w:val="left" w:leader="none"/>
        </w:tabs>
        <w:spacing w:line="15" w:lineRule="exact" w:before="0"/>
        <w:ind w:left="361" w:right="0" w:firstLine="0"/>
        <w:jc w:val="left"/>
        <w:rPr>
          <w:sz w:val="12"/>
        </w:rPr>
      </w:pPr>
      <w:r>
        <w:rPr/>
        <w:pict>
          <v:group style="position:absolute;margin-left:157.266006pt;margin-top:-4.893492pt;width:6.25pt;height:6.25pt;mso-position-horizontal-relative:page;mso-position-vertical-relative:paragraph;z-index:15832576" coordorigin="3145,-98" coordsize="125,125">
            <v:rect style="position:absolute;left:3150;top:-93;width:115;height:115" filled="true" fillcolor="#edc5dd" stroked="false">
              <v:fill type="solid"/>
            </v:rect>
            <v:rect style="position:absolute;left:3150;top:-93;width:115;height:115" filled="false" stroked="true" strokeweight=".5pt" strokecolor="#000000">
              <v:stroke dashstyle="solid"/>
            </v:rect>
            <w10:wrap type="none"/>
          </v:group>
        </w:pict>
      </w:r>
      <w:r>
        <w:rPr/>
        <w:pict>
          <v:group style="position:absolute;margin-left:100.834999pt;margin-top:-5.682492pt;width:7.8pt;height:15.45pt;mso-position-horizontal-relative:page;mso-position-vertical-relative:paragraph;z-index:-20904960" coordorigin="2017,-114" coordsize="156,309">
            <v:shape style="position:absolute;left:2016;top:-114;width:156;height:156" type="#_x0000_t75" stroked="false">
              <v:imagedata r:id="rId29" o:title=""/>
            </v:shape>
            <v:shape style="position:absolute;left:2058;top:114;width:73;height:73" coordorigin="2058,115" coordsize="73,73" path="m2058,115l2131,188m2131,115l2058,188e" filled="false" stroked="true" strokeweight=".75pt" strokecolor="#ed1b2d">
              <v:path arrowok="t"/>
              <v:stroke dashstyle="solid"/>
            </v:shape>
            <w10:wrap type="none"/>
          </v:group>
        </w:pict>
      </w:r>
      <w:r>
        <w:rPr>
          <w:sz w:val="12"/>
        </w:rPr>
        <w:t>Three months ahead</w:t>
        <w:tab/>
        <w:t>Six months ahead</w:t>
        <w:tab/>
        <w:t>Twelve months ahead</w:t>
      </w:r>
    </w:p>
    <w:p>
      <w:pPr>
        <w:spacing w:after="0" w:line="15" w:lineRule="exact"/>
        <w:jc w:val="left"/>
        <w:rPr>
          <w:sz w:val="12"/>
        </w:rPr>
        <w:sectPr>
          <w:type w:val="continuous"/>
          <w:pgSz w:w="11880" w:h="16840"/>
          <w:pgMar w:top="1040" w:bottom="280" w:left="640" w:right="640"/>
        </w:sectPr>
      </w:pPr>
    </w:p>
    <w:p>
      <w:pPr>
        <w:spacing w:before="65"/>
        <w:ind w:left="192" w:right="0" w:firstLine="0"/>
        <w:jc w:val="left"/>
        <w:rPr>
          <w:sz w:val="12"/>
        </w:rPr>
      </w:pPr>
      <w:r>
        <w:rPr>
          <w:position w:val="-1"/>
        </w:rPr>
        <w:drawing>
          <wp:inline distT="0" distB="0" distL="0" distR="0">
            <wp:extent cx="83350" cy="83337"/>
            <wp:effectExtent l="0" t="0" r="0" b="0"/>
            <wp:docPr id="1" name="image10.png"/>
            <wp:cNvGraphicFramePr>
              <a:graphicFrameLocks noChangeAspect="1"/>
            </wp:cNvGraphicFramePr>
            <a:graphic>
              <a:graphicData uri="http://schemas.openxmlformats.org/drawingml/2006/picture">
                <pic:pic>
                  <pic:nvPicPr>
                    <pic:cNvPr id="2" name="image10.png"/>
                    <pic:cNvPicPr/>
                  </pic:nvPicPr>
                  <pic:blipFill>
                    <a:blip r:embed="rId30" cstate="print"/>
                    <a:stretch>
                      <a:fillRect/>
                    </a:stretch>
                  </pic:blipFill>
                  <pic:spPr>
                    <a:xfrm>
                      <a:off x="0" y="0"/>
                      <a:ext cx="83350" cy="83337"/>
                    </a:xfrm>
                    <a:prstGeom prst="rect">
                      <a:avLst/>
                    </a:prstGeom>
                  </pic:spPr>
                </pic:pic>
              </a:graphicData>
            </a:graphic>
          </wp:inline>
        </w:drawing>
      </w:r>
      <w:r>
        <w:rPr>
          <w:position w:val="-1"/>
        </w:rPr>
      </w:r>
      <w:r>
        <w:rPr>
          <w:spacing w:val="-13"/>
          <w:sz w:val="20"/>
        </w:rPr>
        <w:t> </w:t>
      </w:r>
      <w:r>
        <w:rPr>
          <w:sz w:val="12"/>
        </w:rPr>
        <w:t>Five years ahead</w:t>
      </w:r>
    </w:p>
    <w:p>
      <w:pPr>
        <w:pStyle w:val="BodyText"/>
        <w:spacing w:before="4" w:after="40"/>
        <w:rPr>
          <w:sz w:val="14"/>
        </w:rPr>
      </w:pPr>
    </w:p>
    <w:p>
      <w:pPr>
        <w:pStyle w:val="BodyText"/>
        <w:spacing w:line="20" w:lineRule="exact"/>
        <w:ind w:left="211"/>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r>
        <w:rPr/>
        <w:pict>
          <v:shape style="position:absolute;margin-left:42.82pt;margin-top:8.760742pt;width:4pt;height:.1pt;mso-position-horizontal-relative:page;mso-position-vertical-relative:paragraph;z-index:-15628288;mso-wrap-distance-left:0;mso-wrap-distance-right:0" coordorigin="856,175" coordsize="80,0" path="m856,175l936,175e" filled="false" stroked="true" strokeweight=".5pt" strokecolor="#000000">
            <v:path arrowok="t"/>
            <v:stroke dashstyle="solid"/>
            <w10:wrap type="topAndBottom"/>
          </v:shape>
        </w:pict>
      </w:r>
    </w:p>
    <w:p>
      <w:pPr>
        <w:spacing w:before="65"/>
        <w:ind w:left="192" w:right="0" w:firstLine="0"/>
        <w:jc w:val="left"/>
        <w:rPr>
          <w:sz w:val="12"/>
        </w:rPr>
      </w:pPr>
      <w:r>
        <w:rPr/>
        <w:br w:type="column"/>
      </w:r>
      <w:r>
        <w:rPr>
          <w:sz w:val="12"/>
        </w:rPr>
        <w:t>Ten years ahead</w:t>
      </w:r>
    </w:p>
    <w:p>
      <w:pPr>
        <w:pStyle w:val="BodyText"/>
        <w:spacing w:before="6"/>
        <w:rPr>
          <w:sz w:val="23"/>
        </w:rPr>
      </w:pPr>
      <w:r>
        <w:rPr/>
        <w:br w:type="column"/>
      </w:r>
      <w:r>
        <w:rPr>
          <w:sz w:val="23"/>
        </w:rPr>
      </w:r>
    </w:p>
    <w:p>
      <w:pPr>
        <w:spacing w:before="0"/>
        <w:ind w:left="192" w:right="0" w:firstLine="0"/>
        <w:jc w:val="left"/>
        <w:rPr>
          <w:sz w:val="12"/>
        </w:rPr>
      </w:pPr>
      <w:r>
        <w:rPr>
          <w:sz w:val="12"/>
        </w:rPr>
        <w:t>1990 = 1</w:t>
      </w:r>
      <w:r>
        <w:rPr>
          <w:sz w:val="12"/>
          <w:u w:val="single"/>
        </w:rPr>
        <w:t>00</w:t>
      </w:r>
      <w:r>
        <w:rPr>
          <w:spacing w:val="-5"/>
          <w:sz w:val="12"/>
        </w:rPr>
        <w:t> </w:t>
      </w:r>
      <w:r>
        <w:rPr>
          <w:position w:val="-5"/>
          <w:sz w:val="12"/>
        </w:rPr>
        <w:t>104</w:t>
      </w:r>
    </w:p>
    <w:p>
      <w:pPr>
        <w:pStyle w:val="BodyText"/>
        <w:spacing w:before="1"/>
        <w:rPr>
          <w:sz w:val="14"/>
        </w:rPr>
      </w:pPr>
    </w:p>
    <w:p>
      <w:pPr>
        <w:spacing w:before="0"/>
        <w:ind w:left="0" w:right="38" w:firstLine="0"/>
        <w:jc w:val="right"/>
        <w:rPr>
          <w:sz w:val="12"/>
        </w:rPr>
      </w:pPr>
      <w:r>
        <w:rPr/>
        <w:pict>
          <v:group style="position:absolute;margin-left:42.82pt;margin-top:.601553pt;width:163pt;height:111.55pt;mso-position-horizontal-relative:page;mso-position-vertical-relative:paragraph;z-index:15831040" coordorigin="856,12" coordsize="3260,2231">
            <v:shape style="position:absolute;left:976;top:562;width:2860;height:1620" coordorigin="976,562" coordsize="2860,1620" path="m976,562l1036,662,1116,742,1256,962,2416,1822,3836,2182e" filled="false" stroked="true" strokeweight="1pt" strokecolor="#faab54">
              <v:path arrowok="t"/>
              <v:stroke dashstyle="solid"/>
            </v:shape>
            <v:shape style="position:absolute;left:1036;top:182;width:2880;height:2020" coordorigin="1036,182" coordsize="2880,2020" path="m1036,182l1116,302,1176,422,1336,642,2476,1622,3916,2202e" filled="false" stroked="true" strokeweight="1pt" strokecolor="#0066a5">
              <v:path arrowok="t"/>
              <v:stroke dashstyle="solid"/>
            </v:shape>
            <v:shape style="position:absolute;left:1116;top:22;width:2860;height:1620" coordorigin="1116,22" coordsize="2860,1620" path="m1116,22l1176,142,1256,242m1256,262l1396,482,2556,1162,3976,1642e" filled="false" stroked="true" strokeweight="1pt" strokecolor="#ed1b2d">
              <v:path arrowok="t"/>
              <v:stroke dashstyle="solid"/>
            </v:shape>
            <v:shape style="position:absolute;left:984;top:634;width:123;height:62" coordorigin="985,635" coordsize="123,62" path="m1108,635l985,635,1046,696,1108,635xe" filled="true" fillcolor="#b5e1e1" stroked="false">
              <v:path arrowok="t"/>
              <v:fill type="solid"/>
            </v:shape>
            <v:shape style="position:absolute;left:984;top:634;width:123;height:62" coordorigin="985,635" coordsize="123,62" path="m985,635l1046,696,1108,635,985,635xe" filled="false" stroked="true" strokeweight=".5pt" strokecolor="#000000">
              <v:path arrowok="t"/>
              <v:stroke dashstyle="solid"/>
            </v:shape>
            <v:shape style="position:absolute;left:1051;top:281;width:123;height:62" coordorigin="1052,281" coordsize="123,62" path="m1174,281l1052,281,1113,343,1174,281xe" filled="true" fillcolor="#b5e1e1" stroked="false">
              <v:path arrowok="t"/>
              <v:fill type="solid"/>
            </v:shape>
            <v:shape style="position:absolute;left:1051;top:281;width:123;height:62" coordorigin="1052,281" coordsize="123,62" path="m1052,281l1113,343,1174,281,1052,281xe" filled="false" stroked="true" strokeweight=".5pt" strokecolor="#000000">
              <v:path arrowok="t"/>
              <v:stroke dashstyle="solid"/>
            </v:shape>
            <v:shape style="position:absolute;left:1118;top:121;width:123;height:62" coordorigin="1118,121" coordsize="123,62" path="m1241,121l1118,121,1180,183,1241,121xe" filled="true" fillcolor="#b5e1e1" stroked="false">
              <v:path arrowok="t"/>
              <v:fill type="solid"/>
            </v:shape>
            <v:shape style="position:absolute;left:1118;top:121;width:123;height:62" coordorigin="1118,121" coordsize="123,62" path="m1118,121l1180,183,1241,121,1118,121xe" filled="false" stroked="true" strokeweight=".5pt" strokecolor="#000000">
              <v:path arrowok="t"/>
              <v:stroke dashstyle="solid"/>
            </v:shape>
            <v:shape style="position:absolute;left:1046;top:672;width:146;height:146" coordorigin="1047,672" coordsize="146,146" path="m1120,672l1047,745,1120,818,1193,745,1120,672xe" filled="true" fillcolor="#a790c4" stroked="false">
              <v:path arrowok="t"/>
              <v:fill type="solid"/>
            </v:shape>
            <v:shape style="position:absolute;left:1046;top:672;width:146;height:146" coordorigin="1047,672" coordsize="146,146" path="m1120,818l1193,745,1120,672,1047,745,1120,818xe" filled="false" stroked="true" strokeweight=".5pt" strokecolor="#000000">
              <v:path arrowok="t"/>
              <v:stroke dashstyle="solid"/>
            </v:shape>
            <v:shape style="position:absolute;left:1100;top:359;width:146;height:146" coordorigin="1100,359" coordsize="146,146" path="m1173,359l1100,432,1173,505,1246,432,1173,359xe" filled="true" fillcolor="#a790c4" stroked="false">
              <v:path arrowok="t"/>
              <v:fill type="solid"/>
            </v:shape>
            <v:shape style="position:absolute;left:1100;top:359;width:146;height:146" coordorigin="1100,359" coordsize="146,146" path="m1173,505l1246,432,1173,359,1100,432,1173,505xe" filled="false" stroked="true" strokeweight=".5pt" strokecolor="#000000">
              <v:path arrowok="t"/>
              <v:stroke dashstyle="solid"/>
            </v:shape>
            <v:shape style="position:absolute;left:1180;top:179;width:146;height:146" coordorigin="1180,179" coordsize="146,146" path="m1253,179l1180,252,1253,325,1326,252,1253,179xe" filled="true" fillcolor="#a790c4" stroked="false">
              <v:path arrowok="t"/>
              <v:fill type="solid"/>
            </v:shape>
            <v:shape style="position:absolute;left:1180;top:179;width:146;height:146" coordorigin="1180,179" coordsize="146,146" path="m1253,325l1326,252,1253,179,1180,252,1253,325xe" filled="false" stroked="true" strokeweight=".5pt" strokecolor="#000000">
              <v:path arrowok="t"/>
              <v:stroke dashstyle="solid"/>
            </v:shape>
            <v:rect style="position:absolute;left:1195;top:894;width:115;height:115" filled="true" fillcolor="#edc5dd" stroked="false">
              <v:fill type="solid"/>
            </v:rect>
            <v:rect style="position:absolute;left:1195;top:894;width:115;height:115" filled="false" stroked="true" strokeweight=".5pt" strokecolor="#000000">
              <v:stroke dashstyle="solid"/>
            </v:rect>
            <v:rect style="position:absolute;left:1275;top:574;width:115;height:115" filled="true" fillcolor="#edc5dd" stroked="false">
              <v:fill type="solid"/>
            </v:rect>
            <v:rect style="position:absolute;left:1275;top:574;width:115;height:115" filled="false" stroked="true" strokeweight=".5pt" strokecolor="#000000">
              <v:stroke dashstyle="solid"/>
            </v:rect>
            <v:rect style="position:absolute;left:1335;top:428;width:115;height:115" filled="true" fillcolor="#edc5dd" stroked="false">
              <v:fill type="solid"/>
            </v:rect>
            <v:rect style="position:absolute;left:1335;top:428;width:115;height:115" filled="false" stroked="true" strokeweight=".5pt" strokecolor="#000000">
              <v:stroke dashstyle="solid"/>
            </v:rect>
            <v:shape style="position:absolute;left:2340;top:1753;width:132;height:132" type="#_x0000_t75" stroked="false">
              <v:imagedata r:id="rId31" o:title=""/>
            </v:shape>
            <v:shape style="position:absolute;left:2420;top:1553;width:132;height:132" type="#_x0000_t75" stroked="false">
              <v:imagedata r:id="rId32" o:title=""/>
            </v:shape>
            <v:shape style="position:absolute;left:2507;top:1093;width:132;height:132" type="#_x0000_t75" stroked="false">
              <v:imagedata r:id="rId33" o:title=""/>
            </v:shape>
            <v:shape style="position:absolute;left:3803;top:1615;width:213;height:620" coordorigin="3803,1616" coordsize="213,620" path="m3803,2156l3876,2228m3876,2156l3803,2228m3877,2162l3949,2235m3949,2162l3877,2235m3943,1616l4016,1688m4016,1616l3943,1688e" filled="false" stroked="true" strokeweight=".75pt" strokecolor="#ed1b2d">
              <v:path arrowok="t"/>
              <v:stroke dashstyle="solid"/>
            </v:shape>
            <v:shape style="position:absolute;left:856;top:82;width:3260;height:2100" coordorigin="856,82" coordsize="3260,2100" path="m856,82l936,82m856,382l936,382m856,682l936,682m856,982l936,982m856,1282l936,1282m856,1582l936,1582m856,1882l936,1882m856,2182l936,2182m4016,82l4116,82m4016,382l4116,382m4016,682l4116,682m4016,982l4116,982m4016,1282l4116,1282m4016,1582l4116,1582m4016,1882l4116,1882m4016,2182l4116,2182e" filled="false" stroked="true" strokeweight=".5pt" strokecolor="#000000">
              <v:path arrowok="t"/>
              <v:stroke dashstyle="solid"/>
            </v:shape>
            <v:shape style="position:absolute;left:2426;top:885;width:617;height:133" type="#_x0000_t202" filled="false" stroked="false">
              <v:textbox inset="0,0,0,0">
                <w:txbxContent>
                  <w:p>
                    <w:pPr>
                      <w:spacing w:line="133" w:lineRule="exact" w:before="0"/>
                      <w:ind w:left="0" w:right="0" w:firstLine="0"/>
                      <w:jc w:val="left"/>
                      <w:rPr>
                        <w:sz w:val="12"/>
                      </w:rPr>
                    </w:pPr>
                    <w:r>
                      <w:rPr>
                        <w:sz w:val="12"/>
                      </w:rPr>
                      <w:t>5 November</w:t>
                    </w:r>
                  </w:p>
                </w:txbxContent>
              </v:textbox>
              <w10:wrap type="none"/>
            </v:shape>
            <v:shape style="position:absolute;left:2426;top:1425;width:457;height:593" type="#_x0000_t202" filled="false" stroked="false">
              <v:textbox inset="0,0,0,0">
                <w:txbxContent>
                  <w:p>
                    <w:pPr>
                      <w:spacing w:line="133" w:lineRule="exact" w:before="0"/>
                      <w:ind w:left="0" w:right="0" w:firstLine="0"/>
                      <w:jc w:val="left"/>
                      <w:rPr>
                        <w:sz w:val="12"/>
                      </w:rPr>
                    </w:pPr>
                    <w:r>
                      <w:rPr>
                        <w:sz w:val="12"/>
                      </w:rPr>
                      <w:t>8 August</w:t>
                    </w:r>
                  </w:p>
                  <w:p>
                    <w:pPr>
                      <w:spacing w:line="240" w:lineRule="auto" w:before="0"/>
                      <w:rPr>
                        <w:sz w:val="12"/>
                      </w:rPr>
                    </w:pPr>
                  </w:p>
                  <w:p>
                    <w:pPr>
                      <w:spacing w:line="240" w:lineRule="auto" w:before="11"/>
                      <w:rPr>
                        <w:sz w:val="15"/>
                      </w:rPr>
                    </w:pPr>
                  </w:p>
                  <w:p>
                    <w:pPr>
                      <w:spacing w:before="0"/>
                      <w:ind w:left="0" w:right="0" w:firstLine="0"/>
                      <w:jc w:val="left"/>
                      <w:rPr>
                        <w:sz w:val="12"/>
                      </w:rPr>
                    </w:pPr>
                    <w:r>
                      <w:rPr>
                        <w:sz w:val="12"/>
                      </w:rPr>
                      <w:t>8 May</w:t>
                    </w:r>
                  </w:p>
                </w:txbxContent>
              </v:textbox>
              <w10:wrap type="none"/>
            </v:shape>
            <w10:wrap type="none"/>
          </v:group>
        </w:pict>
      </w:r>
      <w:r>
        <w:rPr>
          <w:sz w:val="12"/>
        </w:rPr>
        <w:t>102</w:t>
      </w:r>
    </w:p>
    <w:p>
      <w:pPr>
        <w:pStyle w:val="BodyText"/>
        <w:spacing w:before="1"/>
        <w:rPr>
          <w:sz w:val="14"/>
        </w:rPr>
      </w:pPr>
    </w:p>
    <w:p>
      <w:pPr>
        <w:spacing w:before="0"/>
        <w:ind w:left="0" w:right="38" w:firstLine="0"/>
        <w:jc w:val="right"/>
        <w:rPr>
          <w:sz w:val="12"/>
        </w:rPr>
      </w:pPr>
      <w:r>
        <w:rPr>
          <w:sz w:val="12"/>
        </w:rPr>
        <w:t>100</w:t>
      </w:r>
    </w:p>
    <w:p>
      <w:pPr>
        <w:pStyle w:val="BodyText"/>
        <w:spacing w:before="1"/>
        <w:rPr>
          <w:sz w:val="14"/>
        </w:rPr>
      </w:pPr>
    </w:p>
    <w:p>
      <w:pPr>
        <w:spacing w:before="0"/>
        <w:ind w:left="0" w:right="38" w:firstLine="0"/>
        <w:jc w:val="right"/>
        <w:rPr>
          <w:sz w:val="12"/>
        </w:rPr>
      </w:pPr>
      <w:r>
        <w:rPr>
          <w:sz w:val="12"/>
        </w:rPr>
        <w:t>98</w:t>
      </w:r>
    </w:p>
    <w:p>
      <w:pPr>
        <w:pStyle w:val="BodyText"/>
        <w:spacing w:before="1"/>
        <w:rPr>
          <w:sz w:val="14"/>
        </w:rPr>
      </w:pPr>
    </w:p>
    <w:p>
      <w:pPr>
        <w:spacing w:before="0"/>
        <w:ind w:left="0" w:right="38" w:firstLine="0"/>
        <w:jc w:val="right"/>
        <w:rPr>
          <w:sz w:val="12"/>
        </w:rPr>
      </w:pPr>
      <w:r>
        <w:rPr>
          <w:sz w:val="12"/>
        </w:rPr>
        <w:t>96</w:t>
      </w:r>
    </w:p>
    <w:p>
      <w:pPr>
        <w:pStyle w:val="BodyText"/>
        <w:spacing w:before="1"/>
        <w:rPr>
          <w:sz w:val="14"/>
        </w:rPr>
      </w:pPr>
    </w:p>
    <w:p>
      <w:pPr>
        <w:spacing w:before="0"/>
        <w:ind w:left="0" w:right="38" w:firstLine="0"/>
        <w:jc w:val="right"/>
        <w:rPr>
          <w:sz w:val="12"/>
        </w:rPr>
      </w:pPr>
      <w:r>
        <w:rPr>
          <w:sz w:val="12"/>
        </w:rPr>
        <w:t>94</w:t>
      </w:r>
    </w:p>
    <w:p>
      <w:pPr>
        <w:pStyle w:val="BodyText"/>
        <w:spacing w:before="1"/>
        <w:rPr>
          <w:sz w:val="14"/>
        </w:rPr>
      </w:pPr>
    </w:p>
    <w:p>
      <w:pPr>
        <w:spacing w:before="0"/>
        <w:ind w:left="0" w:right="38" w:firstLine="0"/>
        <w:jc w:val="right"/>
        <w:rPr>
          <w:sz w:val="12"/>
        </w:rPr>
      </w:pPr>
      <w:r>
        <w:rPr>
          <w:sz w:val="12"/>
        </w:rPr>
        <w:t>92</w:t>
      </w:r>
    </w:p>
    <w:p>
      <w:pPr>
        <w:pStyle w:val="BodyText"/>
        <w:spacing w:before="1"/>
        <w:rPr>
          <w:sz w:val="14"/>
        </w:rPr>
      </w:pPr>
    </w:p>
    <w:p>
      <w:pPr>
        <w:spacing w:before="0"/>
        <w:ind w:left="0" w:right="38" w:firstLine="0"/>
        <w:jc w:val="right"/>
        <w:rPr>
          <w:sz w:val="12"/>
        </w:rPr>
      </w:pPr>
      <w:r>
        <w:rPr>
          <w:sz w:val="12"/>
        </w:rPr>
        <w:t>90</w:t>
      </w:r>
    </w:p>
    <w:p>
      <w:pPr>
        <w:pStyle w:val="BodyText"/>
        <w:spacing w:before="1"/>
        <w:rPr>
          <w:sz w:val="14"/>
        </w:rPr>
      </w:pPr>
    </w:p>
    <w:p>
      <w:pPr>
        <w:spacing w:before="0"/>
        <w:ind w:left="0" w:right="38" w:firstLine="0"/>
        <w:jc w:val="right"/>
        <w:rPr>
          <w:sz w:val="12"/>
        </w:rPr>
      </w:pPr>
      <w:r>
        <w:rPr>
          <w:sz w:val="12"/>
        </w:rPr>
        <w:t>88</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5832064" from="200.820007pt,4.101553pt" to="205.820007pt,4.101553pt" stroked="true" strokeweight=".5pt" strokecolor="#000000">
            <v:stroke dashstyle="solid"/>
            <w10:wrap type="none"/>
          </v:line>
        </w:pict>
      </w:r>
      <w:r>
        <w:rPr>
          <w:sz w:val="12"/>
        </w:rPr>
        <w:t>86</w:t>
      </w:r>
    </w:p>
    <w:p>
      <w:pPr>
        <w:pStyle w:val="Heading5"/>
        <w:spacing w:line="242" w:lineRule="auto"/>
        <w:ind w:left="192" w:right="145"/>
      </w:pPr>
      <w:r>
        <w:rPr/>
        <w:br w:type="column"/>
      </w:r>
      <w:r>
        <w:rPr>
          <w:color w:val="231F20"/>
        </w:rPr>
        <w:t>But at no time since August 1996 has monetary policy news explained more than half of the appreciation of sterling, and in recent months its estimated contribution has been considerably smaller.</w:t>
      </w:r>
    </w:p>
    <w:p>
      <w:pPr>
        <w:pStyle w:val="BodyText"/>
        <w:spacing w:before="10"/>
        <w:rPr>
          <w:sz w:val="23"/>
        </w:rPr>
      </w:pPr>
    </w:p>
    <w:p>
      <w:pPr>
        <w:spacing w:line="242" w:lineRule="auto" w:before="0"/>
        <w:ind w:left="193" w:right="145" w:firstLine="0"/>
        <w:jc w:val="left"/>
        <w:rPr>
          <w:sz w:val="24"/>
        </w:rPr>
      </w:pPr>
      <w:r>
        <w:rPr>
          <w:color w:val="231F20"/>
          <w:sz w:val="24"/>
        </w:rPr>
        <w:t>The exchange rate may also be influenced by perceptions about Economic and Monetary Union (EMU). A number of ‘EMU calculators’ </w:t>
      </w:r>
      <w:r>
        <w:rPr>
          <w:color w:val="231F20"/>
          <w:spacing w:val="-3"/>
          <w:sz w:val="24"/>
        </w:rPr>
        <w:t>have </w:t>
      </w:r>
      <w:r>
        <w:rPr>
          <w:color w:val="231F20"/>
          <w:sz w:val="24"/>
        </w:rPr>
        <w:t>been developed to assess market expectations of the </w:t>
      </w:r>
      <w:r>
        <w:rPr>
          <w:color w:val="231F20"/>
          <w:spacing w:val="-3"/>
          <w:sz w:val="24"/>
        </w:rPr>
        <w:t>likelihood </w:t>
      </w:r>
      <w:r>
        <w:rPr>
          <w:color w:val="231F20"/>
          <w:sz w:val="24"/>
        </w:rPr>
        <w:t>of particular countries joining EMU. An article in </w:t>
      </w:r>
      <w:r>
        <w:rPr>
          <w:color w:val="231F20"/>
          <w:spacing w:val="-3"/>
          <w:sz w:val="24"/>
        </w:rPr>
        <w:t>November’s </w:t>
      </w:r>
      <w:r>
        <w:rPr>
          <w:i/>
          <w:color w:val="231F20"/>
          <w:sz w:val="24"/>
        </w:rPr>
        <w:t>Quarterly Bulletin </w:t>
      </w:r>
      <w:r>
        <w:rPr>
          <w:color w:val="231F20"/>
          <w:sz w:val="24"/>
        </w:rPr>
        <w:t>describes one of these measures, based on the expected correlation</w:t>
      </w:r>
      <w:r>
        <w:rPr>
          <w:color w:val="231F20"/>
          <w:spacing w:val="-4"/>
          <w:sz w:val="24"/>
        </w:rPr>
        <w:t> </w:t>
      </w:r>
      <w:r>
        <w:rPr>
          <w:color w:val="231F20"/>
          <w:sz w:val="24"/>
        </w:rPr>
        <w:t>between</w:t>
      </w:r>
    </w:p>
    <w:p>
      <w:pPr>
        <w:spacing w:after="0" w:line="242" w:lineRule="auto"/>
        <w:jc w:val="left"/>
        <w:rPr>
          <w:sz w:val="24"/>
        </w:rPr>
        <w:sectPr>
          <w:type w:val="continuous"/>
          <w:pgSz w:w="11880" w:h="16840"/>
          <w:pgMar w:top="1040" w:bottom="280" w:left="640" w:right="640"/>
          <w:cols w:num="4" w:equalWidth="0">
            <w:col w:w="1209" w:space="174"/>
            <w:col w:w="1013" w:space="345"/>
            <w:col w:w="986" w:space="1039"/>
            <w:col w:w="5834"/>
          </w:cols>
        </w:sectPr>
      </w:pPr>
    </w:p>
    <w:p>
      <w:pPr>
        <w:pStyle w:val="BodyText"/>
        <w:spacing w:before="3"/>
        <w:rPr>
          <w:sz w:val="11"/>
        </w:rPr>
      </w:pPr>
    </w:p>
    <w:p>
      <w:pPr>
        <w:tabs>
          <w:tab w:pos="606" w:val="left" w:leader="none"/>
          <w:tab w:pos="886" w:val="left" w:leader="none"/>
        </w:tabs>
        <w:spacing w:before="0"/>
        <w:ind w:left="306" w:right="0" w:firstLine="0"/>
        <w:jc w:val="left"/>
        <w:rPr>
          <w:sz w:val="12"/>
        </w:rPr>
      </w:pPr>
      <w:r>
        <w:rPr>
          <w:sz w:val="12"/>
        </w:rPr>
        <w:t>1</w:t>
        <w:tab/>
        <w:t>5</w:t>
        <w:tab/>
        <w:t>9 13 </w:t>
      </w:r>
      <w:r>
        <w:rPr>
          <w:spacing w:val="-10"/>
          <w:sz w:val="12"/>
        </w:rPr>
        <w:t>17</w:t>
      </w:r>
    </w:p>
    <w:p>
      <w:pPr>
        <w:spacing w:line="129" w:lineRule="exact" w:before="10"/>
        <w:ind w:left="1980" w:right="0" w:firstLine="0"/>
        <w:jc w:val="left"/>
        <w:rPr>
          <w:sz w:val="12"/>
        </w:rPr>
      </w:pPr>
      <w:r>
        <w:rPr/>
        <w:br w:type="column"/>
      </w:r>
      <w:r>
        <w:rPr>
          <w:sz w:val="12"/>
        </w:rPr>
        <w:t>84</w:t>
      </w:r>
    </w:p>
    <w:p>
      <w:pPr>
        <w:spacing w:line="129" w:lineRule="exact" w:before="0"/>
        <w:ind w:left="120" w:right="0" w:firstLine="0"/>
        <w:jc w:val="left"/>
        <w:rPr>
          <w:sz w:val="12"/>
        </w:rPr>
      </w:pPr>
      <w:r>
        <w:rPr/>
        <w:pict>
          <v:shape style="position:absolute;margin-left:42.82pt;margin-top:-8.348154pt;width:163pt;height:6pt;mso-position-horizontal-relative:page;mso-position-vertical-relative:paragraph;z-index:15831552" coordorigin="856,-167" coordsize="3260,120" path="m856,-47l936,-47m976,-47l976,-107m1036,-47l1036,-107m1116,-47l1116,-107m1196,-47l1196,-107m1256,-47l1256,-107m1336,-47l1336,-107m1406,-47l1406,-107m1476,-47l1476,-107m1556,-47l1556,-107m1616,-47l1616,-107m1686,-47l1686,-107m1756,-47l1756,-107m1836,-47l1836,-107m1896,-47l1896,-107m1976,-47l1976,-107m2056,-47l2056,-107m2116,-47l2116,-107m2196,-47l2196,-107m2266,-47l2266,-107m2336,-47l2336,-107m2476,-47l2476,-107m2546,-47l2546,-107m2616,-47l2616,-107m2696,-47l2696,-107m2756,-47l2756,-107m2836,-47l2836,-107m2916,-47l2916,-107m2976,-47l2976,-107m3056,-47l3056,-107m3126,-47l3126,-107m3196,-47l3196,-107m3256,-47l3256,-107m3336,-47l3336,-107m3406,-47l3406,-107m3476,-47l3476,-107m3556,-47l3556,-107m3616,-47l3616,-107m3686,-47l3686,-107m3756,-47l3756,-107m3836,-47l3836,-107m3916,-47l3916,-107m976,-47l3916,-47m976,-167l976,-47m1256,-167l1256,-47m1556,-167l1556,-47m1836,-167l1836,-47m2116,-167l2116,-47m2416,-167l2416,-47m2696,-167l2696,-47m2976,-167l2976,-47m3256,-167l3256,-47m3556,-167l3556,-47m3836,-167l3836,-47m3916,-47l3916,-107m4016,-47l4116,-47m3976,-47l3976,-107m976,-47l3976,-47e" filled="false" stroked="true" strokeweight=".5pt" strokecolor="#000000">
            <v:path arrowok="t"/>
            <v:stroke dashstyle="solid"/>
            <w10:wrap type="none"/>
          </v:shape>
        </w:pict>
      </w:r>
      <w:r>
        <w:rPr>
          <w:sz w:val="12"/>
        </w:rPr>
        <w:t>21 25 29 33 37 41</w:t>
      </w:r>
    </w:p>
    <w:p>
      <w:pPr>
        <w:pStyle w:val="Heading5"/>
        <w:spacing w:before="10"/>
        <w:ind w:left="306"/>
      </w:pPr>
      <w:r>
        <w:rPr/>
        <w:br w:type="column"/>
      </w:r>
      <w:r>
        <w:rPr>
          <w:color w:val="231F20"/>
        </w:rPr>
        <w:t>currencies implicit within foreign exchange options</w:t>
      </w:r>
    </w:p>
    <w:p>
      <w:pPr>
        <w:spacing w:after="0"/>
        <w:sectPr>
          <w:type w:val="continuous"/>
          <w:pgSz w:w="11880" w:h="16840"/>
          <w:pgMar w:top="1040" w:bottom="280" w:left="640" w:right="640"/>
          <w:cols w:num="3" w:equalWidth="0">
            <w:col w:w="1547" w:space="40"/>
            <w:col w:w="2141" w:space="925"/>
            <w:col w:w="5947"/>
          </w:cols>
        </w:sectPr>
      </w:pPr>
    </w:p>
    <w:p>
      <w:pPr>
        <w:spacing w:line="136" w:lineRule="exact" w:before="0"/>
        <w:ind w:left="1386" w:right="0" w:firstLine="0"/>
        <w:jc w:val="left"/>
        <w:rPr>
          <w:sz w:val="12"/>
        </w:rPr>
      </w:pPr>
      <w:r>
        <w:rPr>
          <w:sz w:val="12"/>
        </w:rPr>
        <w:t>Number of quarters</w:t>
      </w:r>
    </w:p>
    <w:p>
      <w:pPr>
        <w:spacing w:before="71"/>
        <w:ind w:left="156" w:right="0" w:firstLine="0"/>
        <w:jc w:val="left"/>
        <w:rPr>
          <w:sz w:val="12"/>
        </w:rPr>
      </w:pPr>
      <w:r>
        <w:rPr>
          <w:color w:val="231F20"/>
          <w:sz w:val="12"/>
        </w:rPr>
        <w:t>Sources: Bank for International Settlements, Datastream and Bank of England.</w:t>
      </w:r>
    </w:p>
    <w:p>
      <w:pPr>
        <w:spacing w:before="102"/>
        <w:ind w:left="156" w:right="0" w:firstLine="0"/>
        <w:jc w:val="left"/>
        <w:rPr>
          <w:sz w:val="12"/>
        </w:rPr>
      </w:pPr>
      <w:r>
        <w:rPr>
          <w:color w:val="231F20"/>
          <w:sz w:val="12"/>
        </w:rPr>
        <w:t>(a) Assuming uncovered interest rate parity.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1"/>
        </w:rPr>
      </w:pPr>
    </w:p>
    <w:p>
      <w:pPr>
        <w:pStyle w:val="Heading9"/>
        <w:spacing w:before="0"/>
        <w:ind w:left="159"/>
      </w:pPr>
      <w:r>
        <w:rPr>
          <w:color w:val="0093C1"/>
        </w:rPr>
        <w:t>Chart 2.17</w:t>
      </w:r>
    </w:p>
    <w:p>
      <w:pPr>
        <w:spacing w:line="249" w:lineRule="auto" w:before="10"/>
        <w:ind w:left="159" w:right="464" w:firstLine="0"/>
        <w:jc w:val="left"/>
        <w:rPr>
          <w:b/>
          <w:sz w:val="20"/>
        </w:rPr>
      </w:pPr>
      <w:r>
        <w:rPr>
          <w:b/>
          <w:color w:val="0093C1"/>
          <w:sz w:val="20"/>
        </w:rPr>
        <w:t>The exchange rate and monetary policy news since August 1996</w:t>
      </w:r>
    </w:p>
    <w:p>
      <w:pPr>
        <w:spacing w:before="53"/>
        <w:ind w:left="3084" w:right="0" w:firstLine="0"/>
        <w:jc w:val="left"/>
        <w:rPr>
          <w:sz w:val="12"/>
        </w:rPr>
      </w:pPr>
      <w:r>
        <w:rPr/>
        <w:pict>
          <v:group style="position:absolute;margin-left:41.459999pt;margin-top:12.252552pt;width:164pt;height:149.75pt;mso-position-horizontal-relative:page;mso-position-vertical-relative:paragraph;z-index:-20904448" coordorigin="829,245" coordsize="3280,2995">
            <v:shape style="position:absolute;left:969;top:2413;width:3000;height:680" coordorigin="969,2413" coordsize="3000,680" path="m1149,3053l1089,3053,1089,3073,1109,3093,1109,3073,1129,3073,1149,3053xm1129,3073l1109,3073,1129,3093,1129,3073xm1169,3033l1109,3033,1109,3053,1149,3053,1169,3073,1169,3033xm1209,2973l1189,3033,1169,3033,1189,3073,1209,3073,1209,2973xm1029,2993l1009,3013,1029,3053,1029,2993xm1049,2993l1029,3013,1029,3033,1049,3033,1069,3053,1109,3053,1089,3033,1089,3013,1069,3013,1049,2993xm1329,2953l1289,2953,1229,3013,1269,3013,1269,3053,1289,2973,1349,2973,1329,2953xm1009,2873l989,3013,969,3013,989,3033,996,3013,989,3013,969,2993,1003,2993,1009,2973,1009,2873xm1169,3013l1129,3013,1129,3033,1189,3033,1169,3013xm1229,2993l1209,2993,1209,3013,1229,3033,1249,3033,1269,3013,1229,3013,1229,2993xm1409,2973l1389,2973,1389,3033,1409,3013,1416,2993,1409,2993,1409,2973xm1349,2973l1329,2973,1349,3013,1349,2973xm1349,2953l1349,2973,1369,3013,1379,2993,1369,2993,1349,2953xm1489,2813l1449,2933,1429,2953,1429,2993,1449,2993,1449,3013,1469,2953,1469,2893,1489,2873,1489,2813xm1309,2973l1289,2973,1289,2993,1309,2973xm1409,2953l1389,2953,1369,2993,1379,2993,1389,2973,1409,2973,1409,2953xm1429,2933l1409,2993,1416,2993,1429,2953,1429,2933xm3789,2773l3769,2793,3769,2833,3729,2833,3709,2853,3709,2993,3729,2953,3729,2913,3769,2913,3769,2893,3829,2893,3829,2873,3809,2813,3789,2813,3789,2773xm3829,2893l3789,2893,3789,2913,3829,2913,3829,2973,3849,2993,3849,2973,3869,2933,3849,2933,3829,2893xm3869,2873l3849,2913,3849,2933,3869,2933,3869,2953,3889,2953,3909,2913,3909,2893,3869,2893,3869,2873xm3769,2913l3749,2913,3749,2933,3769,2933,3769,2913xm3829,2913l3809,2913,3809,2933,3829,2913xm2429,2893l2409,2893,2409,2913,2429,2893xm2469,2833l2369,2833,2389,2853,2389,2893,2429,2893,2429,2913,2449,2873,2469,2853,2469,2833xm1509,2853l1489,2853,1509,2893,1509,2853xm1549,2853l1529,2873,1529,2893,1549,2893,1549,2853xm3969,2813l3949,2813,3949,2833,3909,2833,3889,2873,3889,2893,3909,2893,3909,2853,3959,2853,3969,2833,3969,2813xm3929,2853l3909,2853,3929,2893,3929,2853xm1529,2853l1509,2853,1529,2873,1529,2853xm3959,2853l3949,2853,3949,2873,3959,2853xm2489,2773l2429,2773,2429,2793,2409,2813,2349,2813,2349,2853,2369,2853,2369,2833,2469,2833,2469,2793,2489,2773xm2729,2753l2589,2753,2609,2853,2609,2813,2649,2813,2649,2793,2729,2793,2729,2753xm3689,2813l3629,2813,3629,2853,3649,2833,3669,2833,3689,2813xm2309,2713l2309,2773,2189,2773,2209,2793,2269,2793,2289,2813,2289,2833,2329,2833,2349,2813,2389,2813,2389,2753,2329,2753,2329,2733,2309,2713xm2629,2813l2609,2813,2609,2833,2629,2813xm2989,2653l2969,2653,2969,2693,2949,2733,2929,2733,2909,2773,2789,2773,2789,2833,2809,2813,2849,2813,2849,2793,2949,2793,2969,2773,2969,2753,3049,2753,3059,2733,2949,2733,2949,2713,3029,2713,3029,2693,2989,2693,2989,2653xm3589,2713l3589,2733,3569,2793,3569,2833,3589,2813,3589,2793,3629,2793,3629,2753,3589,2713xm3949,2813l3929,2813,3929,2833,3949,2833,3949,2813xm1589,2693l1569,2733,1569,2753,1549,2813,1589,2813,1609,2793,1609,2773,1649,2773,1649,2733,1669,2713,1589,2713,1589,2693xm2409,2753l2389,2813,2409,2813,2409,2753xm2709,2793l2689,2793,2689,2813,2709,2793xm2749,2613l2729,2673,2709,2693,2749,2693,2769,2793,2769,2813,2789,2773,2769,2773,2749,2613xm2929,2793l2849,2793,2869,2813,2909,2813,2929,2793xm3489,2773l3469,2773,3469,2813,3489,2793,3489,2773xm3689,2753l3649,2793,3589,2793,3609,2813,3709,2813,3709,2793,3689,2753xm1769,2753l1709,2753,1709,2773,1729,2793,1749,2793,1749,2773,1769,2773,1769,2753xm1989,2713l1949,2713,1949,2773,1969,2793,1969,2733,1989,2713xm2049,2593l2029,2593,2009,2633,1769,2633,1769,2673,1749,2673,1729,2713,1989,2713,2009,2733,2009,2753,2069,2753,2089,2773,2089,2793,2109,2793,2109,2773,2289,2773,2289,2733,2189,2733,2169,2713,2169,2693,2089,2693,2089,2673,2069,2653,2049,2613,2049,2593xm2489,2633l2469,2633,2469,2733,2449,2733,2449,2773,2489,2773,2509,2793,2509,2713,2523,2673,2509,2673,2489,2633xm2569,2633l2549,2633,2549,2653,2529,2653,2529,2773,2549,2793,2569,2773,2589,2773,2589,2753,2729,2753,2736,2733,2609,2733,2594,2673,2589,2673,2569,2653,2569,2633xm2589,2773l2569,2773,2589,2793,2589,2773xm3049,2753l2989,2753,2989,2773,3029,2773,3029,2793,3049,2753xm3569,2753l3369,2753,3389,2793,3409,2793,3409,2773,3569,2773,3569,2753xm3509,2773l3489,2773,3509,2793,3509,2773xm3569,2773l3529,2773,3549,2793,3569,2793,3569,2773xm3649,2773l3629,2793,3649,2793,3649,2773xm1789,2733l1689,2733,1689,2773,1709,2753,1789,2753,1789,2733xm1849,2733l1789,2733,1809,2753,1809,2773,1829,2773,1849,2753,1849,2733xm1889,2733l1849,2733,1849,2773,1869,2773,1889,2733xm2069,2753l2049,2753,2049,2773,2069,2773,2069,2753xm2789,2753l2769,2753,2769,2773,2789,2773,2789,2753xm2869,2693l2869,2753,2849,2753,2829,2773,2909,2773,2889,2753,2869,2693xm3509,2653l3509,2733,3329,2733,3369,2773,3369,2753,3569,2753,3569,2713,3549,2713,3549,2693,3509,2653xm1729,2693l1709,2713,1709,2733,1909,2733,1929,2753,1929,2733,1949,2713,1729,2713,1729,2693xm2389,2713l2349,2713,2329,2753,2389,2753,2389,2713xm3489,2653l3489,2673,3469,2693,3269,2693,3289,2713,3289,2753,3309,2753,3309,2733,3509,2733,3489,2653xm3329,2733l3309,2733,3329,2753,3329,2733xm1609,2653l1609,2693,1589,2713,1669,2713,1669,2733,1709,2733,1696,2693,1649,2693,1639,2673,1629,2673,1609,2653xm2189,2693l2189,2733,2209,2733,2189,2693xm2229,2653l2209,2713,2209,2733,2229,2733,2229,2653xm2269,2693l2249,2693,2229,2733,2269,2733,2269,2693xm2289,2713l2269,2733,2289,2733,2289,2713xm2629,2673l2609,2713,2609,2733,2649,2733,2649,2713,2629,2673xm2649,2673l2649,2733,2736,2733,2749,2693,2669,2693,2649,2673xm3069,2573l3069,2633,3049,2653,3029,2713,3109,2713,3129,2733,3129,2713,3149,2673,3159,2673,3169,2653,3189,2633,3369,2633,3369,2613,3089,2613,3089,2593,3069,2573xm1669,2653l1649,2653,1649,2693,1669,2693,1669,2653xm1689,2673l1689,2693,1696,2693,1689,2673xm2109,2633l2109,2673,2089,2693,2129,2693,2109,2633xm2149,2633l2129,2693,2169,2693,2163,2673,2149,2673,2149,2633xm2669,2653l2669,2693,2709,2693,2669,2653xm3159,2673l3149,2673,3149,2693,3159,2673xm3249,2673l3209,2673,3229,2693,3249,2693,3249,2673xm3449,2613l3449,2633,3429,2653,3389,2653,3389,2673,3249,2673,3249,2693,3469,2693,3469,2673,3463,2653,3409,2653,3409,2633,3456,2633,3449,2613xm1629,2653l1629,2673,1639,2673,1629,2653xm2149,2633l2149,2673,2163,2673,2149,2633xm2529,2493l2509,2593,2509,2673,2523,2673,2529,2653,2549,2653,2529,2633,2529,2493xm2589,2653l2589,2673,2594,2673,2589,2653xm3369,2633l3189,2633,3189,2673,3389,2673,3369,2633xm3429,2633l3409,2653,3429,2653,3429,2633xm1809,2573l1789,2593,1789,2633,1849,2633,1829,2613,1829,2593,1809,2593,1809,2573xm1849,2593l1849,2633,2009,2633,2009,2613,1869,2613,1849,2593xm1909,2573l1889,2573,1889,2593,1869,2593,1869,2613,1929,2613,1909,2593,1909,2573xm1989,2573l1929,2573,1929,2613,2009,2613,2009,2593,1989,2573xm3109,2593l3089,2613,3109,2613,3109,2593xm3189,2413l3169,2413,3169,2453,3149,2473,3149,2493,3129,2593,3109,2613,3369,2613,3349,2593,3329,2593,3323,2573,3289,2573,3289,2533,3229,2533,3229,2513,3209,2513,3209,2473,3189,2473,3189,2413xm3349,2573l3329,2573,3329,2593,3349,2593,3349,2573xm1969,2533l1949,2573,1969,2573,1969,2533xm3309,2533l3309,2553,3289,2573,3323,2573,3309,2533xm3289,2473l3269,2493,3249,2493,3229,2533,3289,2533,3289,2493,3269,2493,3249,2473,3289,2473xe" filled="true" fillcolor="#b5e1e1" stroked="false">
              <v:path arrowok="t"/>
              <v:fill type="solid"/>
            </v:shape>
            <v:shape style="position:absolute;left:969;top:2413;width:3000;height:680" coordorigin="969,2413" coordsize="3000,680" path="m1689,2693l1689,2673,1709,2733,1709,2713,1729,2693,1729,2713,1749,2673,1769,2673,1769,2633,1789,2633,1789,2593,1809,2573,1809,2593,1829,2593,1829,2613,1849,2633,1849,2593,1869,2613,1869,2593,1889,2593,1889,2573,1909,2573,1909,2593,1929,2613,1929,2573,1949,2573,1969,2533,1969,2573,1989,2573,2009,2593,2009,2633,2029,2593,2049,2593,2049,2613,2069,2653,2089,2673,2089,2693,2109,2673,2109,2633,2129,2693,2149,2633,2149,2673,2149,2633,2169,2693,2169,2713,2189,2733,2189,2693,2209,2733,2209,2713,2229,2653,2229,2733,2249,2693,2269,2693,2269,2733,2289,2713,2289,2773,2309,2773,2309,2713,2329,2733,2329,2753,2349,2713,2389,2713,2389,2813,2409,2753,2409,2813,2429,2793,2429,2773,2449,2773,2449,2733,2469,2733,2469,2633,2489,2633,2509,2673,2509,2593,2529,2493,2529,2633,2549,2653,2549,2633,2569,2633,2569,2653,2589,2673,2589,2653,2609,2733,2609,2653,2609,2713,2629,2673,2649,2713,2649,2733,2649,2673,2669,2693,2669,2653,2709,2693,2729,2673,2749,2613,2769,2773,2769,2753,2789,2753,2789,2773,2829,2773,2849,2753,2869,2753,2869,2693,2889,2753,2909,2773,2929,2733,2949,2713,2949,2733,2969,2693,2969,2653,2989,2653,2989,2693,3029,2693,3029,2713,3049,2653,3069,2633,3069,2573,3089,2593,3089,2613,3109,2593,3109,2613,3129,2593,3149,2493,3149,2473,3169,2453,3169,2413,3189,2413,3189,2473,3209,2473,3209,2513,3229,2513,3229,2533,3249,2493,3249,2473,3269,2493,3289,2473,3289,2573,3309,2553,3309,2533,3329,2593,3329,2573,3349,2573,3349,2593,3369,2613,3369,2633,3389,2673,3389,2653,3409,2633,3409,2653,3429,2633,3429,2653,3449,2633,3449,2613,3469,2673,3469,2693,3489,2673,3489,2653,3509,2733,3509,2653,3549,2693,3549,2713,3569,2713,3569,2793,3589,2733,3589,2713,3629,2753,3629,2793,3649,2773,3649,2793,3689,2753,3709,2793,3709,2853,3729,2833,3769,2833,3769,2773,3769,2793,3789,2773,3789,2813,3809,2813,3829,2873,3829,2893,3849,2933,3849,2913,3869,2873,3869,2893,3889,2893,3889,2873,3909,2833,3909,2813,3909,2833,3929,2833,3929,2813,3949,2813,3949,2833,3949,2813,3969,2813,3969,2833,3949,2873,3949,2853,3929,2853,3929,2893,3909,2853,3909,2913,3889,2953,3869,2953,3869,2933,3849,2973,3849,2993,3829,2973,3829,2913,3809,2933,3809,2913,3789,2913,3789,2893,3769,2893,3769,2973,3769,2933,3749,2933,3749,2913,3729,2913,3729,2953,3709,2993,3709,2813,3689,2813,3669,2833,3649,2833,3629,2853,3629,2813,3609,2813,3589,2793,3589,2813,3569,2833,3569,2793,3549,2793,3529,2773,3509,2773,3509,2793,3489,2773,3489,2793,3469,2813,3469,2773,3409,2773,3409,2793,3389,2793,3369,2753,3369,2773,3329,2733,3329,2753,3309,2733,3309,2753,3289,2753,3289,2713,3269,2693,3249,2693,3249,2673,3249,2693,3229,2693,3209,2673,3189,2673,3189,2633,3169,2653,3149,2693,3149,2673,3129,2713,3129,2733,3109,2713,3109,2733,3109,2713,3069,2713,3029,2793,3029,2773,2989,2773,2989,2753,2969,2753,2969,2773,2949,2793,2929,2793,2909,2813,2869,2813,2849,2793,2849,2813,2809,2813,2789,2833,2789,2773,2769,2813,2769,2793,2749,2693,2729,2753,2729,2793,2709,2793,2689,2813,2689,2793,2649,2793,2649,2833,2649,2813,2629,2813,2609,2833,2609,2813,2609,2853,2589,2753,2589,2793,2569,2773,2549,2793,2529,2773,2529,2653,2509,2713,2509,2793,2489,2773,2469,2793,2469,2853,2449,2873,2429,2913,2429,2893,2409,2913,2409,2893,2389,2893,2389,2853,2369,2833,2369,2853,2349,2853,2349,2813,2329,2833,2329,2853,2329,2833,2289,2833,2289,2813,2269,2793,2209,2793,2189,2773,2109,2773,2109,2793,2089,2793,2089,2773,2069,2753,2069,2773,2049,2773,2049,2753,2009,2753,2009,2733,1989,2713,1969,2733,1969,2793,1949,2773,1949,2713,1929,2733,1929,2753,1909,2733,1889,2733,1869,2773,1849,2773,1849,2733,1849,2753,1829,2773,1809,2773,1809,2753,1789,2733,1789,2753,1769,2753,1769,2773,1749,2773,1749,2793,1729,2793,1709,2773,1709,2753,1689,2773,1689,2733,1669,2733,1669,2713,1649,2733,1649,2773,1609,2773,1609,2793,1589,2813,1549,2813,1549,2893,1529,2893,1529,2873,1509,2853,1509,2893,1489,2853,1489,2873,1469,2893,1469,2953,1449,3013,1449,2993,1429,2993,1429,2953,1409,3013,1389,3033,1389,2973,1369,3013,1349,2973,1349,3013,1329,2973,1309,2973,1289,2993,1289,2973,1269,3053,1269,3013,1249,3033,1229,3033,1209,3013,1209,3073,1189,3073,1169,3033,1169,3073,1149,3053,1129,3073,1129,3093,1109,3073,1109,3093,1089,3073,1089,3053,1069,3053,1069,3073,1069,3053,1049,3033,1029,3033,1029,3013,1029,3053,1009,3013,1009,2973,989,3033,969,3013,969,2993,989,3013,1009,2873,1009,3013,1029,2993,1029,3013,1049,2993,1069,3013,1089,3013,1089,3033,1109,3053,1109,3033,1129,3033,1129,3013,1169,3013,1189,3033,1209,2973,1209,3013,1209,2993,1229,2993,1229,3013,1289,2953,1329,2953,1349,2973,1349,2953,1369,2993,1389,2953,1409,2953,1409,2993,1429,2933,1429,2953,1449,2933,1489,2813,1489,2853,1529,2853,1529,2873,1549,2853,1549,2813,1569,2753,1569,2733,1589,2693,1589,2713,1609,2693,1609,2653,1629,2673,1629,2653,1649,2693,1649,2653,1669,2653,1669,2693,1689,2693e" filled="false" stroked="true" strokeweight="1pt" strokecolor="#b5e1e1">
              <v:path arrowok="t"/>
              <v:stroke dashstyle="solid"/>
            </v:shape>
            <v:shape style="position:absolute;left:829;top:2315;width:3280;height:920" coordorigin="829,2315" coordsize="3280,920" path="m909,3015l829,3015m909,2775l829,2775m909,2555l829,2555m4109,2775l4009,2775m4109,2555l4009,2555m909,3235l829,3235m4109,3235l4009,3235m969,3235l3969,3235m1149,3235l1149,3195m1349,3235l1349,3195m1569,3235l1569,3195m1769,3235l1769,3195m1949,3235l1949,3195m2149,3235l2149,3195m2349,3235l2349,3195m2529,3235l2529,3195m2729,3235l2729,3195m2929,3235l2929,3195m3109,3235l3109,3195m3329,3235l3329,3195m3529,3235l3529,3195m3729,3235l3729,3195m3949,3235l3949,3195m1949,3235l1949,3155m969,3235l969,3195m909,2315l829,2315e" filled="false" stroked="true" strokeweight=".5pt" strokecolor="#000000">
              <v:path arrowok="t"/>
              <v:stroke dashstyle="solid"/>
            </v:shape>
            <v:shape style="position:absolute;left:959;top:2385;width:560;height:740" type="#_x0000_t75" stroked="false">
              <v:imagedata r:id="rId34" o:title=""/>
            </v:shape>
            <v:shape style="position:absolute;left:1509;top:1675;width:340;height:800" coordorigin="1509,1675" coordsize="340,800" path="m1509,2395l1509,2435,1529,2475,1529,2335,1549,2395,1549,2235,1569,2255,1569,2155,1589,2115,1589,2075,1609,2135,1609,2155,1629,2175,1629,2195,1649,2195,1649,2115,1669,2035,1669,2015,1689,1995m1689,1995l1689,1975,1689,1995,1709,1895,1709,1935,1729,1915,1729,1855,1749,1855,1749,1775,1769,1735,1769,1675,1789,1815,1789,1955,1809,2075,1809,2035,1829,1915,1829,1895,1849,1915,1849,1875e" filled="false" stroked="true" strokeweight="1pt" strokecolor="#ed1b2d">
              <v:path arrowok="t"/>
              <v:stroke dashstyle="solid"/>
            </v:shape>
            <v:shape style="position:absolute;left:1839;top:1405;width:240;height:480" type="#_x0000_t75" stroked="false">
              <v:imagedata r:id="rId35" o:title=""/>
            </v:shape>
            <v:shape style="position:absolute;left:2069;top:1255;width:180;height:520" coordorigin="2069,1255" coordsize="180,520" path="m2069,1415l2089,1415,2089,1395,2109,1595,2109,1655,2129,1635,2129,1655,2149,1595,2149,1775,2169,1635,2169,1595,2189,1435,2209,1395,2229,1255,2229,1275,2249,1315,2249,1335e" filled="false" stroked="true" strokeweight="1pt" strokecolor="#ed1b2d">
              <v:path arrowok="t"/>
              <v:stroke dashstyle="solid"/>
            </v:shape>
            <v:shape style="position:absolute;left:2239;top:1225;width:200;height:280" type="#_x0000_t75" stroked="false">
              <v:imagedata r:id="rId36" o:title=""/>
            </v:shape>
            <v:shape style="position:absolute;left:2429;top:1095;width:180;height:540" coordorigin="2429,1095" coordsize="180,540" path="m2429,1455l2449,1415,2449,1575,2469,1635,2469,1535,2489,1475,2509,1375,2509,1235,2529,1295,2529,1195,2549,1235,2549,1275,2569,1215,2569,1135,2589,1175,2589,1135,2609,1135,2609,1095e" filled="false" stroked="true" strokeweight="1pt" strokecolor="#ed1b2d">
              <v:path arrowok="t"/>
              <v:stroke dashstyle="solid"/>
            </v:shape>
            <v:shape style="position:absolute;left:2599;top:1005;width:420;height:340" type="#_x0000_t75" stroked="false">
              <v:imagedata r:id="rId37" o:title=""/>
            </v:shape>
            <v:shape style="position:absolute;left:3009;top:575;width:180;height:580" coordorigin="3009,575" coordsize="180,580" path="m3009,1155l3009,1075,3029,1115,3029,1095,3049,1115,3049,1055,3069,955,3069,895,3089,895,3089,915,3109,895,3109,835,3129,895,3149,655,3149,595,3169,675,3169,575,3189,575e" filled="false" stroked="true" strokeweight="1pt" strokecolor="#ed1b2d">
              <v:path arrowok="t"/>
              <v:stroke dashstyle="solid"/>
            </v:shape>
            <v:shape style="position:absolute;left:3179;top:245;width:200;height:400" type="#_x0000_t75" stroked="false">
              <v:imagedata r:id="rId38" o:title=""/>
            </v:shape>
            <v:shape style="position:absolute;left:3369;top:415;width:180;height:660" coordorigin="3369,415" coordsize="180,660" path="m3369,415l3369,655,3389,795,3389,995,3409,895,3409,955,3429,1075,3429,875,3449,835,3449,815,3469,835,3469,955,3489,915,3509,895,3509,935,3529,815,3529,855,3549,895e" filled="false" stroked="true" strokeweight="1pt" strokecolor="#ed1b2d">
              <v:path arrowok="t"/>
              <v:stroke dashstyle="solid"/>
            </v:shape>
            <v:shape style="position:absolute;left:3539;top:885;width:220;height:340" type="#_x0000_t75" stroked="false">
              <v:imagedata r:id="rId39" o:title=""/>
            </v:shape>
            <v:shape style="position:absolute;left:4009;top:695;width:100;height:460" coordorigin="4009,695" coordsize="100,460" path="m4109,1155l4009,1155m4109,935l4009,935m4109,695l4009,695e" filled="false" stroked="true" strokeweight=".5pt" strokecolor="#000000">
              <v:path arrowok="t"/>
              <v:stroke dashstyle="solid"/>
            </v:shape>
            <v:shape style="position:absolute;left:3769;top:675;width:200;height:440" coordorigin="3769,675" coordsize="200,440" path="m3769,1075l3769,1015,3789,1035,3789,1075,3809,1075,3809,1055,3829,1055,3849,1115,3849,1035,3869,895,3869,795,3889,815,3889,875,3909,835,3909,715,3929,755,3929,835m3949,835l3949,675,3969,675,3969,735e" filled="false" stroked="true" strokeweight="1pt" strokecolor="#ed1b2d">
              <v:path arrowok="t"/>
              <v:stroke dashstyle="solid"/>
            </v:shape>
            <v:shape style="position:absolute;left:969;top:2415;width:3000;height:640" coordorigin="969,2415" coordsize="3000,640" path="m969,3015l969,2995,989,3015,1009,2875,1009,3015,1029,2995,1029,3015,1049,2995,1069,3015,1089,3015,1089,3035,1109,3055,1109,3035,1129,3035,1129,3015,1169,3015,1189,3035,1209,2975,1209,3015,1209,2995,1229,2995,1229,3015,1289,2955,1329,2955,1349,2975,1349,2955,1369,2995,1389,2955,1409,2955,1409,2995,1429,2935,1429,2955,1449,2935,1489,2815,1489,2855,1529,2855,1529,2875,1549,2855,1549,2815,1569,2755,1569,2735,1589,2695,1589,2715,1609,2695,1609,2655,1629,2675,1629,2655,1649,2695,1649,2655,1669,2655,1669,2695,1689,2695m1689,2695l1689,2675,1709,2735,1709,2715,1729,2695,1729,2715,1749,2675,1769,2675,1769,2635,1789,2635,1789,2595,1809,2575,1809,2595,1829,2595,1829,2615,1849,2635,1849,2595,1869,2615,1869,2595,1889,2595,1889,2575,1909,2575,1909,2595,1929,2615,1929,2575,1949,2575,1969,2535,1969,2575,1989,2575,2009,2595,2009,2635,2029,2595,2049,2595,2049,2615,2069,2655,2089,2675,2089,2695,2109,2675,2109,2635,2129,2695,2149,2635,2149,2675,2149,2635,2169,2695,2169,2715,2189,2735,2189,2695,2209,2735,2209,2715,2229,2655,2229,2735,2249,2695,2269,2695,2269,2735,2289,2715,2289,2775,2309,2775,2309,2715,2329,2735,2329,2755,2349,2715,2389,2715,2389,2815,2409,2755,2409,2815,2429,2795,2429,2775,2449,2775,2449,2735,2469,2735,2469,2635,2489,2635,2509,2675,2509,2595,2529,2495,2529,2635,2549,2655,2549,2635,2569,2635,2569,2655,2589,2675,2589,2655,2609,2735,2609,2655,2609,2715,2629,2675,2649,2715,2649,2735,2649,2675,2669,2695,2669,2655,2709,2695,2729,2675,2749,2615,2769,2775,2769,2755,2789,2755,2789,2775,2829,2775,2849,2755,2869,2755,2869,2695,2889,2755,2909,2775,2929,2735,2949,2715,2949,2735,2969,2695,2969,2655,2989,2655,2989,2695,3029,2695,3029,2715,3049,2655,3069,2635,3069,2575,3089,2595,3089,2615,3109,2595,3109,2615,3129,2595,3149,2495,3149,2475,3169,2455,3169,2415,3189,2415,3189,2475,3209,2475,3209,2515,3229,2515,3229,2535,3249,2495,3249,2475,3269,2495,3289,2475,3289,2575,3309,2555,3309,2535,3329,2595,3329,2575,3349,2575,3349,2595,3369,2615,3369,2635,3389,2675,3389,2655,3409,2635,3409,2655,3429,2635,3429,2655,3449,2635,3449,2615,3469,2675,3469,2695,3489,2675,3489,2655,3509,2735,3509,2655,3549,2695,3549,2715,3569,2715,3569,2795,3589,2735,3589,2715,3629,2755,3629,2795,3649,2775,3649,2795,3689,2755,3709,2795,3709,2855,3729,2835,3769,2835,3769,2775,3769,2795,3789,2775,3789,2815,3809,2815,3829,2875,3829,2895,3849,2935,3849,2915,3869,2875,3869,2895,3889,2895,3889,2875,3909,2835,3909,2815,3909,2835,3929,2835,3929,2815,3949,2815,3949,2835,3949,2815,3969,2815e" filled="false" stroked="true" strokeweight="1pt" strokecolor="#95459a">
              <v:path arrowok="t"/>
              <v:stroke dashstyle="solid"/>
            </v:shape>
            <v:shape style="position:absolute;left:969;top:2635;width:3000;height:460" coordorigin="969,2635" coordsize="3000,460" path="m969,3015l969,3015,989,3035,1009,2975,1009,3015,1029,3055,1029,3015,1029,3035,1049,3035,1069,3055,1069,3075,1069,3055,1089,3055,1089,3075,1109,3095,1109,3075,1129,3095,1129,3075,1149,3055,1169,3075,1169,3035,1189,3075,1209,3075,1209,3015,1229,3035,1249,3035,1269,3015,1269,3055,1289,2975,1289,2995,1309,2975,1329,2975,1349,3015,1349,2975,1369,3015,1389,2975,1389,3035,1409,3015,1429,2955,1429,2995,1449,2995,1449,3015,1469,2955,1469,2895,1489,2875,1489,2855,1509,2895,1509,2855,1529,2875,1529,2895,1549,2895,1549,2815,1589,2815,1609,2795,1609,2775,1649,2775,1649,2735,1669,2715,1669,2735,1689,2735,1689,2775,1709,2755,1709,2775,1729,2795,1749,2795,1749,2775,1769,2775,1769,2755,1789,2755,1789,2735,1809,2755,1809,2775,1829,2775,1849,2755,1849,2735,1849,2775m1849,2775l1869,2775,1889,2735,1909,2735,1929,2755,1929,2735,1949,2715,1949,2775,1969,2795,1969,2735,1989,2715,2009,2735,2009,2755,2049,2755,2049,2775,2069,2775,2069,2755,2089,2775,2089,2795,2109,2795,2109,2775,2189,2775,2209,2795,2269,2795,2289,2815,2289,2835,2329,2835,2329,2855,2329,2835,2349,2815,2349,2855,2369,2855,2369,2835,2389,2855,2389,2895,2409,2895,2409,2915,2429,2895,2429,2915,2449,2875,2469,2855,2469,2795,2489,2775,2509,2795,2509,2715,2529,2655,2529,2775,2549,2795,2569,2775,2589,2795,2589,2755,2609,2855,2609,2815,2609,2835,2629,2815,2649,2815,2649,2835,2649,2795,2689,2795,2689,2815,2709,2795,2729,2795,2729,2755,2749,2695,2769,2795,2769,2815,2789,2775,2789,2835,2809,2815,2849,2815,2849,2795,2869,2815,2909,2815,2929,2795,2949,2795,2969,2775,2969,2755,2989,2755,2989,2775,3029,2775,3029,2795,3069,2715,3109,2715,3109,2735,3109,2715,3129,2735,3129,2715,3149,2675,3149,2695,3169,2655,3189,2635,3189,2675,3209,2675,3229,2695,3249,2695,3249,2675,3249,2695,3269,2695,3289,2715,3289,2755,3309,2755,3309,2735,3329,2755,3329,2735,3369,2775,3369,2755,3389,2795,3409,2795,3409,2775,3469,2775,3469,2815,3489,2795,3489,2775,3509,2795,3509,2775,3529,2775,3549,2795,3569,2795,3569,2835,3589,2815,3589,2795,3609,2815,3629,2815,3629,2855,3649,2835,3669,2835,3689,2815,3709,2815,3709,2995,3729,2955,3729,2915,3749,2915,3749,2935,3769,2935,3769,2975,3769,2895,3789,2895,3789,2915,3809,2915,3809,2935,3829,2915,3829,2975,3849,2995,3849,2975,3869,2935,3869,2955,3889,2955,3909,2915,3909,2855,3929,2895,3929,2855,3949,2855,3949,2875,3969,2835e" filled="false" stroked="true" strokeweight="1pt" strokecolor="#0066a5">
              <v:path arrowok="t"/>
              <v:stroke dashstyle="solid"/>
            </v:shape>
            <w10:wrap type="none"/>
          </v:group>
        </w:pict>
      </w:r>
      <w:r>
        <w:rPr/>
        <w:pict>
          <v:line style="position:absolute;mso-position-horizontal-relative:page;mso-position-vertical-relative:paragraph;z-index:15838208" from="45.459999pt,11.752552pt" to="41.459999pt,11.752552pt" stroked="true" strokeweight=".5pt" strokecolor="#000000">
            <v:stroke dashstyle="solid"/>
            <w10:wrap type="none"/>
          </v:line>
        </w:pict>
      </w:r>
      <w:r>
        <w:rPr/>
        <w:pict>
          <v:line style="position:absolute;mso-position-horizontal-relative:page;mso-position-vertical-relative:paragraph;z-index:15841792" from="205.460007pt,11.752552pt" to="200.460007pt,11.752552pt" stroked="true" strokeweight=".5pt" strokecolor="#000000">
            <v:stroke dashstyle="solid"/>
            <w10:wrap type="none"/>
          </v:line>
        </w:pict>
      </w:r>
      <w:r>
        <w:rPr>
          <w:sz w:val="12"/>
        </w:rPr>
        <w:t>Per cent</w:t>
      </w:r>
      <w:r>
        <w:rPr>
          <w:spacing w:val="14"/>
          <w:sz w:val="12"/>
        </w:rPr>
        <w:t> </w:t>
      </w:r>
      <w:r>
        <w:rPr>
          <w:position w:val="-7"/>
          <w:sz w:val="12"/>
        </w:rPr>
        <w:t>24</w:t>
      </w:r>
    </w:p>
    <w:p>
      <w:pPr>
        <w:spacing w:before="102"/>
        <w:ind w:left="3519" w:right="0" w:firstLine="0"/>
        <w:jc w:val="left"/>
        <w:rPr>
          <w:sz w:val="12"/>
        </w:rPr>
      </w:pPr>
      <w:r>
        <w:rPr/>
        <w:pict>
          <v:line style="position:absolute;mso-position-horizontal-relative:page;mso-position-vertical-relative:paragraph;z-index:15837696" from="45.459999pt,10.191566pt" to="41.459999pt,10.191566pt" stroked="true" strokeweight=".5pt" strokecolor="#000000">
            <v:stroke dashstyle="solid"/>
            <w10:wrap type="none"/>
          </v:line>
        </w:pict>
      </w:r>
      <w:r>
        <w:rPr/>
        <w:pict>
          <v:line style="position:absolute;mso-position-horizontal-relative:page;mso-position-vertical-relative:paragraph;z-index:15841280" from="205.460007pt,10.191566pt" to="200.460007pt,10.191566pt" stroked="true" strokeweight=".5pt" strokecolor="#000000">
            <v:stroke dashstyle="solid"/>
            <w10:wrap type="none"/>
          </v:line>
        </w:pict>
      </w:r>
      <w:r>
        <w:rPr>
          <w:sz w:val="12"/>
        </w:rPr>
        <w:t>22</w:t>
      </w:r>
    </w:p>
    <w:p>
      <w:pPr>
        <w:spacing w:before="82"/>
        <w:ind w:left="3519" w:right="0" w:firstLine="0"/>
        <w:jc w:val="left"/>
        <w:rPr>
          <w:sz w:val="12"/>
        </w:rPr>
      </w:pPr>
      <w:r>
        <w:rPr/>
        <w:pict>
          <v:line style="position:absolute;mso-position-horizontal-relative:page;mso-position-vertical-relative:paragraph;z-index:15837184" from="45.459999pt,9.19355pt" to="41.459999pt,9.19355pt" stroked="true" strokeweight=".5pt" strokecolor="#000000">
            <v:stroke dashstyle="solid"/>
            <w10:wrap type="none"/>
          </v:line>
        </w:pict>
      </w:r>
      <w:r>
        <w:rPr>
          <w:sz w:val="12"/>
        </w:rPr>
        <w:t>20</w:t>
      </w:r>
    </w:p>
    <w:p>
      <w:pPr>
        <w:spacing w:line="119" w:lineRule="exact" w:before="2"/>
        <w:ind w:left="1319" w:right="0" w:firstLine="0"/>
        <w:jc w:val="left"/>
        <w:rPr>
          <w:sz w:val="12"/>
        </w:rPr>
      </w:pPr>
      <w:r>
        <w:rPr>
          <w:sz w:val="12"/>
        </w:rPr>
        <w:t>Actual exchange</w:t>
      </w:r>
    </w:p>
    <w:p>
      <w:pPr>
        <w:tabs>
          <w:tab w:pos="3639" w:val="right" w:leader="none"/>
        </w:tabs>
        <w:spacing w:line="139" w:lineRule="exact" w:before="0"/>
        <w:ind w:left="1379" w:right="0" w:firstLine="0"/>
        <w:jc w:val="left"/>
        <w:rPr>
          <w:sz w:val="12"/>
        </w:rPr>
      </w:pPr>
      <w:r>
        <w:rPr/>
        <w:pict>
          <v:line style="position:absolute;mso-position-horizontal-relative:page;mso-position-vertical-relative:paragraph;z-index:15836672" from="45.459999pt,4.141859pt" to="41.459999pt,4.141859pt" stroked="true" strokeweight=".5pt" strokecolor="#000000">
            <v:stroke dashstyle="solid"/>
            <w10:wrap type="none"/>
          </v:line>
        </w:pict>
      </w:r>
      <w:r>
        <w:rPr>
          <w:sz w:val="12"/>
        </w:rPr>
        <w:t>rate movements (a)</w:t>
        <w:tab/>
      </w:r>
      <w:r>
        <w:rPr>
          <w:position w:val="2"/>
          <w:sz w:val="12"/>
        </w:rPr>
        <w:t>18</w:t>
      </w:r>
    </w:p>
    <w:p>
      <w:pPr>
        <w:spacing w:before="62"/>
        <w:ind w:left="3519" w:right="0" w:firstLine="0"/>
        <w:jc w:val="left"/>
        <w:rPr>
          <w:sz w:val="12"/>
        </w:rPr>
      </w:pPr>
      <w:r>
        <w:rPr/>
        <w:pict>
          <v:line style="position:absolute;mso-position-horizontal-relative:page;mso-position-vertical-relative:paragraph;z-index:15836160" from="45.459999pt,8.195564pt" to="41.459999pt,8.195564pt" stroked="true" strokeweight=".5pt" strokecolor="#000000">
            <v:stroke dashstyle="solid"/>
            <w10:wrap type="none"/>
          </v:line>
        </w:pict>
      </w:r>
      <w:r>
        <w:rPr>
          <w:sz w:val="12"/>
        </w:rPr>
        <w:t>16</w:t>
      </w:r>
    </w:p>
    <w:p>
      <w:pPr>
        <w:spacing w:before="102"/>
        <w:ind w:left="3519" w:right="0" w:firstLine="0"/>
        <w:jc w:val="left"/>
        <w:rPr>
          <w:sz w:val="12"/>
        </w:rPr>
      </w:pPr>
      <w:r>
        <w:rPr/>
        <w:pict>
          <v:line style="position:absolute;mso-position-horizontal-relative:page;mso-position-vertical-relative:paragraph;z-index:15835648" from="45.459999pt,10.195564pt" to="41.459999pt,10.195564pt" stroked="true" strokeweight=".5pt" strokecolor="#000000">
            <v:stroke dashstyle="solid"/>
            <w10:wrap type="none"/>
          </v:line>
        </w:pict>
      </w:r>
      <w:r>
        <w:rPr/>
        <w:pict>
          <v:line style="position:absolute;mso-position-horizontal-relative:page;mso-position-vertical-relative:paragraph;z-index:15840768" from="205.460007pt,10.195564pt" to="200.460007pt,10.195564pt" stroked="true" strokeweight=".5pt" strokecolor="#000000">
            <v:stroke dashstyle="solid"/>
            <w10:wrap type="none"/>
          </v:line>
        </w:pict>
      </w:r>
      <w:r>
        <w:rPr>
          <w:sz w:val="12"/>
        </w:rPr>
        <w:t>14</w:t>
      </w:r>
    </w:p>
    <w:p>
      <w:pPr>
        <w:spacing w:before="102"/>
        <w:ind w:left="3519" w:right="0" w:firstLine="0"/>
        <w:jc w:val="left"/>
        <w:rPr>
          <w:sz w:val="12"/>
        </w:rPr>
      </w:pPr>
      <w:r>
        <w:rPr/>
        <w:pict>
          <v:line style="position:absolute;mso-position-horizontal-relative:page;mso-position-vertical-relative:paragraph;z-index:15835136" from="45.459999pt,9.195564pt" to="41.459999pt,9.195564pt" stroked="true" strokeweight=".5pt" strokecolor="#000000">
            <v:stroke dashstyle="solid"/>
            <w10:wrap type="none"/>
          </v:line>
        </w:pict>
      </w:r>
      <w:r>
        <w:rPr/>
        <w:pict>
          <v:line style="position:absolute;mso-position-horizontal-relative:page;mso-position-vertical-relative:paragraph;z-index:15840256" from="205.460007pt,9.195564pt" to="200.460007pt,9.195564pt" stroked="true" strokeweight=".5pt" strokecolor="#000000">
            <v:stroke dashstyle="solid"/>
            <w10:wrap type="none"/>
          </v:line>
        </w:pict>
      </w:r>
      <w:r>
        <w:rPr>
          <w:sz w:val="12"/>
        </w:rPr>
        <w:t>12</w:t>
      </w:r>
    </w:p>
    <w:p>
      <w:pPr>
        <w:spacing w:before="82"/>
        <w:ind w:left="3519" w:right="0" w:firstLine="0"/>
        <w:jc w:val="left"/>
        <w:rPr>
          <w:sz w:val="12"/>
        </w:rPr>
      </w:pPr>
      <w:r>
        <w:rPr/>
        <w:pict>
          <v:line style="position:absolute;mso-position-horizontal-relative:page;mso-position-vertical-relative:paragraph;z-index:15834624" from="45.459999pt,9.197563pt" to="41.459999pt,9.197563pt" stroked="true" strokeweight=".5pt" strokecolor="#000000">
            <v:stroke dashstyle="solid"/>
            <w10:wrap type="none"/>
          </v:line>
        </w:pict>
      </w:r>
      <w:r>
        <w:rPr/>
        <w:pict>
          <v:line style="position:absolute;mso-position-horizontal-relative:page;mso-position-vertical-relative:paragraph;z-index:15839744" from="205.460007pt,9.197563pt" to="200.460007pt,9.197563pt" stroked="true" strokeweight=".5pt" strokecolor="#000000">
            <v:stroke dashstyle="solid"/>
            <w10:wrap type="none"/>
          </v:line>
        </w:pict>
      </w:r>
      <w:r>
        <w:rPr>
          <w:sz w:val="12"/>
        </w:rPr>
        <w:t>10</w:t>
      </w:r>
    </w:p>
    <w:p>
      <w:pPr>
        <w:spacing w:line="136" w:lineRule="exact" w:before="102"/>
        <w:ind w:left="3579" w:right="0" w:firstLine="0"/>
        <w:jc w:val="left"/>
        <w:rPr>
          <w:sz w:val="12"/>
        </w:rPr>
      </w:pPr>
      <w:r>
        <w:rPr/>
        <w:pict>
          <v:line style="position:absolute;mso-position-horizontal-relative:page;mso-position-vertical-relative:paragraph;z-index:15834112" from="45.459999pt,9.197563pt" to="41.459999pt,9.197563pt" stroked="true" strokeweight=".5pt" strokecolor="#000000">
            <v:stroke dashstyle="solid"/>
            <w10:wrap type="none"/>
          </v:line>
        </w:pict>
      </w:r>
      <w:r>
        <w:rPr/>
        <w:pict>
          <v:line style="position:absolute;mso-position-horizontal-relative:page;mso-position-vertical-relative:paragraph;z-index:15839232" from="205.460007pt,9.197563pt" to="200.460007pt,9.197563pt" stroked="true" strokeweight=".5pt" strokecolor="#000000">
            <v:stroke dashstyle="solid"/>
            <w10:wrap type="none"/>
          </v:line>
        </w:pict>
      </w:r>
      <w:r>
        <w:rPr>
          <w:sz w:val="12"/>
        </w:rPr>
        <w:t>8</w:t>
      </w:r>
    </w:p>
    <w:p>
      <w:pPr>
        <w:spacing w:line="112" w:lineRule="exact" w:before="0"/>
        <w:ind w:left="1445" w:right="0" w:firstLine="0"/>
        <w:jc w:val="left"/>
        <w:rPr>
          <w:sz w:val="12"/>
        </w:rPr>
      </w:pPr>
      <w:r>
        <w:rPr>
          <w:sz w:val="12"/>
        </w:rPr>
        <w:t>Movements predicted</w:t>
      </w:r>
    </w:p>
    <w:p>
      <w:pPr>
        <w:tabs>
          <w:tab w:pos="3579" w:val="left" w:leader="none"/>
        </w:tabs>
        <w:spacing w:line="144" w:lineRule="exact" w:before="0"/>
        <w:ind w:left="1505" w:right="0" w:firstLine="0"/>
        <w:jc w:val="left"/>
        <w:rPr>
          <w:sz w:val="12"/>
        </w:rPr>
      </w:pPr>
      <w:r>
        <w:rPr/>
        <w:pict>
          <v:line style="position:absolute;mso-position-horizontal-relative:page;mso-position-vertical-relative:paragraph;z-index:-20899328" from="205.460007pt,3.734861pt" to="200.460007pt,3.734861pt" stroked="true" strokeweight=".5pt" strokecolor="#000000">
            <v:stroke dashstyle="solid"/>
            <w10:wrap type="none"/>
          </v:line>
        </w:pict>
      </w:r>
      <w:r>
        <w:rPr>
          <w:sz w:val="12"/>
        </w:rPr>
        <w:t>by monetary factors (b)</w:t>
        <w:tab/>
      </w:r>
      <w:r>
        <w:rPr>
          <w:position w:val="3"/>
          <w:sz w:val="12"/>
        </w:rPr>
        <w:t>6</w:t>
      </w:r>
    </w:p>
    <w:p>
      <w:pPr>
        <w:spacing w:before="69"/>
        <w:ind w:left="3579" w:right="0" w:firstLine="0"/>
        <w:jc w:val="left"/>
        <w:rPr>
          <w:sz w:val="12"/>
        </w:rPr>
      </w:pPr>
      <w:r>
        <w:rPr>
          <w:sz w:val="12"/>
        </w:rPr>
        <w:t>4</w:t>
      </w:r>
    </w:p>
    <w:p>
      <w:pPr>
        <w:spacing w:line="114" w:lineRule="exact" w:before="102"/>
        <w:ind w:left="3579" w:right="0" w:firstLine="0"/>
        <w:jc w:val="left"/>
        <w:rPr>
          <w:sz w:val="12"/>
        </w:rPr>
      </w:pPr>
      <w:r>
        <w:rPr>
          <w:sz w:val="12"/>
        </w:rPr>
        <w:t>2</w:t>
      </w:r>
    </w:p>
    <w:p>
      <w:pPr>
        <w:tabs>
          <w:tab w:pos="3469" w:val="left" w:leader="none"/>
        </w:tabs>
        <w:spacing w:line="133" w:lineRule="exact" w:before="0"/>
        <w:ind w:left="329" w:right="0" w:firstLine="0"/>
        <w:jc w:val="left"/>
        <w:rPr>
          <w:sz w:val="16"/>
        </w:rPr>
      </w:pPr>
      <w:r>
        <w:rPr>
          <w:sz w:val="16"/>
          <w:u w:val="single"/>
        </w:rPr>
        <w:t> </w:t>
        <w:tab/>
      </w:r>
      <w:r>
        <w:rPr>
          <w:sz w:val="16"/>
        </w:rPr>
        <w:t>+</w:t>
      </w:r>
    </w:p>
    <w:p>
      <w:pPr>
        <w:spacing w:line="136" w:lineRule="auto" w:before="0"/>
        <w:ind w:left="3485" w:right="0" w:firstLine="0"/>
        <w:jc w:val="left"/>
        <w:rPr>
          <w:sz w:val="12"/>
        </w:rPr>
      </w:pPr>
      <w:r>
        <w:rPr>
          <w:position w:val="-8"/>
          <w:sz w:val="16"/>
        </w:rPr>
        <w:t>_</w:t>
      </w:r>
      <w:r>
        <w:rPr>
          <w:sz w:val="12"/>
        </w:rPr>
        <w:t>0</w:t>
      </w:r>
    </w:p>
    <w:p>
      <w:pPr>
        <w:spacing w:line="129" w:lineRule="exact" w:before="56"/>
        <w:ind w:left="3579" w:right="0" w:firstLine="0"/>
        <w:jc w:val="left"/>
        <w:rPr>
          <w:sz w:val="12"/>
        </w:rPr>
      </w:pPr>
      <w:r>
        <w:rPr>
          <w:sz w:val="12"/>
        </w:rPr>
        <w:t>2</w:t>
      </w:r>
    </w:p>
    <w:p>
      <w:pPr>
        <w:tabs>
          <w:tab w:pos="2339" w:val="left" w:leader="none"/>
        </w:tabs>
        <w:spacing w:line="129" w:lineRule="exact" w:before="0"/>
        <w:ind w:left="679" w:right="0" w:firstLine="0"/>
        <w:jc w:val="left"/>
        <w:rPr>
          <w:sz w:val="12"/>
        </w:rPr>
      </w:pPr>
      <w:r>
        <w:rPr>
          <w:sz w:val="12"/>
        </w:rPr>
        <w:t>1996</w:t>
        <w:tab/>
        <w:t>1997</w:t>
      </w:r>
    </w:p>
    <w:p>
      <w:pPr>
        <w:spacing w:line="417" w:lineRule="auto" w:before="26"/>
        <w:ind w:left="159" w:right="1053" w:firstLine="0"/>
        <w:jc w:val="left"/>
        <w:rPr>
          <w:sz w:val="12"/>
        </w:rPr>
      </w:pPr>
      <w:r>
        <w:rPr>
          <w:color w:val="231F20"/>
          <w:sz w:val="12"/>
        </w:rPr>
        <w:t>Note: Daily data. Final observation is 5 November. Source: Bank of England.</w:t>
      </w:r>
    </w:p>
    <w:p>
      <w:pPr>
        <w:pStyle w:val="ListParagraph"/>
        <w:numPr>
          <w:ilvl w:val="0"/>
          <w:numId w:val="10"/>
        </w:numPr>
        <w:tabs>
          <w:tab w:pos="400" w:val="left" w:leader="none"/>
        </w:tabs>
        <w:spacing w:line="129" w:lineRule="exact" w:before="0" w:after="0"/>
        <w:ind w:left="399" w:right="0" w:hanging="241"/>
        <w:jc w:val="left"/>
        <w:rPr>
          <w:sz w:val="12"/>
        </w:rPr>
      </w:pPr>
      <w:r>
        <w:rPr>
          <w:color w:val="231F20"/>
          <w:sz w:val="12"/>
        </w:rPr>
        <w:t>The effective exchange rate index for sterling against the G7 economies.</w:t>
      </w:r>
    </w:p>
    <w:p>
      <w:pPr>
        <w:pStyle w:val="ListParagraph"/>
        <w:numPr>
          <w:ilvl w:val="0"/>
          <w:numId w:val="10"/>
        </w:numPr>
        <w:tabs>
          <w:tab w:pos="400" w:val="left" w:leader="none"/>
        </w:tabs>
        <w:spacing w:line="208" w:lineRule="auto" w:before="6" w:after="0"/>
        <w:ind w:left="399" w:right="38" w:hanging="240"/>
        <w:jc w:val="left"/>
        <w:rPr>
          <w:sz w:val="12"/>
        </w:rPr>
      </w:pPr>
      <w:r>
        <w:rPr>
          <w:color w:val="231F20"/>
          <w:sz w:val="12"/>
        </w:rPr>
        <w:t>The band shows the estimated range as the time from which it is assumed monetary policy no longer influences real interest rates varies from four </w:t>
      </w:r>
      <w:r>
        <w:rPr>
          <w:color w:val="231F20"/>
          <w:spacing w:val="-9"/>
          <w:sz w:val="12"/>
        </w:rPr>
        <w:t>to </w:t>
      </w:r>
      <w:r>
        <w:rPr>
          <w:color w:val="231F20"/>
          <w:sz w:val="12"/>
        </w:rPr>
        <w:t>eight years.</w:t>
      </w:r>
    </w:p>
    <w:p>
      <w:pPr>
        <w:pStyle w:val="Heading5"/>
        <w:spacing w:line="242" w:lineRule="auto" w:before="4"/>
        <w:ind w:left="156" w:right="217"/>
      </w:pPr>
      <w:r>
        <w:rPr/>
        <w:br w:type="column"/>
      </w:r>
      <w:r>
        <w:rPr>
          <w:color w:val="231F20"/>
        </w:rPr>
        <w:t>prices.</w:t>
      </w:r>
      <w:r>
        <w:rPr>
          <w:color w:val="231F20"/>
          <w:position w:val="5"/>
          <w:sz w:val="16"/>
        </w:rPr>
        <w:t>(2) </w:t>
      </w:r>
      <w:r>
        <w:rPr>
          <w:color w:val="231F20"/>
        </w:rPr>
        <w:t>The probability the market attaches to two currencies joining EMU in 1999 is assumed to be reflected in the implied correlation between their exchange rates against the US dollar. The higher the probability, the closer the implied correlation will be to one. Chart 2.18 shows that the implied correlation between the Italian lira and the Deutsche Mark has risen steadily since the beginning of 1996, suggesting that the market has attached an increasing probability to Italy joining EMU. By comparison, the implied correlation between sterling and the Deutsche Mark has been lower since the beginning of this year and generally more volatile, particularly following recent press reports on the likelihood of the United Kingdom joining EMU.</w:t>
      </w:r>
    </w:p>
    <w:p>
      <w:pPr>
        <w:pStyle w:val="BodyText"/>
        <w:spacing w:before="10"/>
        <w:rPr>
          <w:sz w:val="25"/>
        </w:rPr>
      </w:pPr>
    </w:p>
    <w:p>
      <w:pPr>
        <w:spacing w:line="242" w:lineRule="auto" w:before="0"/>
        <w:ind w:left="156" w:right="191" w:firstLine="0"/>
        <w:jc w:val="left"/>
        <w:rPr>
          <w:sz w:val="24"/>
        </w:rPr>
      </w:pPr>
      <w:r>
        <w:rPr>
          <w:color w:val="231F20"/>
          <w:sz w:val="24"/>
        </w:rPr>
        <w:t>Part of sterling’s appreciation since August 1996 may have been purely erratic, and may have been responsible for some of the fluctuations in the exchange rate since the previous </w:t>
      </w:r>
      <w:r>
        <w:rPr>
          <w:i/>
          <w:color w:val="231F20"/>
          <w:sz w:val="24"/>
        </w:rPr>
        <w:t>Report</w:t>
      </w:r>
      <w:r>
        <w:rPr>
          <w:color w:val="231F20"/>
          <w:sz w:val="24"/>
        </w:rPr>
        <w:t>. The MPC’s assumption about erratic factor</w:t>
      </w:r>
      <w:hyperlink w:history="true" w:anchor="_bookmark41">
        <w:r>
          <w:rPr>
            <w:color w:val="231F20"/>
            <w:sz w:val="24"/>
          </w:rPr>
          <w:t>s is discussed in Section 7.</w:t>
        </w:r>
      </w:hyperlink>
    </w:p>
    <w:p>
      <w:pPr>
        <w:pStyle w:val="BodyText"/>
        <w:spacing w:before="3"/>
        <w:rPr>
          <w:sz w:val="30"/>
        </w:rPr>
      </w:pPr>
    </w:p>
    <w:p>
      <w:pPr>
        <w:pStyle w:val="ListParagraph"/>
        <w:numPr>
          <w:ilvl w:val="1"/>
          <w:numId w:val="8"/>
        </w:numPr>
        <w:tabs>
          <w:tab w:pos="4255" w:val="left" w:leader="none"/>
          <w:tab w:pos="4256" w:val="left" w:leader="none"/>
          <w:tab w:pos="5657" w:val="left" w:leader="none"/>
        </w:tabs>
        <w:spacing w:line="240" w:lineRule="auto" w:before="0" w:after="0"/>
        <w:ind w:left="4255" w:right="0" w:hanging="4099"/>
        <w:jc w:val="left"/>
        <w:rPr>
          <w:b/>
          <w:color w:val="009483"/>
          <w:sz w:val="28"/>
        </w:rPr>
      </w:pPr>
      <w:r>
        <w:rPr>
          <w:b/>
          <w:color w:val="009483"/>
          <w:sz w:val="28"/>
          <w:u w:val="thick" w:color="0093C1"/>
        </w:rPr>
        <w:t>Summary</w:t>
        <w:tab/>
      </w:r>
    </w:p>
    <w:p>
      <w:pPr>
        <w:pStyle w:val="BodyText"/>
        <w:spacing w:before="11"/>
        <w:rPr>
          <w:b/>
          <w:sz w:val="23"/>
        </w:rPr>
      </w:pPr>
    </w:p>
    <w:p>
      <w:pPr>
        <w:spacing w:line="242" w:lineRule="auto" w:before="0"/>
        <w:ind w:left="157" w:right="123" w:hanging="1"/>
        <w:jc w:val="left"/>
        <w:rPr>
          <w:sz w:val="24"/>
        </w:rPr>
      </w:pPr>
      <w:r>
        <w:rPr>
          <w:color w:val="231F20"/>
          <w:sz w:val="24"/>
        </w:rPr>
        <w:t>There has been little change in the growth rates of broad money and Divisia money since the August </w:t>
      </w:r>
      <w:r>
        <w:rPr>
          <w:i/>
          <w:color w:val="231F20"/>
          <w:sz w:val="24"/>
        </w:rPr>
        <w:t>Report</w:t>
      </w:r>
      <w:r>
        <w:rPr>
          <w:color w:val="231F20"/>
          <w:sz w:val="24"/>
        </w:rPr>
        <w:t>.</w:t>
      </w:r>
    </w:p>
    <w:p>
      <w:pPr>
        <w:spacing w:line="242" w:lineRule="auto" w:before="3"/>
        <w:ind w:left="156" w:right="109" w:firstLine="0"/>
        <w:jc w:val="left"/>
        <w:rPr>
          <w:sz w:val="24"/>
        </w:rPr>
      </w:pPr>
      <w:r>
        <w:rPr>
          <w:color w:val="231F20"/>
          <w:sz w:val="24"/>
        </w:rPr>
        <w:t>They remain a threat to meeting the inflation target in the medium term, though the tightening of fiscal and monetary policies since May should go some way towards achieving that objective. Narrow money growth has slowed, compared with the second half of last year.</w:t>
      </w:r>
    </w:p>
    <w:p>
      <w:pPr>
        <w:spacing w:before="6"/>
        <w:ind w:left="157" w:right="0" w:firstLine="0"/>
        <w:jc w:val="left"/>
        <w:rPr>
          <w:sz w:val="24"/>
        </w:rPr>
      </w:pPr>
      <w:r>
        <w:rPr>
          <w:color w:val="231F20"/>
          <w:sz w:val="24"/>
        </w:rPr>
        <w:t>And M4 lending growth has also slowed in recent</w:t>
      </w:r>
    </w:p>
    <w:p>
      <w:pPr>
        <w:pStyle w:val="BodyText"/>
        <w:spacing w:before="9"/>
        <w:rPr>
          <w:sz w:val="11"/>
        </w:rPr>
      </w:pPr>
      <w:r>
        <w:rPr/>
        <w:pict>
          <v:shape style="position:absolute;margin-left:278.5pt;margin-top:8.852795pt;width:277pt;height:.1pt;mso-position-horizontal-relative:page;mso-position-vertical-relative:paragraph;z-index:-15627776;mso-wrap-distance-left:0;mso-wrap-distance-right:0" coordorigin="5570,177" coordsize="5540,0" path="m5570,177l11110,177e" filled="false" stroked="true" strokeweight=".125pt" strokecolor="#231f20">
            <v:path arrowok="t"/>
            <v:stroke dashstyle="solid"/>
            <w10:wrap type="topAndBottom"/>
          </v:shape>
        </w:pict>
      </w:r>
    </w:p>
    <w:p>
      <w:pPr>
        <w:pStyle w:val="ListParagraph"/>
        <w:numPr>
          <w:ilvl w:val="0"/>
          <w:numId w:val="11"/>
        </w:numPr>
        <w:tabs>
          <w:tab w:pos="398" w:val="left" w:leader="none"/>
        </w:tabs>
        <w:spacing w:line="208" w:lineRule="auto" w:before="0" w:after="0"/>
        <w:ind w:left="397" w:right="702" w:hanging="240"/>
        <w:jc w:val="left"/>
        <w:rPr>
          <w:sz w:val="16"/>
        </w:rPr>
      </w:pPr>
      <w:r>
        <w:rPr>
          <w:color w:val="231F20"/>
          <w:sz w:val="16"/>
        </w:rPr>
        <w:t>Brigden, A, Martin, B and Salmon C K (1997), ‘Decomposing exchange rate movements according to the uncovered interest rate parity condition’ </w:t>
      </w:r>
      <w:r>
        <w:rPr>
          <w:i/>
          <w:color w:val="231F20"/>
          <w:sz w:val="16"/>
        </w:rPr>
        <w:t>Quarterly Bulletin</w:t>
      </w:r>
      <w:r>
        <w:rPr>
          <w:color w:val="231F20"/>
          <w:sz w:val="16"/>
        </w:rPr>
        <w:t>, November, pages</w:t>
      </w:r>
      <w:r>
        <w:rPr>
          <w:color w:val="231F20"/>
          <w:spacing w:val="-1"/>
          <w:sz w:val="16"/>
        </w:rPr>
        <w:t> </w:t>
      </w:r>
      <w:r>
        <w:rPr>
          <w:color w:val="231F20"/>
          <w:sz w:val="16"/>
        </w:rPr>
        <w:t>377–89.</w:t>
      </w:r>
    </w:p>
    <w:p>
      <w:pPr>
        <w:pStyle w:val="ListParagraph"/>
        <w:numPr>
          <w:ilvl w:val="0"/>
          <w:numId w:val="11"/>
        </w:numPr>
        <w:tabs>
          <w:tab w:pos="398" w:val="left" w:leader="none"/>
        </w:tabs>
        <w:spacing w:line="208" w:lineRule="auto" w:before="0" w:after="0"/>
        <w:ind w:left="397" w:right="747" w:hanging="240"/>
        <w:jc w:val="left"/>
        <w:rPr>
          <w:sz w:val="16"/>
        </w:rPr>
      </w:pPr>
      <w:r>
        <w:rPr>
          <w:color w:val="231F20"/>
          <w:sz w:val="16"/>
        </w:rPr>
        <w:t>Butler, C and Cooper, N (1997), ‘Implied exchange rate correlations </w:t>
      </w:r>
      <w:r>
        <w:rPr>
          <w:color w:val="231F20"/>
          <w:spacing w:val="-6"/>
          <w:sz w:val="16"/>
        </w:rPr>
        <w:t>and </w:t>
      </w:r>
      <w:r>
        <w:rPr>
          <w:color w:val="231F20"/>
          <w:sz w:val="16"/>
        </w:rPr>
        <w:t>market perceptions of European Monetary Union’, </w:t>
      </w:r>
      <w:r>
        <w:rPr>
          <w:i/>
          <w:color w:val="231F20"/>
          <w:sz w:val="16"/>
        </w:rPr>
        <w:t>Quarterly Bulletin</w:t>
      </w:r>
      <w:r>
        <w:rPr>
          <w:color w:val="231F20"/>
          <w:sz w:val="16"/>
        </w:rPr>
        <w:t>, November, pages 413–23.</w:t>
      </w:r>
    </w:p>
    <w:p>
      <w:pPr>
        <w:spacing w:after="0" w:line="208" w:lineRule="auto"/>
        <w:jc w:val="left"/>
        <w:rPr>
          <w:sz w:val="16"/>
        </w:rPr>
        <w:sectPr>
          <w:type w:val="continuous"/>
          <w:pgSz w:w="11880" w:h="16840"/>
          <w:pgMar w:top="1040" w:bottom="280" w:left="640" w:right="640"/>
          <w:cols w:num="2" w:equalWidth="0">
            <w:col w:w="4015" w:space="787"/>
            <w:col w:w="5798"/>
          </w:cols>
        </w:sectPr>
      </w:pPr>
    </w:p>
    <w:p>
      <w:pPr>
        <w:pStyle w:val="BodyText"/>
        <w:rPr>
          <w:sz w:val="20"/>
        </w:rPr>
      </w:pPr>
    </w:p>
    <w:p>
      <w:pPr>
        <w:spacing w:after="0"/>
        <w:rPr>
          <w:sz w:val="20"/>
        </w:rPr>
        <w:sectPr>
          <w:headerReference w:type="default" r:id="rId40"/>
          <w:footerReference w:type="default" r:id="rId41"/>
          <w:footerReference w:type="even" r:id="rId42"/>
          <w:pgSz w:w="11880" w:h="16840"/>
          <w:pgMar w:header="566" w:footer="597" w:top="760" w:bottom="780" w:left="640" w:right="640"/>
          <w:pgNumType w:start="17"/>
        </w:sectPr>
      </w:pPr>
    </w:p>
    <w:p>
      <w:pPr>
        <w:pStyle w:val="BodyText"/>
        <w:spacing w:before="11"/>
        <w:rPr>
          <w:sz w:val="20"/>
        </w:rPr>
      </w:pPr>
    </w:p>
    <w:p>
      <w:pPr>
        <w:pStyle w:val="Heading9"/>
        <w:spacing w:before="0"/>
        <w:ind w:left="185"/>
      </w:pPr>
      <w:r>
        <w:rPr>
          <w:color w:val="0093C1"/>
        </w:rPr>
        <w:t>Chart 2.18</w:t>
      </w:r>
    </w:p>
    <w:p>
      <w:pPr>
        <w:spacing w:line="249" w:lineRule="auto" w:before="10"/>
        <w:ind w:left="185" w:right="94" w:firstLine="0"/>
        <w:jc w:val="left"/>
        <w:rPr>
          <w:b/>
          <w:sz w:val="20"/>
        </w:rPr>
      </w:pPr>
      <w:r>
        <w:rPr>
          <w:b/>
          <w:color w:val="0093C1"/>
          <w:sz w:val="20"/>
        </w:rPr>
        <w:t>Sterling/Deutsche Mark and Italian lira/ Deutsche Mark implied correlations</w:t>
      </w:r>
    </w:p>
    <w:p>
      <w:pPr>
        <w:spacing w:before="20"/>
        <w:ind w:left="2956" w:right="0" w:firstLine="0"/>
        <w:jc w:val="left"/>
        <w:rPr>
          <w:sz w:val="12"/>
        </w:rPr>
      </w:pPr>
      <w:r>
        <w:rPr/>
        <w:pict>
          <v:group style="position:absolute;margin-left:41.91pt;margin-top:7.855547pt;width:165pt;height:136.75pt;mso-position-horizontal-relative:page;mso-position-vertical-relative:paragraph;z-index:-20894208" coordorigin="838,157" coordsize="3300,2735">
            <v:shape style="position:absolute;left:838;top:162;width:3300;height:2580" coordorigin="838,162" coordsize="3300,2580" path="m938,2742l838,2742m938,1042l838,1042m938,602l838,602m938,162l838,162m4138,2742l4038,2742m4138,2322l4038,2322m4138,1042l4038,1042m4138,602l4038,602e" filled="false" stroked="true" strokeweight=".5pt" strokecolor="#000000">
              <v:path arrowok="t"/>
              <v:stroke dashstyle="solid"/>
            </v:shape>
            <v:shape style="position:absolute;left:838;top:157;width:3300;height:2735" type="#_x0000_t75" stroked="false">
              <v:imagedata r:id="rId43" o:title=""/>
            </v:shape>
            <v:shape style="position:absolute;left:2023;top:435;width:1450;height:133" type="#_x0000_t202" filled="false" stroked="false">
              <v:textbox inset="0,0,0,0">
                <w:txbxContent>
                  <w:p>
                    <w:pPr>
                      <w:spacing w:line="133" w:lineRule="exact" w:before="0"/>
                      <w:ind w:left="0" w:right="0" w:firstLine="0"/>
                      <w:jc w:val="left"/>
                      <w:rPr>
                        <w:sz w:val="12"/>
                      </w:rPr>
                    </w:pPr>
                    <w:r>
                      <w:rPr>
                        <w:sz w:val="12"/>
                      </w:rPr>
                      <w:t>Italian lira/Deutsche Mark (a)</w:t>
                    </w:r>
                  </w:p>
                </w:txbxContent>
              </v:textbox>
              <w10:wrap type="none"/>
            </v:shape>
            <v:shape style="position:absolute;left:2341;top:2585;width:1333;height:133" type="#_x0000_t202" filled="false" stroked="false">
              <v:textbox inset="0,0,0,0">
                <w:txbxContent>
                  <w:p>
                    <w:pPr>
                      <w:spacing w:line="133" w:lineRule="exact" w:before="0"/>
                      <w:ind w:left="0" w:right="0" w:firstLine="0"/>
                      <w:jc w:val="left"/>
                      <w:rPr>
                        <w:sz w:val="12"/>
                      </w:rPr>
                    </w:pPr>
                    <w:r>
                      <w:rPr>
                        <w:sz w:val="12"/>
                      </w:rPr>
                      <w:t>Sterling/Deutsche Mark (a)</w:t>
                    </w:r>
                  </w:p>
                </w:txbxContent>
              </v:textbox>
              <w10:wrap type="none"/>
            </v:shape>
            <w10:wrap type="none"/>
          </v:group>
        </w:pict>
      </w:r>
      <w:r>
        <w:rPr>
          <w:sz w:val="12"/>
        </w:rPr>
        <w:t>Correlation</w:t>
      </w:r>
      <w:r>
        <w:rPr>
          <w:spacing w:val="19"/>
          <w:sz w:val="12"/>
        </w:rPr>
        <w:t> </w:t>
      </w:r>
      <w:r>
        <w:rPr>
          <w:position w:val="-7"/>
          <w:sz w:val="12"/>
        </w:rPr>
        <w:t>1.0</w:t>
      </w:r>
    </w:p>
    <w:p>
      <w:pPr>
        <w:pStyle w:val="BodyText"/>
        <w:spacing w:before="6"/>
        <w:rPr>
          <w:sz w:val="24"/>
        </w:rPr>
      </w:pPr>
    </w:p>
    <w:p>
      <w:pPr>
        <w:spacing w:before="0"/>
        <w:ind w:left="0" w:right="38" w:firstLine="0"/>
        <w:jc w:val="right"/>
        <w:rPr>
          <w:sz w:val="12"/>
        </w:rPr>
      </w:pPr>
      <w:r>
        <w:rPr>
          <w:sz w:val="12"/>
        </w:rPr>
        <w:t>0.9</w:t>
      </w:r>
    </w:p>
    <w:p>
      <w:pPr>
        <w:pStyle w:val="BodyText"/>
        <w:rPr>
          <w:sz w:val="12"/>
        </w:rPr>
      </w:pPr>
    </w:p>
    <w:p>
      <w:pPr>
        <w:pStyle w:val="BodyText"/>
        <w:spacing w:before="3"/>
        <w:rPr>
          <w:sz w:val="14"/>
        </w:rPr>
      </w:pPr>
    </w:p>
    <w:p>
      <w:pPr>
        <w:spacing w:before="0"/>
        <w:ind w:left="0" w:right="38" w:firstLine="0"/>
        <w:jc w:val="right"/>
        <w:rPr>
          <w:sz w:val="12"/>
        </w:rPr>
      </w:pPr>
      <w:r>
        <w:rPr>
          <w:sz w:val="12"/>
        </w:rPr>
        <w:t>0.8</w:t>
      </w:r>
    </w:p>
    <w:p>
      <w:pPr>
        <w:pStyle w:val="BodyText"/>
        <w:rPr>
          <w:sz w:val="12"/>
        </w:rPr>
      </w:pPr>
    </w:p>
    <w:p>
      <w:pPr>
        <w:pStyle w:val="BodyText"/>
        <w:spacing w:before="6"/>
        <w:rPr>
          <w:sz w:val="12"/>
        </w:rPr>
      </w:pPr>
    </w:p>
    <w:p>
      <w:pPr>
        <w:spacing w:before="0"/>
        <w:ind w:left="0" w:right="38" w:firstLine="0"/>
        <w:jc w:val="right"/>
        <w:rPr>
          <w:sz w:val="12"/>
        </w:rPr>
      </w:pPr>
      <w:r>
        <w:rPr>
          <w:sz w:val="12"/>
        </w:rPr>
        <w:t>0.7</w:t>
      </w:r>
    </w:p>
    <w:p>
      <w:pPr>
        <w:pStyle w:val="BodyText"/>
        <w:rPr>
          <w:sz w:val="12"/>
        </w:rPr>
      </w:pPr>
    </w:p>
    <w:p>
      <w:pPr>
        <w:pStyle w:val="BodyText"/>
        <w:spacing w:before="3"/>
        <w:rPr>
          <w:sz w:val="14"/>
        </w:rPr>
      </w:pPr>
    </w:p>
    <w:p>
      <w:pPr>
        <w:spacing w:before="1"/>
        <w:ind w:left="0" w:right="38" w:firstLine="0"/>
        <w:jc w:val="right"/>
        <w:rPr>
          <w:sz w:val="12"/>
        </w:rPr>
      </w:pPr>
      <w:r>
        <w:rPr>
          <w:sz w:val="12"/>
        </w:rPr>
        <w:t>0.6</w:t>
      </w:r>
    </w:p>
    <w:p>
      <w:pPr>
        <w:pStyle w:val="BodyText"/>
        <w:rPr>
          <w:sz w:val="12"/>
        </w:rPr>
      </w:pPr>
    </w:p>
    <w:p>
      <w:pPr>
        <w:pStyle w:val="BodyText"/>
        <w:spacing w:before="5"/>
        <w:rPr>
          <w:sz w:val="12"/>
        </w:rPr>
      </w:pPr>
    </w:p>
    <w:p>
      <w:pPr>
        <w:spacing w:before="1"/>
        <w:ind w:left="0" w:right="38" w:firstLine="0"/>
        <w:jc w:val="right"/>
        <w:rPr>
          <w:sz w:val="12"/>
        </w:rPr>
      </w:pPr>
      <w:r>
        <w:rPr>
          <w:sz w:val="12"/>
        </w:rPr>
        <w:t>0.5</w:t>
      </w:r>
    </w:p>
    <w:p>
      <w:pPr>
        <w:pStyle w:val="BodyText"/>
        <w:rPr>
          <w:sz w:val="12"/>
        </w:rPr>
      </w:pPr>
    </w:p>
    <w:p>
      <w:pPr>
        <w:pStyle w:val="BodyText"/>
        <w:spacing w:before="2"/>
        <w:rPr>
          <w:sz w:val="14"/>
        </w:rPr>
      </w:pPr>
    </w:p>
    <w:p>
      <w:pPr>
        <w:spacing w:before="1"/>
        <w:ind w:left="0" w:right="38" w:firstLine="0"/>
        <w:jc w:val="right"/>
        <w:rPr>
          <w:sz w:val="12"/>
        </w:rPr>
      </w:pPr>
      <w:r>
        <w:rPr>
          <w:sz w:val="12"/>
        </w:rPr>
        <w:t>0.4</w:t>
      </w:r>
    </w:p>
    <w:p>
      <w:pPr>
        <w:pStyle w:val="Heading5"/>
        <w:spacing w:line="242" w:lineRule="auto" w:before="217"/>
        <w:ind w:left="186" w:right="415"/>
      </w:pPr>
      <w:r>
        <w:rPr/>
        <w:br w:type="column"/>
      </w:r>
      <w:r>
        <w:rPr>
          <w:color w:val="231F20"/>
        </w:rPr>
        <w:t>months. Following the rise in the Bank’s repo rate on 7 August, rates were unchanged in September and</w:t>
      </w:r>
    </w:p>
    <w:p>
      <w:pPr>
        <w:spacing w:line="242" w:lineRule="auto" w:before="3"/>
        <w:ind w:left="185" w:right="278" w:firstLine="0"/>
        <w:jc w:val="left"/>
        <w:rPr>
          <w:sz w:val="24"/>
        </w:rPr>
      </w:pPr>
      <w:r>
        <w:rPr>
          <w:color w:val="231F20"/>
          <w:sz w:val="24"/>
        </w:rPr>
        <w:t>October and were then raised by 0.25 percentage points on 6 November to 7.25%. UK expected short-term interest rates are broadly unchanged since August, and overseas short-term interest rates are expected to rise relative to UK rates during the next year. The nominal effective exchange rate used in the inflation forecast— based on its average in the 15 working days to</w:t>
      </w:r>
    </w:p>
    <w:p>
      <w:pPr>
        <w:spacing w:line="242" w:lineRule="auto" w:before="10"/>
        <w:ind w:left="185" w:right="644" w:firstLine="0"/>
        <w:jc w:val="both"/>
        <w:rPr>
          <w:sz w:val="24"/>
        </w:rPr>
      </w:pPr>
      <w:r>
        <w:rPr>
          <w:color w:val="231F20"/>
          <w:sz w:val="24"/>
        </w:rPr>
        <w:t>5 November—was 102.0, around 3% lower than </w:t>
      </w:r>
      <w:r>
        <w:rPr>
          <w:color w:val="231F20"/>
          <w:spacing w:val="-5"/>
          <w:sz w:val="24"/>
        </w:rPr>
        <w:t>the </w:t>
      </w:r>
      <w:r>
        <w:rPr>
          <w:color w:val="231F20"/>
          <w:sz w:val="24"/>
        </w:rPr>
        <w:t>exchange rate used in the inflation projection in the August </w:t>
      </w:r>
      <w:r>
        <w:rPr>
          <w:i/>
          <w:color w:val="231F20"/>
          <w:sz w:val="24"/>
        </w:rPr>
        <w:t>Report</w:t>
      </w:r>
      <w:r>
        <w:rPr>
          <w:color w:val="231F20"/>
          <w:sz w:val="24"/>
        </w:rPr>
        <w:t>.</w:t>
      </w:r>
    </w:p>
    <w:p>
      <w:pPr>
        <w:spacing w:after="0" w:line="242" w:lineRule="auto"/>
        <w:jc w:val="both"/>
        <w:rPr>
          <w:sz w:val="24"/>
        </w:rPr>
        <w:sectPr>
          <w:type w:val="continuous"/>
          <w:pgSz w:w="11880" w:h="16840"/>
          <w:pgMar w:top="1040" w:bottom="280" w:left="640" w:right="640"/>
          <w:cols w:num="2" w:equalWidth="0">
            <w:col w:w="3744" w:space="1035"/>
            <w:col w:w="5821"/>
          </w:cols>
        </w:sectPr>
      </w:pPr>
    </w:p>
    <w:p>
      <w:pPr>
        <w:pStyle w:val="BodyText"/>
        <w:spacing w:before="3"/>
        <w:rPr>
          <w:sz w:val="16"/>
        </w:rPr>
      </w:pPr>
    </w:p>
    <w:p>
      <w:pPr>
        <w:spacing w:after="0"/>
        <w:rPr>
          <w:sz w:val="16"/>
        </w:rPr>
        <w:sectPr>
          <w:type w:val="continuous"/>
          <w:pgSz w:w="11880" w:h="16840"/>
          <w:pgMar w:top="1040" w:bottom="280" w:left="640" w:right="640"/>
        </w:sectPr>
      </w:pPr>
    </w:p>
    <w:p>
      <w:pPr>
        <w:pStyle w:val="BodyText"/>
        <w:rPr>
          <w:sz w:val="12"/>
        </w:rPr>
      </w:pPr>
    </w:p>
    <w:p>
      <w:pPr>
        <w:tabs>
          <w:tab w:pos="2538" w:val="left" w:leader="none"/>
        </w:tabs>
        <w:spacing w:before="97"/>
        <w:ind w:left="918" w:right="0" w:firstLine="0"/>
        <w:jc w:val="left"/>
        <w:rPr>
          <w:sz w:val="12"/>
        </w:rPr>
      </w:pPr>
      <w:r>
        <w:rPr/>
        <w:pict>
          <v:shape style="position:absolute;margin-left:41.91pt;margin-top:-3.04842pt;width:165pt;height:5pt;mso-position-horizontal-relative:page;mso-position-vertical-relative:paragraph;z-index:15842304" coordorigin="838,-61" coordsize="3300,100" path="m938,39l838,39m4138,39l4038,39m978,39l3978,39m1118,39l1118,-1m1238,39l1238,-1m1378,39l1378,-1m1518,39l1518,-1m1638,39l1638,-1m1778,39l1778,-1m1918,39l1918,-1m2058,39l2058,-1m2198,39l2198,-1m2338,39l2338,-1m2478,39l2478,-1m2598,39l2598,-1m2738,39l2738,-1m2878,39l2878,-1m2998,39l2998,-1m3138,39l3138,-1m3258,39l3258,-1m3398,39l3398,-1m3538,39l3538,-1m3678,39l3678,-1m3818,39l3818,-1m3978,39l3978,-1m2598,39l2598,-61m978,39l978,-61e" filled="false" stroked="true" strokeweight=".5pt" strokecolor="#000000">
            <v:path arrowok="t"/>
            <v:stroke dashstyle="solid"/>
            <w10:wrap type="none"/>
          </v:shape>
        </w:pict>
      </w:r>
      <w:r>
        <w:rPr>
          <w:sz w:val="12"/>
        </w:rPr>
        <w:t>1996</w:t>
        <w:tab/>
        <w:t>97</w:t>
      </w:r>
    </w:p>
    <w:p>
      <w:pPr>
        <w:spacing w:line="417" w:lineRule="auto" w:before="59"/>
        <w:ind w:left="185" w:right="0" w:firstLine="0"/>
        <w:jc w:val="left"/>
        <w:rPr>
          <w:sz w:val="12"/>
        </w:rPr>
      </w:pPr>
      <w:r>
        <w:rPr>
          <w:color w:val="231F20"/>
          <w:sz w:val="12"/>
        </w:rPr>
        <w:t>Note: Daily data. Final observation is 5 November. Source: Citibank FX options.</w:t>
      </w:r>
    </w:p>
    <w:p>
      <w:pPr>
        <w:spacing w:before="95"/>
        <w:ind w:left="185" w:right="0" w:firstLine="0"/>
        <w:jc w:val="left"/>
        <w:rPr>
          <w:sz w:val="12"/>
        </w:rPr>
      </w:pPr>
      <w:r>
        <w:rPr/>
        <w:br w:type="column"/>
      </w:r>
      <w:r>
        <w:rPr>
          <w:sz w:val="12"/>
        </w:rPr>
        <w:t>0.3</w:t>
      </w:r>
    </w:p>
    <w:p>
      <w:pPr>
        <w:spacing w:after="0"/>
        <w:jc w:val="left"/>
        <w:rPr>
          <w:sz w:val="12"/>
        </w:rPr>
        <w:sectPr>
          <w:type w:val="continuous"/>
          <w:pgSz w:w="11880" w:h="16840"/>
          <w:pgMar w:top="1040" w:bottom="280" w:left="640" w:right="640"/>
          <w:cols w:num="2" w:equalWidth="0">
            <w:col w:w="2742" w:space="626"/>
            <w:col w:w="7232"/>
          </w:cols>
        </w:sectPr>
      </w:pPr>
    </w:p>
    <w:p>
      <w:pPr>
        <w:spacing w:before="0"/>
        <w:ind w:left="185" w:right="0" w:firstLine="0"/>
        <w:jc w:val="left"/>
        <w:rPr>
          <w:sz w:val="12"/>
        </w:rPr>
      </w:pPr>
      <w:r>
        <w:rPr>
          <w:color w:val="231F20"/>
          <w:sz w:val="12"/>
        </w:rPr>
        <w:t>(a) Twelve-month implied correlation, using the US dollar as a numeraire.</w:t>
      </w:r>
    </w:p>
    <w:p>
      <w:pPr>
        <w:spacing w:after="0"/>
        <w:jc w:val="left"/>
        <w:rPr>
          <w:sz w:val="12"/>
        </w:rPr>
        <w:sectPr>
          <w:type w:val="continuous"/>
          <w:pgSz w:w="11880" w:h="16840"/>
          <w:pgMar w:top="1040" w:bottom="280" w:left="640" w:right="640"/>
        </w:sectPr>
      </w:pPr>
    </w:p>
    <w:p>
      <w:pPr>
        <w:pStyle w:val="BodyText"/>
        <w:spacing w:line="20" w:lineRule="exact"/>
        <w:ind w:left="12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39.540001pt;margin-top:11.500977pt;width:516pt;height:48pt;mso-position-horizontal-relative:page;mso-position-vertical-relative:paragraph;z-index:-15612416;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6"/>
                  <w:bookmarkEnd w:id="36"/>
                  <w:r>
                    <w:rPr/>
                  </w:r>
                  <w:bookmarkStart w:name="Domestic demand" w:id="37"/>
                  <w:bookmarkEnd w:id="37"/>
                  <w:r>
                    <w:rPr/>
                  </w:r>
                  <w:bookmarkStart w:name="Consumption" w:id="38"/>
                  <w:bookmarkEnd w:id="38"/>
                  <w:r>
                    <w:rPr/>
                  </w:r>
                  <w:bookmarkStart w:name="_bookmark16" w:id="39"/>
                  <w:bookmarkEnd w:id="39"/>
                  <w:r>
                    <w:rPr/>
                  </w:r>
                  <w:bookmarkStart w:name="_bookmark17" w:id="40"/>
                  <w:bookmarkEnd w:id="40"/>
                  <w:r>
                    <w:rPr/>
                  </w:r>
                  <w:r>
                    <w:rPr>
                      <w:b/>
                      <w:color w:val="009483"/>
                      <w:sz w:val="72"/>
                    </w:rPr>
                    <w:t>3</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44"/>
          <w:pgSz w:w="11900" w:h="16840"/>
          <w:pgMar w:header="0" w:footer="597" w:top="780" w:bottom="780" w:left="640" w:right="660"/>
        </w:sectPr>
      </w:pPr>
    </w:p>
    <w:p>
      <w:pPr>
        <w:pStyle w:val="BodyText"/>
        <w:spacing w:before="8"/>
        <w:rPr>
          <w:sz w:val="20"/>
        </w:rPr>
      </w:pPr>
    </w:p>
    <w:p>
      <w:pPr>
        <w:pStyle w:val="Heading9"/>
        <w:spacing w:before="0"/>
        <w:ind w:left="169"/>
      </w:pPr>
      <w:r>
        <w:rPr>
          <w:color w:val="0093C1"/>
        </w:rPr>
        <w:t>Chart 3.1</w:t>
      </w:r>
    </w:p>
    <w:p>
      <w:pPr>
        <w:spacing w:before="10"/>
        <w:ind w:left="169" w:right="0" w:firstLine="0"/>
        <w:jc w:val="left"/>
        <w:rPr>
          <w:sz w:val="12"/>
        </w:rPr>
      </w:pPr>
      <w:r>
        <w:rPr>
          <w:b/>
          <w:color w:val="0093C1"/>
          <w:sz w:val="20"/>
        </w:rPr>
        <w:t>Quarterly GDP growth</w:t>
      </w:r>
      <w:r>
        <w:rPr>
          <w:color w:val="231F20"/>
          <w:position w:val="4"/>
          <w:sz w:val="12"/>
        </w:rPr>
        <w:t>(a)</w:t>
      </w:r>
    </w:p>
    <w:p>
      <w:pPr>
        <w:spacing w:before="65"/>
        <w:ind w:left="1768" w:right="0" w:firstLine="0"/>
        <w:jc w:val="left"/>
        <w:rPr>
          <w:sz w:val="12"/>
        </w:rPr>
      </w:pPr>
      <w:r>
        <w:rPr/>
        <w:pict>
          <v:group style="position:absolute;margin-left:49.450001pt;margin-top:11.851563pt;width:151.5pt;height:137pt;mso-position-horizontal-relative:page;mso-position-vertical-relative:paragraph;z-index:-20890624" coordorigin="989,237" coordsize="3030,2740">
            <v:line style="position:absolute" from="999,1227" to="3999,1227" stroked="true" strokeweight=".5pt" strokecolor="#000000">
              <v:stroke dashstyle="dash"/>
            </v:line>
            <v:shape style="position:absolute;left:999;top:247;width:3000;height:2720" coordorigin="999,247" coordsize="3000,2720" path="m999,1327l1099,1547,1199,2967,1299,2427,1399,2767,1499,2447,1599,2107,1699,1887,1799,2667,1899,1887,1999,1207,2099,1427,2199,1207,2299,1327,2399,1007,2499,1007,2599,247,2699,487,2799,507,2899,947m2899,947l2999,1267,3099,1687,3199,1267,3299,1167,3399,1267,3499,1187,3599,1287,3699,687,3799,987,3899,807,3999,807e" filled="false" stroked="true" strokeweight="1pt" strokecolor="#008256">
              <v:path arrowok="t"/>
              <v:stroke dashstyle="solid"/>
            </v:shape>
            <v:line style="position:absolute" from="1339,757" to="1339,1127" stroked="true" strokeweight=".5pt" strokecolor="#000000">
              <v:stroke dashstyle="solid"/>
            </v:line>
            <v:shape style="position:absolute;left:1313;top:1110;width:51;height:85" coordorigin="1314,1110" coordsize="51,85" path="m1364,1110l1314,1110,1320,1126,1325,1138,1339,1195,1340,1186,1343,1175,1346,1164,1349,1151,1353,1139,1364,1110xe" filled="true" fillcolor="#000000" stroked="false">
              <v:path arrowok="t"/>
              <v:fill type="solid"/>
            </v:shape>
            <v:shape style="position:absolute;left:1058;top:490;width:1260;height:273" type="#_x0000_t202" filled="false" stroked="false">
              <v:textbox inset="0,0,0,0">
                <w:txbxContent>
                  <w:p>
                    <w:pPr>
                      <w:spacing w:line="242" w:lineRule="auto" w:before="0"/>
                      <w:ind w:left="50" w:right="1" w:hanging="51"/>
                      <w:jc w:val="left"/>
                      <w:rPr>
                        <w:sz w:val="12"/>
                      </w:rPr>
                    </w:pPr>
                    <w:r>
                      <w:rPr>
                        <w:sz w:val="12"/>
                      </w:rPr>
                      <w:t>Average quarterly growth (1955–97)</w:t>
                    </w:r>
                  </w:p>
                </w:txbxContent>
              </v:textbox>
              <w10:wrap type="none"/>
            </v:shape>
            <v:shape style="position:absolute;left:999;top:1790;width:3020;height:133" type="#_x0000_t202" filled="false" stroked="false">
              <v:textbox inset="0,0,0,0">
                <w:txbxContent>
                  <w:p>
                    <w:pPr>
                      <w:tabs>
                        <w:tab w:pos="2999" w:val="left" w:leader="none"/>
                      </w:tabs>
                      <w:spacing w:line="133" w:lineRule="exact" w:before="0"/>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853056" from="43.950001pt,12.351563pt" to="39.950001pt,12.351563pt" stroked="true" strokeweight=".5pt" strokecolor="#000000">
            <v:stroke dashstyle="solid"/>
            <w10:wrap type="none"/>
          </v:line>
        </w:pict>
      </w:r>
      <w:r>
        <w:rPr/>
        <w:pict>
          <v:line style="position:absolute;mso-position-horizontal-relative:page;mso-position-vertical-relative:paragraph;z-index:15859200" from="211.949997pt,12.351563pt" to="206.949997pt,12.351563pt" stroked="true" strokeweight=".5pt" strokecolor="#000000">
            <v:stroke dashstyle="solid"/>
            <w10:wrap type="none"/>
          </v:line>
        </w:pict>
      </w:r>
      <w:r>
        <w:rPr>
          <w:sz w:val="12"/>
        </w:rPr>
        <w:t>Percentage change on a quarter earlier</w:t>
      </w:r>
      <w:r>
        <w:rPr>
          <w:spacing w:val="24"/>
          <w:sz w:val="12"/>
        </w:rPr>
        <w:t> </w:t>
      </w:r>
      <w:r>
        <w:rPr>
          <w:position w:val="-7"/>
          <w:sz w:val="12"/>
        </w:rPr>
        <w:t>1.50</w:t>
      </w:r>
    </w:p>
    <w:p>
      <w:pPr>
        <w:spacing w:before="122"/>
        <w:ind w:left="0" w:right="38" w:firstLine="0"/>
        <w:jc w:val="right"/>
        <w:rPr>
          <w:sz w:val="12"/>
        </w:rPr>
      </w:pPr>
      <w:r>
        <w:rPr/>
        <w:pict>
          <v:line style="position:absolute;mso-position-horizontal-relative:page;mso-position-vertical-relative:paragraph;z-index:15852544" from="43.950001pt,11.201563pt" to="39.950001pt,11.201563pt" stroked="true" strokeweight=".5pt" strokecolor="#000000">
            <v:stroke dashstyle="solid"/>
            <w10:wrap type="none"/>
          </v:line>
        </w:pict>
      </w:r>
      <w:r>
        <w:rPr/>
        <w:pict>
          <v:line style="position:absolute;mso-position-horizontal-relative:page;mso-position-vertical-relative:paragraph;z-index:15858688" from="211.949997pt,11.201563pt" to="206.949997pt,11.201563pt" stroked="true" strokeweight=".5pt" strokecolor="#000000">
            <v:stroke dashstyle="solid"/>
            <w10:wrap type="none"/>
          </v:line>
        </w:pict>
      </w:r>
      <w:r>
        <w:rPr>
          <w:sz w:val="12"/>
        </w:rPr>
        <w:t>1.25</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52032" from="43.950001pt,5.101563pt" to="39.950001pt,5.101563pt" stroked="true" strokeweight=".5pt" strokecolor="#000000">
            <v:stroke dashstyle="solid"/>
            <w10:wrap type="none"/>
          </v:line>
        </w:pict>
      </w:r>
      <w:r>
        <w:rPr/>
        <w:pict>
          <v:line style="position:absolute;mso-position-horizontal-relative:page;mso-position-vertical-relative:paragraph;z-index:15858176" from="211.949997pt,5.101563pt" to="206.949997pt,5.101563pt" stroked="true" strokeweight=".5pt" strokecolor="#000000">
            <v:stroke dashstyle="solid"/>
            <w10:wrap type="none"/>
          </v:line>
        </w:pict>
      </w:r>
      <w:r>
        <w:rPr>
          <w:sz w:val="12"/>
        </w:rPr>
        <w:t>1.00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51520" from="43.950001pt,5.101563pt" to="39.950001pt,5.101563pt" stroked="true" strokeweight=".5pt" strokecolor="#000000">
            <v:stroke dashstyle="solid"/>
            <w10:wrap type="none"/>
          </v:line>
        </w:pict>
      </w:r>
      <w:r>
        <w:rPr/>
        <w:pict>
          <v:line style="position:absolute;mso-position-horizontal-relative:page;mso-position-vertical-relative:paragraph;z-index:15857664" from="211.949997pt,5.101563pt" to="206.949997pt,5.101563pt" stroked="true" strokeweight=".5pt" strokecolor="#000000">
            <v:stroke dashstyle="solid"/>
            <w10:wrap type="none"/>
          </v:line>
        </w:pict>
      </w:r>
      <w:r>
        <w:rPr>
          <w:sz w:val="12"/>
        </w:rPr>
        <w:t>0.75</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851008" from="43.950001pt,5.101563pt" to="39.950001pt,5.101563pt" stroked="true" strokeweight=".5pt" strokecolor="#000000">
            <v:stroke dashstyle="solid"/>
            <w10:wrap type="none"/>
          </v:line>
        </w:pict>
      </w:r>
      <w:r>
        <w:rPr/>
        <w:pict>
          <v:line style="position:absolute;mso-position-horizontal-relative:page;mso-position-vertical-relative:paragraph;z-index:15857152" from="211.949997pt,5.101563pt" to="206.949997pt,5.101563pt" stroked="true" strokeweight=".5pt" strokecolor="#000000">
            <v:stroke dashstyle="solid"/>
            <w10:wrap type="none"/>
          </v:line>
        </w:pict>
      </w:r>
      <w:r>
        <w:rPr>
          <w:sz w:val="12"/>
        </w:rPr>
        <w:t>0.50</w:t>
      </w:r>
    </w:p>
    <w:p>
      <w:pPr>
        <w:pStyle w:val="BodyText"/>
        <w:spacing w:before="4"/>
        <w:rPr>
          <w:sz w:val="12"/>
        </w:rPr>
      </w:pPr>
    </w:p>
    <w:p>
      <w:pPr>
        <w:spacing w:line="115" w:lineRule="exact" w:before="0"/>
        <w:ind w:left="0" w:right="38" w:firstLine="0"/>
        <w:jc w:val="right"/>
        <w:rPr>
          <w:sz w:val="12"/>
        </w:rPr>
      </w:pPr>
      <w:r>
        <w:rPr/>
        <w:pict>
          <v:line style="position:absolute;mso-position-horizontal-relative:page;mso-position-vertical-relative:paragraph;z-index:15850496" from="43.950001pt,5.101563pt" to="39.950001pt,5.101563pt" stroked="true" strokeweight=".5pt" strokecolor="#000000">
            <v:stroke dashstyle="solid"/>
            <w10:wrap type="none"/>
          </v:line>
        </w:pict>
      </w:r>
      <w:r>
        <w:rPr/>
        <w:pict>
          <v:line style="position:absolute;mso-position-horizontal-relative:page;mso-position-vertical-relative:paragraph;z-index:15856640" from="211.949997pt,5.101563pt" to="206.949997pt,5.101563pt" stroked="true" strokeweight=".5pt" strokecolor="#000000">
            <v:stroke dashstyle="solid"/>
            <w10:wrap type="none"/>
          </v:line>
        </w:pict>
      </w:r>
      <w:r>
        <w:rPr>
          <w:sz w:val="12"/>
        </w:rPr>
        <w:t>0.25</w:t>
      </w:r>
    </w:p>
    <w:p>
      <w:pPr>
        <w:spacing w:line="161" w:lineRule="exact" w:before="0"/>
        <w:ind w:left="3589" w:right="0" w:firstLine="0"/>
        <w:jc w:val="left"/>
        <w:rPr>
          <w:sz w:val="16"/>
        </w:rPr>
      </w:pPr>
      <w:r>
        <w:rPr>
          <w:sz w:val="16"/>
        </w:rPr>
        <w:t>+</w:t>
      </w:r>
    </w:p>
    <w:p>
      <w:pPr>
        <w:spacing w:line="115" w:lineRule="exact" w:before="3"/>
        <w:ind w:left="0" w:right="38" w:firstLine="0"/>
        <w:jc w:val="right"/>
        <w:rPr>
          <w:sz w:val="12"/>
        </w:rPr>
      </w:pPr>
      <w:r>
        <w:rPr>
          <w:sz w:val="12"/>
          <w:u w:val="single"/>
        </w:rPr>
        <w:t>  </w:t>
      </w:r>
      <w:r>
        <w:rPr>
          <w:spacing w:val="10"/>
          <w:sz w:val="12"/>
          <w:u w:val="single"/>
        </w:rPr>
        <w:t> </w:t>
      </w:r>
      <w:r>
        <w:rPr>
          <w:sz w:val="12"/>
        </w:rPr>
        <w:t>  0.00</w:t>
      </w:r>
    </w:p>
    <w:p>
      <w:pPr>
        <w:pStyle w:val="BodyText"/>
        <w:spacing w:line="20" w:lineRule="exact"/>
        <w:ind w:left="154"/>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spacing w:line="133" w:lineRule="exact" w:before="0"/>
        <w:ind w:left="3589" w:right="0" w:firstLine="0"/>
        <w:jc w:val="left"/>
        <w:rPr>
          <w:sz w:val="16"/>
        </w:rPr>
      </w:pPr>
      <w:r>
        <w:rPr>
          <w:sz w:val="16"/>
        </w:rPr>
        <w:t>_</w:t>
      </w:r>
    </w:p>
    <w:p>
      <w:pPr>
        <w:spacing w:line="130" w:lineRule="exact" w:before="0"/>
        <w:ind w:left="0" w:right="38" w:firstLine="0"/>
        <w:jc w:val="right"/>
        <w:rPr>
          <w:sz w:val="12"/>
        </w:rPr>
      </w:pPr>
      <w:r>
        <w:rPr/>
        <w:pict>
          <v:line style="position:absolute;mso-position-horizontal-relative:page;mso-position-vertical-relative:paragraph;z-index:15847936" from="43.950001pt,4.685547pt" to="39.950001pt,4.685547pt" stroked="true" strokeweight=".5pt" strokecolor="#000000">
            <v:stroke dashstyle="solid"/>
            <w10:wrap type="none"/>
          </v:line>
        </w:pict>
      </w:r>
      <w:r>
        <w:rPr/>
        <w:pict>
          <v:line style="position:absolute;mso-position-horizontal-relative:page;mso-position-vertical-relative:paragraph;z-index:15854080" from="211.949997pt,4.685547pt" to="206.949997pt,4.685547pt" stroked="true" strokeweight=".5pt" strokecolor="#000000">
            <v:stroke dashstyle="solid"/>
            <w10:wrap type="none"/>
          </v:line>
        </w:pict>
      </w:r>
      <w:r>
        <w:rPr>
          <w:sz w:val="12"/>
        </w:rPr>
        <w:t>0.25</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48448" from="43.950001pt,5.101563pt" to="39.950001pt,5.101563pt" stroked="true" strokeweight=".5pt" strokecolor="#000000">
            <v:stroke dashstyle="solid"/>
            <w10:wrap type="none"/>
          </v:line>
        </w:pict>
      </w:r>
      <w:r>
        <w:rPr/>
        <w:pict>
          <v:line style="position:absolute;mso-position-horizontal-relative:page;mso-position-vertical-relative:paragraph;z-index:15854592" from="211.949997pt,5.101563pt" to="206.949997pt,5.101563pt" stroked="true" strokeweight=".5pt" strokecolor="#000000">
            <v:stroke dashstyle="solid"/>
            <w10:wrap type="none"/>
          </v:line>
        </w:pict>
      </w:r>
      <w:r>
        <w:rPr>
          <w:sz w:val="12"/>
        </w:rPr>
        <w:t>0.50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48960" from="43.950001pt,5.101563pt" to="39.950001pt,5.101563pt" stroked="true" strokeweight=".5pt" strokecolor="#000000">
            <v:stroke dashstyle="solid"/>
            <w10:wrap type="none"/>
          </v:line>
        </w:pict>
      </w:r>
      <w:r>
        <w:rPr/>
        <w:pict>
          <v:line style="position:absolute;mso-position-horizontal-relative:page;mso-position-vertical-relative:paragraph;z-index:15855104" from="211.949997pt,5.101563pt" to="206.949997pt,5.101563pt" stroked="true" strokeweight=".5pt" strokecolor="#000000">
            <v:stroke dashstyle="solid"/>
            <w10:wrap type="none"/>
          </v:line>
        </w:pict>
      </w:r>
      <w:r>
        <w:rPr>
          <w:sz w:val="12"/>
        </w:rPr>
        <w:t>0.75</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849472" from="43.950001pt,5.101563pt" to="39.950001pt,5.101563pt" stroked="true" strokeweight=".5pt" strokecolor="#000000">
            <v:stroke dashstyle="solid"/>
            <w10:wrap type="none"/>
          </v:line>
        </w:pict>
      </w:r>
      <w:r>
        <w:rPr/>
        <w:pict>
          <v:line style="position:absolute;mso-position-horizontal-relative:page;mso-position-vertical-relative:paragraph;z-index:15855616" from="211.949997pt,5.101563pt" to="206.949997pt,5.101563pt" stroked="true" strokeweight=".5pt" strokecolor="#000000">
            <v:stroke dashstyle="solid"/>
            <w10:wrap type="none"/>
          </v:line>
        </w:pict>
      </w:r>
      <w:r>
        <w:rPr>
          <w:sz w:val="12"/>
        </w:rPr>
        <w:t>1.00</w:t>
      </w:r>
    </w:p>
    <w:p>
      <w:pPr>
        <w:pStyle w:val="BodyText"/>
        <w:spacing w:before="4"/>
        <w:rPr>
          <w:sz w:val="12"/>
        </w:rPr>
      </w:pPr>
    </w:p>
    <w:p>
      <w:pPr>
        <w:spacing w:line="129" w:lineRule="exact" w:before="0"/>
        <w:ind w:left="3659" w:right="0" w:firstLine="0"/>
        <w:jc w:val="left"/>
        <w:rPr>
          <w:sz w:val="12"/>
        </w:rPr>
      </w:pPr>
      <w:r>
        <w:rPr/>
        <w:pict>
          <v:line style="position:absolute;mso-position-horizontal-relative:page;mso-position-vertical-relative:paragraph;z-index:15849984" from="43.950001pt,5.101563pt" to="39.950001pt,5.101563pt" stroked="true" strokeweight=".5pt" strokecolor="#000000">
            <v:stroke dashstyle="solid"/>
            <w10:wrap type="none"/>
          </v:line>
        </w:pict>
      </w:r>
      <w:r>
        <w:rPr/>
        <w:pict>
          <v:shape style="position:absolute;margin-left:49.950001pt;margin-top:.101563pt;width:150pt;height:5pt;mso-position-horizontal-relative:page;mso-position-vertical-relative:paragraph;z-index:15853568" coordorigin="999,2" coordsize="3000,100" path="m999,102l3999,102m999,102l999,62m1099,102l1099,62m1199,102l1199,62m1299,102l1299,62m1399,102l1399,62m1499,102l1499,62m1599,102l1599,62m1699,102l1699,62m1799,102l1799,62m1899,102l1899,62m1999,102l1999,62m2099,102l2099,62m2199,102l2199,62m2299,102l2299,62m2399,102l2399,62m2499,102l2499,62m2599,102l2599,62m2699,102l2699,62m2799,102l2799,62m2899,102l2899,62m2999,102l2999,62m3099,102l3099,62m3199,102l3199,62m3299,102l3299,62m3399,102l3399,62m3499,102l3499,62m3599,102l3599,62m3699,102l3699,62m3799,102l3799,62m3899,102l3899,62m3999,102l3999,62m999,102l999,2m1399,102l1399,2m1799,102l1799,2m2199,102l2199,2m2599,102l2599,2m2999,102l2999,2m3399,102l3399,2m3799,102l3799,2e" filled="false" stroked="true" strokeweight=".5pt" strokecolor="#000000">
            <v:path arrowok="t"/>
            <v:stroke dashstyle="solid"/>
            <w10:wrap type="none"/>
          </v:shape>
        </w:pict>
      </w:r>
      <w:r>
        <w:rPr/>
        <w:pict>
          <v:line style="position:absolute;mso-position-horizontal-relative:page;mso-position-vertical-relative:paragraph;z-index:15856128" from="211.949997pt,5.101563pt" to="206.949997pt,5.101563pt" stroked="true" strokeweight=".5pt" strokecolor="#000000">
            <v:stroke dashstyle="solid"/>
            <w10:wrap type="none"/>
          </v:line>
        </w:pict>
      </w:r>
      <w:r>
        <w:rPr>
          <w:sz w:val="12"/>
        </w:rPr>
        <w:t>1.25</w:t>
      </w:r>
    </w:p>
    <w:p>
      <w:pPr>
        <w:tabs>
          <w:tab w:pos="868" w:val="left" w:leader="none"/>
          <w:tab w:pos="1268" w:val="left" w:leader="none"/>
          <w:tab w:pos="1668" w:val="left" w:leader="none"/>
          <w:tab w:pos="2088" w:val="left" w:leader="none"/>
          <w:tab w:pos="2488" w:val="left" w:leader="none"/>
          <w:tab w:pos="2888" w:val="left" w:leader="none"/>
        </w:tabs>
        <w:spacing w:line="129" w:lineRule="exact" w:before="0"/>
        <w:ind w:left="409" w:right="0" w:firstLine="0"/>
        <w:jc w:val="left"/>
        <w:rPr>
          <w:sz w:val="12"/>
        </w:rPr>
      </w:pPr>
      <w:r>
        <w:rPr>
          <w:sz w:val="12"/>
        </w:rPr>
        <w:t>1990</w:t>
        <w:tab/>
        <w:t>91</w:t>
        <w:tab/>
        <w:t>92</w:t>
        <w:tab/>
        <w:t>93</w:t>
        <w:tab/>
        <w:t>94</w:t>
        <w:tab/>
        <w:t>95</w:t>
        <w:tab/>
        <w:t>96</w:t>
      </w:r>
      <w:r>
        <w:rPr>
          <w:spacing w:val="20"/>
          <w:sz w:val="12"/>
        </w:rPr>
        <w:t> </w:t>
      </w:r>
      <w:r>
        <w:rPr>
          <w:sz w:val="12"/>
        </w:rPr>
        <w:t>97</w:t>
      </w:r>
    </w:p>
    <w:p>
      <w:pPr>
        <w:spacing w:before="66"/>
        <w:ind w:left="169" w:right="0" w:firstLine="0"/>
        <w:jc w:val="left"/>
        <w:rPr>
          <w:sz w:val="12"/>
        </w:rPr>
      </w:pPr>
      <w:r>
        <w:rPr>
          <w:color w:val="231F20"/>
          <w:sz w:val="12"/>
        </w:rPr>
        <w:t>(a) GDP (output measure), 1990 prices.</w:t>
      </w:r>
    </w:p>
    <w:p>
      <w:pPr>
        <w:pStyle w:val="Heading5"/>
        <w:spacing w:line="242" w:lineRule="auto" w:before="228"/>
        <w:ind w:left="168" w:right="220"/>
      </w:pPr>
      <w:r>
        <w:rPr/>
        <w:br w:type="column"/>
      </w:r>
      <w:r>
        <w:rPr>
          <w:color w:val="231F20"/>
        </w:rPr>
        <w:t>Real GDP continues to grow more quickly than any reasonable estimate of trend. The preliminary estimate of real GDP in 1997 Q3 was up by 1% compared with the previous quarter and 3.9% compared with a year earlier. Real GDP has now grown by about 1% in each of the past four quarters (see Chart 3.1). Nominal GDP grew by 6.3% in the year to 1997 Q2. Such rates, if sustained, would be inconsistent with inflation at its target level.</w:t>
      </w:r>
    </w:p>
    <w:p>
      <w:pPr>
        <w:pStyle w:val="BodyText"/>
        <w:spacing w:before="5"/>
        <w:rPr>
          <w:sz w:val="25"/>
        </w:rPr>
      </w:pPr>
    </w:p>
    <w:p>
      <w:pPr>
        <w:spacing w:line="242" w:lineRule="auto" w:before="0"/>
        <w:ind w:left="168" w:right="66" w:firstLine="0"/>
        <w:jc w:val="left"/>
        <w:rPr>
          <w:sz w:val="24"/>
        </w:rPr>
      </w:pPr>
      <w:r>
        <w:rPr>
          <w:color w:val="231F20"/>
          <w:sz w:val="24"/>
        </w:rPr>
        <w:t>Domestic demand continues to provide the main impetus to growth. It has been supported by increased financial wealth, as a result of rising equity prices and windfall gains from building society conversions. Though net exports have fallen, the effects of the exchange rate appreciation on trade flows have so far been smaller than might have been expected.</w:t>
      </w:r>
    </w:p>
    <w:p>
      <w:pPr>
        <w:spacing w:after="0" w:line="242" w:lineRule="auto"/>
        <w:jc w:val="left"/>
        <w:rPr>
          <w:sz w:val="24"/>
        </w:rPr>
        <w:sectPr>
          <w:type w:val="continuous"/>
          <w:pgSz w:w="11900" w:h="16840"/>
          <w:pgMar w:top="1040" w:bottom="280" w:left="640" w:right="660"/>
          <w:cols w:num="2" w:equalWidth="0">
            <w:col w:w="3910" w:space="890"/>
            <w:col w:w="5800"/>
          </w:cols>
        </w:sectPr>
      </w:pPr>
    </w:p>
    <w:p>
      <w:pPr>
        <w:pStyle w:val="BodyText"/>
        <w:rPr>
          <w:sz w:val="20"/>
        </w:rPr>
      </w:pPr>
    </w:p>
    <w:p>
      <w:pPr>
        <w:spacing w:after="0"/>
        <w:rPr>
          <w:sz w:val="20"/>
        </w:rPr>
        <w:sectPr>
          <w:type w:val="continuous"/>
          <w:pgSz w:w="11900" w:h="16840"/>
          <w:pgMar w:top="1040" w:bottom="280" w:left="640" w:right="660"/>
        </w:sectPr>
      </w:pPr>
    </w:p>
    <w:p>
      <w:pPr>
        <w:pStyle w:val="BodyText"/>
        <w:rPr>
          <w:sz w:val="22"/>
        </w:rPr>
      </w:pPr>
    </w:p>
    <w:p>
      <w:pPr>
        <w:pStyle w:val="BodyText"/>
        <w:spacing w:before="1"/>
        <w:rPr>
          <w:sz w:val="22"/>
        </w:rPr>
      </w:pPr>
    </w:p>
    <w:p>
      <w:pPr>
        <w:pStyle w:val="Heading9"/>
        <w:spacing w:before="1"/>
        <w:ind w:left="169"/>
      </w:pPr>
      <w:r>
        <w:rPr>
          <w:color w:val="0093C1"/>
        </w:rPr>
        <w:t>Table 3.A</w:t>
      </w:r>
    </w:p>
    <w:p>
      <w:pPr>
        <w:spacing w:before="10"/>
        <w:ind w:left="169" w:right="0" w:firstLine="0"/>
        <w:jc w:val="left"/>
        <w:rPr>
          <w:b/>
          <w:sz w:val="20"/>
        </w:rPr>
      </w:pPr>
      <w:r>
        <w:rPr>
          <w:b/>
          <w:color w:val="0093C1"/>
          <w:sz w:val="20"/>
        </w:rPr>
        <w:t>Expenditure components of GDP</w:t>
      </w:r>
    </w:p>
    <w:p>
      <w:pPr>
        <w:tabs>
          <w:tab w:pos="2569" w:val="left" w:leader="none"/>
          <w:tab w:pos="3459" w:val="left" w:leader="none"/>
          <w:tab w:pos="3659" w:val="left" w:leader="none"/>
        </w:tabs>
        <w:spacing w:line="223" w:lineRule="auto" w:before="115"/>
        <w:ind w:left="1749" w:right="38" w:firstLine="0"/>
        <w:jc w:val="left"/>
        <w:rPr>
          <w:sz w:val="14"/>
        </w:rPr>
      </w:pPr>
      <w:r>
        <w:rPr>
          <w:color w:val="231F20"/>
          <w:sz w:val="14"/>
        </w:rPr>
        <w:t>Percentage change on</w:t>
        <w:tab/>
        <w:tab/>
      </w:r>
      <w:r>
        <w:rPr>
          <w:color w:val="231F20"/>
          <w:spacing w:val="-2"/>
          <w:sz w:val="14"/>
        </w:rPr>
        <w:t>Contribution </w:t>
      </w:r>
      <w:r>
        <w:rPr>
          <w:color w:val="231F20"/>
          <w:sz w:val="14"/>
          <w:u w:val="single" w:color="231F20"/>
        </w:rPr>
        <w:t>previous quarter</w:t>
        <w:tab/>
      </w:r>
      <w:r>
        <w:rPr>
          <w:color w:val="231F20"/>
          <w:sz w:val="14"/>
        </w:rPr>
        <w:t>to quarterly </w:t>
      </w:r>
      <w:r>
        <w:rPr>
          <w:color w:val="231F20"/>
          <w:sz w:val="14"/>
          <w:u w:val="single" w:color="231F20"/>
        </w:rPr>
        <w:t>1996</w:t>
        <w:tab/>
        <w:t>1997</w:t>
        <w:tab/>
        <w:t>GDP</w:t>
      </w:r>
      <w:r>
        <w:rPr>
          <w:color w:val="231F20"/>
          <w:spacing w:val="3"/>
          <w:sz w:val="14"/>
          <w:u w:val="single" w:color="231F20"/>
        </w:rPr>
        <w:t> </w:t>
      </w:r>
      <w:r>
        <w:rPr>
          <w:color w:val="231F20"/>
          <w:spacing w:val="-3"/>
          <w:sz w:val="14"/>
          <w:u w:val="single" w:color="231F20"/>
        </w:rPr>
        <w:t>growth</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375"/>
        <w:gridCol w:w="510"/>
        <w:gridCol w:w="455"/>
        <w:gridCol w:w="480"/>
        <w:gridCol w:w="896"/>
      </w:tblGrid>
      <w:tr>
        <w:trPr>
          <w:trHeight w:val="217" w:hRule="atLeast"/>
        </w:trPr>
        <w:tc>
          <w:tcPr>
            <w:tcW w:w="1625" w:type="dxa"/>
          </w:tcPr>
          <w:p>
            <w:pPr>
              <w:pStyle w:val="TableParagraph"/>
              <w:rPr>
                <w:sz w:val="14"/>
              </w:rPr>
            </w:pPr>
          </w:p>
        </w:tc>
        <w:tc>
          <w:tcPr>
            <w:tcW w:w="375" w:type="dxa"/>
          </w:tcPr>
          <w:p>
            <w:pPr>
              <w:pStyle w:val="TableParagraph"/>
              <w:spacing w:line="155" w:lineRule="exact"/>
              <w:ind w:left="5"/>
              <w:rPr>
                <w:sz w:val="14"/>
              </w:rPr>
            </w:pPr>
            <w:r>
              <w:rPr>
                <w:color w:val="231F20"/>
                <w:sz w:val="14"/>
                <w:u w:val="single" w:color="231F20"/>
              </w:rPr>
              <w:t>Q3 </w:t>
            </w:r>
          </w:p>
        </w:tc>
        <w:tc>
          <w:tcPr>
            <w:tcW w:w="510" w:type="dxa"/>
          </w:tcPr>
          <w:p>
            <w:pPr>
              <w:pStyle w:val="TableParagraph"/>
              <w:tabs>
                <w:tab w:pos="391" w:val="left" w:leader="none"/>
              </w:tabs>
              <w:spacing w:line="155" w:lineRule="exact"/>
              <w:ind w:left="10"/>
              <w:jc w:val="center"/>
              <w:rPr>
                <w:sz w:val="14"/>
              </w:rPr>
            </w:pPr>
            <w:r>
              <w:rPr>
                <w:color w:val="231F20"/>
                <w:sz w:val="14"/>
                <w:u w:val="single" w:color="231F20"/>
              </w:rPr>
              <w:t>Q4</w:t>
              <w:tab/>
            </w:r>
          </w:p>
        </w:tc>
        <w:tc>
          <w:tcPr>
            <w:tcW w:w="455" w:type="dxa"/>
          </w:tcPr>
          <w:p>
            <w:pPr>
              <w:pStyle w:val="TableParagraph"/>
              <w:spacing w:line="155" w:lineRule="exact"/>
              <w:ind w:left="59" w:right="81"/>
              <w:jc w:val="center"/>
              <w:rPr>
                <w:sz w:val="14"/>
              </w:rPr>
            </w:pPr>
            <w:r>
              <w:rPr>
                <w:color w:val="231F20"/>
                <w:sz w:val="14"/>
                <w:u w:val="single" w:color="231F20"/>
              </w:rPr>
              <w:t>Q1 </w:t>
            </w:r>
          </w:p>
        </w:tc>
        <w:tc>
          <w:tcPr>
            <w:tcW w:w="480" w:type="dxa"/>
          </w:tcPr>
          <w:p>
            <w:pPr>
              <w:pStyle w:val="TableParagraph"/>
              <w:spacing w:line="155" w:lineRule="exact"/>
              <w:ind w:left="84"/>
              <w:rPr>
                <w:sz w:val="14"/>
              </w:rPr>
            </w:pPr>
            <w:r>
              <w:rPr>
                <w:color w:val="231F20"/>
                <w:sz w:val="14"/>
                <w:u w:val="single" w:color="231F20"/>
              </w:rPr>
              <w:t>Q2 </w:t>
            </w:r>
          </w:p>
        </w:tc>
        <w:tc>
          <w:tcPr>
            <w:tcW w:w="896" w:type="dxa"/>
          </w:tcPr>
          <w:p>
            <w:pPr>
              <w:pStyle w:val="TableParagraph"/>
              <w:spacing w:line="155" w:lineRule="exact"/>
              <w:ind w:left="94"/>
              <w:rPr>
                <w:sz w:val="12"/>
              </w:rPr>
            </w:pPr>
            <w:r>
              <w:rPr>
                <w:color w:val="231F20"/>
                <w:sz w:val="14"/>
                <w:u w:val="single" w:color="231F20"/>
              </w:rPr>
              <w:t>1997 Q2 </w:t>
            </w:r>
            <w:r>
              <w:rPr>
                <w:color w:val="231F20"/>
                <w:sz w:val="12"/>
                <w:u w:val="single" w:color="231F20"/>
              </w:rPr>
              <w:t>(a) </w:t>
            </w:r>
          </w:p>
        </w:tc>
      </w:tr>
      <w:tr>
        <w:trPr>
          <w:trHeight w:val="209" w:hRule="atLeast"/>
        </w:trPr>
        <w:tc>
          <w:tcPr>
            <w:tcW w:w="1625" w:type="dxa"/>
          </w:tcPr>
          <w:p>
            <w:pPr>
              <w:pStyle w:val="TableParagraph"/>
              <w:spacing w:line="133" w:lineRule="exact" w:before="56"/>
              <w:ind w:left="50"/>
              <w:rPr>
                <w:sz w:val="14"/>
              </w:rPr>
            </w:pPr>
            <w:r>
              <w:rPr>
                <w:color w:val="231F20"/>
                <w:sz w:val="14"/>
              </w:rPr>
              <w:t>Private consumption</w:t>
            </w:r>
          </w:p>
        </w:tc>
        <w:tc>
          <w:tcPr>
            <w:tcW w:w="375" w:type="dxa"/>
          </w:tcPr>
          <w:p>
            <w:pPr>
              <w:pStyle w:val="TableParagraph"/>
              <w:spacing w:line="133" w:lineRule="exact" w:before="56"/>
              <w:ind w:left="90"/>
              <w:rPr>
                <w:sz w:val="14"/>
              </w:rPr>
            </w:pPr>
            <w:r>
              <w:rPr>
                <w:color w:val="231F20"/>
                <w:sz w:val="14"/>
              </w:rPr>
              <w:t>0.7</w:t>
            </w:r>
          </w:p>
        </w:tc>
        <w:tc>
          <w:tcPr>
            <w:tcW w:w="510" w:type="dxa"/>
          </w:tcPr>
          <w:p>
            <w:pPr>
              <w:pStyle w:val="TableParagraph"/>
              <w:spacing w:line="133" w:lineRule="exact" w:before="56"/>
              <w:ind w:left="10" w:right="14"/>
              <w:jc w:val="center"/>
              <w:rPr>
                <w:sz w:val="14"/>
              </w:rPr>
            </w:pPr>
            <w:r>
              <w:rPr>
                <w:color w:val="231F20"/>
                <w:sz w:val="14"/>
              </w:rPr>
              <w:t>1.3</w:t>
            </w:r>
          </w:p>
        </w:tc>
        <w:tc>
          <w:tcPr>
            <w:tcW w:w="455" w:type="dxa"/>
          </w:tcPr>
          <w:p>
            <w:pPr>
              <w:pStyle w:val="TableParagraph"/>
              <w:spacing w:line="133" w:lineRule="exact" w:before="56"/>
              <w:ind w:left="59" w:right="87"/>
              <w:jc w:val="center"/>
              <w:rPr>
                <w:sz w:val="14"/>
              </w:rPr>
            </w:pPr>
            <w:r>
              <w:rPr>
                <w:color w:val="231F20"/>
                <w:sz w:val="14"/>
              </w:rPr>
              <w:t>0.8</w:t>
            </w:r>
          </w:p>
        </w:tc>
        <w:tc>
          <w:tcPr>
            <w:tcW w:w="480" w:type="dxa"/>
          </w:tcPr>
          <w:p>
            <w:pPr>
              <w:pStyle w:val="TableParagraph"/>
              <w:spacing w:line="133" w:lineRule="exact" w:before="56"/>
              <w:ind w:left="150"/>
              <w:rPr>
                <w:sz w:val="14"/>
              </w:rPr>
            </w:pPr>
            <w:r>
              <w:rPr>
                <w:color w:val="231F20"/>
                <w:sz w:val="14"/>
              </w:rPr>
              <w:t>1.5</w:t>
            </w:r>
          </w:p>
        </w:tc>
        <w:tc>
          <w:tcPr>
            <w:tcW w:w="896" w:type="dxa"/>
          </w:tcPr>
          <w:p>
            <w:pPr>
              <w:pStyle w:val="TableParagraph"/>
              <w:spacing w:line="133" w:lineRule="exact" w:before="56"/>
              <w:ind w:left="490"/>
              <w:rPr>
                <w:sz w:val="14"/>
              </w:rPr>
            </w:pPr>
            <w:r>
              <w:rPr>
                <w:color w:val="231F20"/>
                <w:sz w:val="14"/>
              </w:rPr>
              <w:t>1.1</w:t>
            </w:r>
          </w:p>
        </w:tc>
      </w:tr>
      <w:tr>
        <w:trPr>
          <w:trHeight w:val="140" w:hRule="atLeast"/>
        </w:trPr>
        <w:tc>
          <w:tcPr>
            <w:tcW w:w="1625" w:type="dxa"/>
          </w:tcPr>
          <w:p>
            <w:pPr>
              <w:pStyle w:val="TableParagraph"/>
              <w:spacing w:line="120" w:lineRule="exact"/>
              <w:ind w:left="50"/>
              <w:rPr>
                <w:sz w:val="14"/>
              </w:rPr>
            </w:pPr>
            <w:r>
              <w:rPr>
                <w:color w:val="231F20"/>
                <w:sz w:val="14"/>
              </w:rPr>
              <w:t>Public consumption</w:t>
            </w:r>
          </w:p>
        </w:tc>
        <w:tc>
          <w:tcPr>
            <w:tcW w:w="375" w:type="dxa"/>
          </w:tcPr>
          <w:p>
            <w:pPr>
              <w:pStyle w:val="TableParagraph"/>
              <w:spacing w:line="120" w:lineRule="exact"/>
              <w:ind w:left="90"/>
              <w:rPr>
                <w:sz w:val="14"/>
              </w:rPr>
            </w:pPr>
            <w:r>
              <w:rPr>
                <w:color w:val="231F20"/>
                <w:sz w:val="14"/>
              </w:rPr>
              <w:t>0.2</w:t>
            </w:r>
          </w:p>
        </w:tc>
        <w:tc>
          <w:tcPr>
            <w:tcW w:w="510" w:type="dxa"/>
          </w:tcPr>
          <w:p>
            <w:pPr>
              <w:pStyle w:val="TableParagraph"/>
              <w:spacing w:line="120" w:lineRule="exact"/>
              <w:ind w:left="10" w:right="12"/>
              <w:jc w:val="center"/>
              <w:rPr>
                <w:sz w:val="14"/>
              </w:rPr>
            </w:pPr>
            <w:r>
              <w:rPr>
                <w:color w:val="231F20"/>
                <w:sz w:val="14"/>
              </w:rPr>
              <w:t>0.4</w:t>
            </w:r>
          </w:p>
        </w:tc>
        <w:tc>
          <w:tcPr>
            <w:tcW w:w="455" w:type="dxa"/>
          </w:tcPr>
          <w:p>
            <w:pPr>
              <w:pStyle w:val="TableParagraph"/>
              <w:spacing w:line="120" w:lineRule="exact"/>
              <w:ind w:left="58" w:right="132"/>
              <w:jc w:val="center"/>
              <w:rPr>
                <w:sz w:val="14"/>
              </w:rPr>
            </w:pPr>
            <w:r>
              <w:rPr>
                <w:color w:val="231F20"/>
                <w:sz w:val="14"/>
              </w:rPr>
              <w:t>-0.1</w:t>
            </w:r>
          </w:p>
        </w:tc>
        <w:tc>
          <w:tcPr>
            <w:tcW w:w="480" w:type="dxa"/>
          </w:tcPr>
          <w:p>
            <w:pPr>
              <w:pStyle w:val="TableParagraph"/>
              <w:spacing w:line="120" w:lineRule="exact"/>
              <w:ind w:left="150"/>
              <w:rPr>
                <w:sz w:val="14"/>
              </w:rPr>
            </w:pPr>
            <w:r>
              <w:rPr>
                <w:color w:val="231F20"/>
                <w:sz w:val="14"/>
              </w:rPr>
              <w:t>0.2</w:t>
            </w:r>
          </w:p>
        </w:tc>
        <w:tc>
          <w:tcPr>
            <w:tcW w:w="896" w:type="dxa"/>
          </w:tcPr>
          <w:p>
            <w:pPr>
              <w:pStyle w:val="TableParagraph"/>
              <w:spacing w:line="120" w:lineRule="exact"/>
              <w:ind w:left="490"/>
              <w:rPr>
                <w:sz w:val="14"/>
              </w:rPr>
            </w:pPr>
            <w:r>
              <w:rPr>
                <w:color w:val="231F20"/>
                <w:sz w:val="14"/>
              </w:rPr>
              <w:t>0.0</w:t>
            </w:r>
          </w:p>
        </w:tc>
      </w:tr>
      <w:tr>
        <w:trPr>
          <w:trHeight w:val="140" w:hRule="atLeast"/>
        </w:trPr>
        <w:tc>
          <w:tcPr>
            <w:tcW w:w="1625" w:type="dxa"/>
          </w:tcPr>
          <w:p>
            <w:pPr>
              <w:pStyle w:val="TableParagraph"/>
              <w:spacing w:line="120" w:lineRule="exact"/>
              <w:ind w:left="50"/>
              <w:rPr>
                <w:sz w:val="14"/>
              </w:rPr>
            </w:pPr>
            <w:r>
              <w:rPr>
                <w:color w:val="231F20"/>
                <w:sz w:val="14"/>
              </w:rPr>
              <w:t>Investment</w:t>
            </w:r>
          </w:p>
        </w:tc>
        <w:tc>
          <w:tcPr>
            <w:tcW w:w="375" w:type="dxa"/>
          </w:tcPr>
          <w:p>
            <w:pPr>
              <w:pStyle w:val="TableParagraph"/>
              <w:spacing w:line="120" w:lineRule="exact"/>
              <w:ind w:left="43"/>
              <w:rPr>
                <w:sz w:val="14"/>
              </w:rPr>
            </w:pPr>
            <w:r>
              <w:rPr>
                <w:color w:val="231F20"/>
                <w:sz w:val="14"/>
              </w:rPr>
              <w:t>-2.4</w:t>
            </w:r>
          </w:p>
        </w:tc>
        <w:tc>
          <w:tcPr>
            <w:tcW w:w="510" w:type="dxa"/>
          </w:tcPr>
          <w:p>
            <w:pPr>
              <w:pStyle w:val="TableParagraph"/>
              <w:spacing w:line="120" w:lineRule="exact"/>
              <w:ind w:left="10" w:right="12"/>
              <w:jc w:val="center"/>
              <w:rPr>
                <w:sz w:val="14"/>
              </w:rPr>
            </w:pPr>
            <w:r>
              <w:rPr>
                <w:color w:val="231F20"/>
                <w:sz w:val="14"/>
              </w:rPr>
              <w:t>2.5</w:t>
            </w:r>
          </w:p>
        </w:tc>
        <w:tc>
          <w:tcPr>
            <w:tcW w:w="455" w:type="dxa"/>
          </w:tcPr>
          <w:p>
            <w:pPr>
              <w:pStyle w:val="TableParagraph"/>
              <w:spacing w:line="120" w:lineRule="exact"/>
              <w:ind w:left="59" w:right="86"/>
              <w:jc w:val="center"/>
              <w:rPr>
                <w:sz w:val="14"/>
              </w:rPr>
            </w:pPr>
            <w:r>
              <w:rPr>
                <w:color w:val="231F20"/>
                <w:sz w:val="14"/>
              </w:rPr>
              <w:t>0.5</w:t>
            </w:r>
          </w:p>
        </w:tc>
        <w:tc>
          <w:tcPr>
            <w:tcW w:w="480" w:type="dxa"/>
          </w:tcPr>
          <w:p>
            <w:pPr>
              <w:pStyle w:val="TableParagraph"/>
              <w:spacing w:line="120" w:lineRule="exact"/>
              <w:ind w:left="150"/>
              <w:rPr>
                <w:sz w:val="14"/>
              </w:rPr>
            </w:pPr>
            <w:r>
              <w:rPr>
                <w:color w:val="231F20"/>
                <w:sz w:val="14"/>
              </w:rPr>
              <w:t>2.0</w:t>
            </w:r>
          </w:p>
        </w:tc>
        <w:tc>
          <w:tcPr>
            <w:tcW w:w="896" w:type="dxa"/>
          </w:tcPr>
          <w:p>
            <w:pPr>
              <w:pStyle w:val="TableParagraph"/>
              <w:spacing w:line="120" w:lineRule="exact"/>
              <w:ind w:left="490"/>
              <w:rPr>
                <w:sz w:val="14"/>
              </w:rPr>
            </w:pPr>
            <w:r>
              <w:rPr>
                <w:color w:val="231F20"/>
                <w:sz w:val="14"/>
              </w:rPr>
              <w:t>0.4</w:t>
            </w:r>
          </w:p>
        </w:tc>
      </w:tr>
      <w:tr>
        <w:trPr>
          <w:trHeight w:val="280" w:hRule="atLeast"/>
        </w:trPr>
        <w:tc>
          <w:tcPr>
            <w:tcW w:w="1625" w:type="dxa"/>
          </w:tcPr>
          <w:p>
            <w:pPr>
              <w:pStyle w:val="TableParagraph"/>
              <w:spacing w:line="137" w:lineRule="exact"/>
              <w:ind w:left="120"/>
              <w:rPr>
                <w:sz w:val="14"/>
              </w:rPr>
            </w:pPr>
            <w:r>
              <w:rPr>
                <w:i/>
                <w:color w:val="231F20"/>
                <w:sz w:val="14"/>
              </w:rPr>
              <w:t>of which</w:t>
            </w:r>
            <w:r>
              <w:rPr>
                <w:color w:val="231F20"/>
                <w:sz w:val="14"/>
              </w:rPr>
              <w:t>:</w:t>
            </w:r>
          </w:p>
          <w:p>
            <w:pPr>
              <w:pStyle w:val="TableParagraph"/>
              <w:spacing w:line="123" w:lineRule="exact"/>
              <w:ind w:left="190"/>
              <w:rPr>
                <w:i/>
                <w:sz w:val="14"/>
              </w:rPr>
            </w:pPr>
            <w:r>
              <w:rPr>
                <w:i/>
                <w:color w:val="231F20"/>
                <w:sz w:val="14"/>
              </w:rPr>
              <w:t>Business fixed investment</w:t>
            </w:r>
          </w:p>
        </w:tc>
        <w:tc>
          <w:tcPr>
            <w:tcW w:w="375" w:type="dxa"/>
          </w:tcPr>
          <w:p>
            <w:pPr>
              <w:pStyle w:val="TableParagraph"/>
              <w:spacing w:line="133" w:lineRule="exact" w:before="126"/>
              <w:ind w:left="43"/>
              <w:rPr>
                <w:i/>
                <w:sz w:val="14"/>
              </w:rPr>
            </w:pPr>
            <w:r>
              <w:rPr>
                <w:i/>
                <w:color w:val="231F20"/>
                <w:sz w:val="14"/>
              </w:rPr>
              <w:t>-0.5</w:t>
            </w:r>
          </w:p>
        </w:tc>
        <w:tc>
          <w:tcPr>
            <w:tcW w:w="510" w:type="dxa"/>
          </w:tcPr>
          <w:p>
            <w:pPr>
              <w:pStyle w:val="TableParagraph"/>
              <w:spacing w:line="133" w:lineRule="exact" w:before="126"/>
              <w:ind w:left="10" w:right="12"/>
              <w:jc w:val="center"/>
              <w:rPr>
                <w:i/>
                <w:sz w:val="14"/>
              </w:rPr>
            </w:pPr>
            <w:r>
              <w:rPr>
                <w:i/>
                <w:color w:val="231F20"/>
                <w:sz w:val="14"/>
              </w:rPr>
              <w:t>2.4</w:t>
            </w:r>
          </w:p>
        </w:tc>
        <w:tc>
          <w:tcPr>
            <w:tcW w:w="455" w:type="dxa"/>
          </w:tcPr>
          <w:p>
            <w:pPr>
              <w:pStyle w:val="TableParagraph"/>
              <w:spacing w:line="133" w:lineRule="exact" w:before="126"/>
              <w:ind w:left="59" w:right="86"/>
              <w:jc w:val="center"/>
              <w:rPr>
                <w:i/>
                <w:sz w:val="14"/>
              </w:rPr>
            </w:pPr>
            <w:r>
              <w:rPr>
                <w:i/>
                <w:color w:val="231F20"/>
                <w:sz w:val="14"/>
              </w:rPr>
              <w:t>6.2</w:t>
            </w:r>
          </w:p>
        </w:tc>
        <w:tc>
          <w:tcPr>
            <w:tcW w:w="480" w:type="dxa"/>
          </w:tcPr>
          <w:p>
            <w:pPr>
              <w:pStyle w:val="TableParagraph"/>
              <w:spacing w:line="133" w:lineRule="exact" w:before="126"/>
              <w:ind w:left="103"/>
              <w:rPr>
                <w:i/>
                <w:sz w:val="14"/>
              </w:rPr>
            </w:pPr>
            <w:r>
              <w:rPr>
                <w:i/>
                <w:color w:val="231F20"/>
                <w:sz w:val="14"/>
              </w:rPr>
              <w:t>-1.0</w:t>
            </w:r>
          </w:p>
        </w:tc>
        <w:tc>
          <w:tcPr>
            <w:tcW w:w="896" w:type="dxa"/>
          </w:tcPr>
          <w:p>
            <w:pPr>
              <w:pStyle w:val="TableParagraph"/>
              <w:spacing w:line="133" w:lineRule="exact" w:before="126"/>
              <w:ind w:left="443"/>
              <w:rPr>
                <w:i/>
                <w:sz w:val="14"/>
              </w:rPr>
            </w:pPr>
            <w:r>
              <w:rPr>
                <w:i/>
                <w:color w:val="231F20"/>
                <w:sz w:val="14"/>
              </w:rPr>
              <w:t>-0.1</w:t>
            </w:r>
          </w:p>
        </w:tc>
      </w:tr>
      <w:tr>
        <w:trPr>
          <w:trHeight w:val="140" w:hRule="atLeast"/>
        </w:trPr>
        <w:tc>
          <w:tcPr>
            <w:tcW w:w="1625" w:type="dxa"/>
          </w:tcPr>
          <w:p>
            <w:pPr>
              <w:pStyle w:val="TableParagraph"/>
              <w:spacing w:line="120" w:lineRule="exact"/>
              <w:ind w:left="50"/>
              <w:rPr>
                <w:sz w:val="14"/>
              </w:rPr>
            </w:pPr>
            <w:r>
              <w:rPr>
                <w:color w:val="231F20"/>
                <w:sz w:val="14"/>
              </w:rPr>
              <w:t>Final domestic demand</w:t>
            </w:r>
          </w:p>
        </w:tc>
        <w:tc>
          <w:tcPr>
            <w:tcW w:w="375" w:type="dxa"/>
          </w:tcPr>
          <w:p>
            <w:pPr>
              <w:pStyle w:val="TableParagraph"/>
              <w:spacing w:line="120" w:lineRule="exact"/>
              <w:ind w:left="89"/>
              <w:rPr>
                <w:sz w:val="14"/>
              </w:rPr>
            </w:pPr>
            <w:r>
              <w:rPr>
                <w:color w:val="231F20"/>
                <w:sz w:val="14"/>
              </w:rPr>
              <w:t>0.1</w:t>
            </w:r>
          </w:p>
        </w:tc>
        <w:tc>
          <w:tcPr>
            <w:tcW w:w="510" w:type="dxa"/>
          </w:tcPr>
          <w:p>
            <w:pPr>
              <w:pStyle w:val="TableParagraph"/>
              <w:spacing w:line="120" w:lineRule="exact"/>
              <w:ind w:left="10" w:right="13"/>
              <w:jc w:val="center"/>
              <w:rPr>
                <w:sz w:val="14"/>
              </w:rPr>
            </w:pPr>
            <w:r>
              <w:rPr>
                <w:color w:val="231F20"/>
                <w:sz w:val="14"/>
              </w:rPr>
              <w:t>1.3</w:t>
            </w:r>
          </w:p>
        </w:tc>
        <w:tc>
          <w:tcPr>
            <w:tcW w:w="455" w:type="dxa"/>
          </w:tcPr>
          <w:p>
            <w:pPr>
              <w:pStyle w:val="TableParagraph"/>
              <w:spacing w:line="120" w:lineRule="exact"/>
              <w:ind w:left="59" w:right="87"/>
              <w:jc w:val="center"/>
              <w:rPr>
                <w:sz w:val="14"/>
              </w:rPr>
            </w:pPr>
            <w:r>
              <w:rPr>
                <w:color w:val="231F20"/>
                <w:sz w:val="14"/>
              </w:rPr>
              <w:t>0.6</w:t>
            </w:r>
          </w:p>
        </w:tc>
        <w:tc>
          <w:tcPr>
            <w:tcW w:w="480" w:type="dxa"/>
          </w:tcPr>
          <w:p>
            <w:pPr>
              <w:pStyle w:val="TableParagraph"/>
              <w:spacing w:line="120" w:lineRule="exact"/>
              <w:ind w:left="149"/>
              <w:rPr>
                <w:sz w:val="14"/>
              </w:rPr>
            </w:pPr>
            <w:r>
              <w:rPr>
                <w:color w:val="231F20"/>
                <w:sz w:val="14"/>
              </w:rPr>
              <w:t>1.3</w:t>
            </w:r>
          </w:p>
        </w:tc>
        <w:tc>
          <w:tcPr>
            <w:tcW w:w="896" w:type="dxa"/>
          </w:tcPr>
          <w:p>
            <w:pPr>
              <w:pStyle w:val="TableParagraph"/>
              <w:spacing w:line="120" w:lineRule="exact"/>
              <w:ind w:left="489"/>
              <w:rPr>
                <w:sz w:val="14"/>
              </w:rPr>
            </w:pPr>
            <w:r>
              <w:rPr>
                <w:color w:val="231F20"/>
                <w:sz w:val="14"/>
              </w:rPr>
              <w:t>1.5</w:t>
            </w:r>
          </w:p>
        </w:tc>
      </w:tr>
      <w:tr>
        <w:trPr>
          <w:trHeight w:val="140" w:hRule="atLeast"/>
        </w:trPr>
        <w:tc>
          <w:tcPr>
            <w:tcW w:w="1625" w:type="dxa"/>
          </w:tcPr>
          <w:p>
            <w:pPr>
              <w:pStyle w:val="TableParagraph"/>
              <w:spacing w:line="120" w:lineRule="exact"/>
              <w:ind w:left="50"/>
              <w:rPr>
                <w:sz w:val="12"/>
              </w:rPr>
            </w:pPr>
            <w:r>
              <w:rPr>
                <w:color w:val="231F20"/>
                <w:sz w:val="14"/>
              </w:rPr>
              <w:t>Stockbuilding </w:t>
            </w:r>
            <w:r>
              <w:rPr>
                <w:color w:val="231F20"/>
                <w:sz w:val="12"/>
              </w:rPr>
              <w:t>(b)(c)</w:t>
            </w:r>
          </w:p>
        </w:tc>
        <w:tc>
          <w:tcPr>
            <w:tcW w:w="375" w:type="dxa"/>
          </w:tcPr>
          <w:p>
            <w:pPr>
              <w:pStyle w:val="TableParagraph"/>
              <w:spacing w:line="120" w:lineRule="exact"/>
              <w:ind w:left="90"/>
              <w:rPr>
                <w:sz w:val="14"/>
              </w:rPr>
            </w:pPr>
            <w:r>
              <w:rPr>
                <w:color w:val="231F20"/>
                <w:sz w:val="14"/>
              </w:rPr>
              <w:t>0.1</w:t>
            </w:r>
          </w:p>
        </w:tc>
        <w:tc>
          <w:tcPr>
            <w:tcW w:w="510" w:type="dxa"/>
          </w:tcPr>
          <w:p>
            <w:pPr>
              <w:pStyle w:val="TableParagraph"/>
              <w:spacing w:line="120" w:lineRule="exact"/>
              <w:ind w:left="10" w:right="13"/>
              <w:jc w:val="center"/>
              <w:rPr>
                <w:sz w:val="14"/>
              </w:rPr>
            </w:pPr>
            <w:r>
              <w:rPr>
                <w:color w:val="231F20"/>
                <w:sz w:val="14"/>
              </w:rPr>
              <w:t>0.2</w:t>
            </w:r>
          </w:p>
        </w:tc>
        <w:tc>
          <w:tcPr>
            <w:tcW w:w="455" w:type="dxa"/>
          </w:tcPr>
          <w:p>
            <w:pPr>
              <w:pStyle w:val="TableParagraph"/>
              <w:spacing w:line="120" w:lineRule="exact"/>
              <w:ind w:left="59" w:right="87"/>
              <w:jc w:val="center"/>
              <w:rPr>
                <w:sz w:val="14"/>
              </w:rPr>
            </w:pPr>
            <w:r>
              <w:rPr>
                <w:color w:val="231F20"/>
                <w:sz w:val="14"/>
              </w:rPr>
              <w:t>0.3</w:t>
            </w:r>
          </w:p>
        </w:tc>
        <w:tc>
          <w:tcPr>
            <w:tcW w:w="480" w:type="dxa"/>
          </w:tcPr>
          <w:p>
            <w:pPr>
              <w:pStyle w:val="TableParagraph"/>
              <w:spacing w:line="120" w:lineRule="exact"/>
              <w:ind w:left="103"/>
              <w:rPr>
                <w:sz w:val="14"/>
              </w:rPr>
            </w:pPr>
            <w:r>
              <w:rPr>
                <w:color w:val="231F20"/>
                <w:sz w:val="14"/>
              </w:rPr>
              <w:t>-0.3</w:t>
            </w:r>
          </w:p>
        </w:tc>
        <w:tc>
          <w:tcPr>
            <w:tcW w:w="896" w:type="dxa"/>
          </w:tcPr>
          <w:p>
            <w:pPr>
              <w:pStyle w:val="TableParagraph"/>
              <w:spacing w:line="120" w:lineRule="exact"/>
              <w:ind w:left="443"/>
              <w:rPr>
                <w:sz w:val="14"/>
              </w:rPr>
            </w:pPr>
            <w:r>
              <w:rPr>
                <w:color w:val="231F20"/>
                <w:sz w:val="14"/>
              </w:rPr>
              <w:t>-0.3</w:t>
            </w:r>
          </w:p>
        </w:tc>
      </w:tr>
      <w:tr>
        <w:trPr>
          <w:trHeight w:val="140" w:hRule="atLeast"/>
        </w:trPr>
        <w:tc>
          <w:tcPr>
            <w:tcW w:w="1625" w:type="dxa"/>
          </w:tcPr>
          <w:p>
            <w:pPr>
              <w:pStyle w:val="TableParagraph"/>
              <w:spacing w:line="120" w:lineRule="exact"/>
              <w:ind w:left="50"/>
              <w:rPr>
                <w:sz w:val="14"/>
              </w:rPr>
            </w:pPr>
            <w:r>
              <w:rPr>
                <w:color w:val="231F20"/>
                <w:sz w:val="14"/>
              </w:rPr>
              <w:t>Domestic demand</w:t>
            </w:r>
          </w:p>
        </w:tc>
        <w:tc>
          <w:tcPr>
            <w:tcW w:w="375" w:type="dxa"/>
          </w:tcPr>
          <w:p>
            <w:pPr>
              <w:pStyle w:val="TableParagraph"/>
              <w:spacing w:line="120" w:lineRule="exact"/>
              <w:ind w:left="90"/>
              <w:rPr>
                <w:sz w:val="14"/>
              </w:rPr>
            </w:pPr>
            <w:r>
              <w:rPr>
                <w:color w:val="231F20"/>
                <w:sz w:val="14"/>
              </w:rPr>
              <w:t>0.7</w:t>
            </w:r>
          </w:p>
        </w:tc>
        <w:tc>
          <w:tcPr>
            <w:tcW w:w="510" w:type="dxa"/>
          </w:tcPr>
          <w:p>
            <w:pPr>
              <w:pStyle w:val="TableParagraph"/>
              <w:spacing w:line="120" w:lineRule="exact"/>
              <w:ind w:left="10" w:right="12"/>
              <w:jc w:val="center"/>
              <w:rPr>
                <w:sz w:val="14"/>
              </w:rPr>
            </w:pPr>
            <w:r>
              <w:rPr>
                <w:color w:val="231F20"/>
                <w:sz w:val="14"/>
              </w:rPr>
              <w:t>1.1</w:t>
            </w:r>
          </w:p>
        </w:tc>
        <w:tc>
          <w:tcPr>
            <w:tcW w:w="455" w:type="dxa"/>
          </w:tcPr>
          <w:p>
            <w:pPr>
              <w:pStyle w:val="TableParagraph"/>
              <w:spacing w:line="120" w:lineRule="exact"/>
              <w:ind w:left="59" w:right="86"/>
              <w:jc w:val="center"/>
              <w:rPr>
                <w:sz w:val="14"/>
              </w:rPr>
            </w:pPr>
            <w:r>
              <w:rPr>
                <w:color w:val="231F20"/>
                <w:sz w:val="14"/>
              </w:rPr>
              <w:t>0.7</w:t>
            </w:r>
          </w:p>
        </w:tc>
        <w:tc>
          <w:tcPr>
            <w:tcW w:w="480" w:type="dxa"/>
          </w:tcPr>
          <w:p>
            <w:pPr>
              <w:pStyle w:val="TableParagraph"/>
              <w:spacing w:line="120" w:lineRule="exact"/>
              <w:ind w:left="150"/>
              <w:rPr>
                <w:sz w:val="14"/>
              </w:rPr>
            </w:pPr>
            <w:r>
              <w:rPr>
                <w:color w:val="231F20"/>
                <w:sz w:val="14"/>
              </w:rPr>
              <w:t>1.4</w:t>
            </w:r>
          </w:p>
        </w:tc>
        <w:tc>
          <w:tcPr>
            <w:tcW w:w="896" w:type="dxa"/>
          </w:tcPr>
          <w:p>
            <w:pPr>
              <w:pStyle w:val="TableParagraph"/>
              <w:spacing w:line="120" w:lineRule="exact"/>
              <w:ind w:left="490"/>
              <w:rPr>
                <w:sz w:val="14"/>
              </w:rPr>
            </w:pPr>
            <w:r>
              <w:rPr>
                <w:color w:val="231F20"/>
                <w:sz w:val="14"/>
              </w:rPr>
              <w:t>1.7</w:t>
            </w:r>
          </w:p>
        </w:tc>
      </w:tr>
      <w:tr>
        <w:trPr>
          <w:trHeight w:val="140" w:hRule="atLeast"/>
        </w:trPr>
        <w:tc>
          <w:tcPr>
            <w:tcW w:w="1625" w:type="dxa"/>
          </w:tcPr>
          <w:p>
            <w:pPr>
              <w:pStyle w:val="TableParagraph"/>
              <w:spacing w:line="120" w:lineRule="exact"/>
              <w:ind w:left="50"/>
              <w:rPr>
                <w:sz w:val="14"/>
              </w:rPr>
            </w:pPr>
            <w:r>
              <w:rPr>
                <w:color w:val="231F20"/>
                <w:sz w:val="14"/>
              </w:rPr>
              <w:t>Exports</w:t>
            </w:r>
          </w:p>
        </w:tc>
        <w:tc>
          <w:tcPr>
            <w:tcW w:w="375" w:type="dxa"/>
          </w:tcPr>
          <w:p>
            <w:pPr>
              <w:pStyle w:val="TableParagraph"/>
              <w:spacing w:line="120" w:lineRule="exact"/>
              <w:ind w:left="90"/>
              <w:rPr>
                <w:sz w:val="14"/>
              </w:rPr>
            </w:pPr>
            <w:r>
              <w:rPr>
                <w:color w:val="231F20"/>
                <w:sz w:val="14"/>
              </w:rPr>
              <w:t>0.6</w:t>
            </w:r>
          </w:p>
        </w:tc>
        <w:tc>
          <w:tcPr>
            <w:tcW w:w="510" w:type="dxa"/>
          </w:tcPr>
          <w:p>
            <w:pPr>
              <w:pStyle w:val="TableParagraph"/>
              <w:spacing w:line="120" w:lineRule="exact"/>
              <w:ind w:left="10" w:right="12"/>
              <w:jc w:val="center"/>
              <w:rPr>
                <w:sz w:val="14"/>
              </w:rPr>
            </w:pPr>
            <w:r>
              <w:rPr>
                <w:color w:val="231F20"/>
                <w:sz w:val="14"/>
              </w:rPr>
              <w:t>2.4</w:t>
            </w:r>
          </w:p>
        </w:tc>
        <w:tc>
          <w:tcPr>
            <w:tcW w:w="455" w:type="dxa"/>
          </w:tcPr>
          <w:p>
            <w:pPr>
              <w:pStyle w:val="TableParagraph"/>
              <w:spacing w:line="120" w:lineRule="exact"/>
              <w:ind w:left="59" w:right="86"/>
              <w:jc w:val="center"/>
              <w:rPr>
                <w:sz w:val="14"/>
              </w:rPr>
            </w:pPr>
            <w:r>
              <w:rPr>
                <w:color w:val="231F20"/>
                <w:sz w:val="14"/>
              </w:rPr>
              <w:t>1.2</w:t>
            </w:r>
          </w:p>
        </w:tc>
        <w:tc>
          <w:tcPr>
            <w:tcW w:w="480" w:type="dxa"/>
          </w:tcPr>
          <w:p>
            <w:pPr>
              <w:pStyle w:val="TableParagraph"/>
              <w:spacing w:line="120" w:lineRule="exact"/>
              <w:ind w:left="150"/>
              <w:rPr>
                <w:sz w:val="14"/>
              </w:rPr>
            </w:pPr>
            <w:r>
              <w:rPr>
                <w:color w:val="231F20"/>
                <w:sz w:val="14"/>
              </w:rPr>
              <w:t>2.8</w:t>
            </w:r>
          </w:p>
        </w:tc>
        <w:tc>
          <w:tcPr>
            <w:tcW w:w="896" w:type="dxa"/>
          </w:tcPr>
          <w:p>
            <w:pPr>
              <w:pStyle w:val="TableParagraph"/>
              <w:spacing w:line="120" w:lineRule="exact"/>
              <w:ind w:left="490"/>
              <w:rPr>
                <w:sz w:val="14"/>
              </w:rPr>
            </w:pPr>
            <w:r>
              <w:rPr>
                <w:color w:val="231F20"/>
                <w:sz w:val="14"/>
              </w:rPr>
              <w:t>1.0</w:t>
            </w:r>
          </w:p>
        </w:tc>
      </w:tr>
      <w:tr>
        <w:trPr>
          <w:trHeight w:val="140" w:hRule="atLeast"/>
        </w:trPr>
        <w:tc>
          <w:tcPr>
            <w:tcW w:w="1625" w:type="dxa"/>
          </w:tcPr>
          <w:p>
            <w:pPr>
              <w:pStyle w:val="TableParagraph"/>
              <w:spacing w:line="120" w:lineRule="exact"/>
              <w:ind w:left="50"/>
              <w:rPr>
                <w:sz w:val="14"/>
              </w:rPr>
            </w:pPr>
            <w:r>
              <w:rPr>
                <w:color w:val="231F20"/>
                <w:sz w:val="14"/>
              </w:rPr>
              <w:t>Imports</w:t>
            </w:r>
          </w:p>
        </w:tc>
        <w:tc>
          <w:tcPr>
            <w:tcW w:w="375" w:type="dxa"/>
          </w:tcPr>
          <w:p>
            <w:pPr>
              <w:pStyle w:val="TableParagraph"/>
              <w:spacing w:line="120" w:lineRule="exact"/>
              <w:ind w:left="90"/>
              <w:rPr>
                <w:sz w:val="14"/>
              </w:rPr>
            </w:pPr>
            <w:r>
              <w:rPr>
                <w:color w:val="231F20"/>
                <w:sz w:val="14"/>
              </w:rPr>
              <w:t>1.2</w:t>
            </w:r>
          </w:p>
        </w:tc>
        <w:tc>
          <w:tcPr>
            <w:tcW w:w="510" w:type="dxa"/>
          </w:tcPr>
          <w:p>
            <w:pPr>
              <w:pStyle w:val="TableParagraph"/>
              <w:spacing w:line="120" w:lineRule="exact"/>
              <w:ind w:left="10" w:right="12"/>
              <w:jc w:val="center"/>
              <w:rPr>
                <w:sz w:val="14"/>
              </w:rPr>
            </w:pPr>
            <w:r>
              <w:rPr>
                <w:color w:val="231F20"/>
                <w:sz w:val="14"/>
              </w:rPr>
              <w:t>2.5</w:t>
            </w:r>
          </w:p>
        </w:tc>
        <w:tc>
          <w:tcPr>
            <w:tcW w:w="455" w:type="dxa"/>
          </w:tcPr>
          <w:p>
            <w:pPr>
              <w:pStyle w:val="TableParagraph"/>
              <w:spacing w:line="120" w:lineRule="exact"/>
              <w:ind w:left="59" w:right="86"/>
              <w:jc w:val="center"/>
              <w:rPr>
                <w:sz w:val="14"/>
              </w:rPr>
            </w:pPr>
            <w:r>
              <w:rPr>
                <w:color w:val="231F20"/>
                <w:sz w:val="14"/>
              </w:rPr>
              <w:t>0.6</w:t>
            </w:r>
          </w:p>
        </w:tc>
        <w:tc>
          <w:tcPr>
            <w:tcW w:w="480" w:type="dxa"/>
          </w:tcPr>
          <w:p>
            <w:pPr>
              <w:pStyle w:val="TableParagraph"/>
              <w:spacing w:line="120" w:lineRule="exact"/>
              <w:ind w:left="150"/>
              <w:rPr>
                <w:sz w:val="14"/>
              </w:rPr>
            </w:pPr>
            <w:r>
              <w:rPr>
                <w:color w:val="231F20"/>
                <w:sz w:val="14"/>
              </w:rPr>
              <w:t>4.2</w:t>
            </w:r>
          </w:p>
        </w:tc>
        <w:tc>
          <w:tcPr>
            <w:tcW w:w="896" w:type="dxa"/>
          </w:tcPr>
          <w:p>
            <w:pPr>
              <w:pStyle w:val="TableParagraph"/>
              <w:spacing w:line="120" w:lineRule="exact"/>
              <w:ind w:left="490"/>
              <w:rPr>
                <w:sz w:val="14"/>
              </w:rPr>
            </w:pPr>
            <w:r>
              <w:rPr>
                <w:color w:val="231F20"/>
                <w:sz w:val="14"/>
              </w:rPr>
              <w:t>1.5</w:t>
            </w:r>
          </w:p>
        </w:tc>
      </w:tr>
      <w:tr>
        <w:trPr>
          <w:trHeight w:val="140" w:hRule="atLeast"/>
        </w:trPr>
        <w:tc>
          <w:tcPr>
            <w:tcW w:w="1625" w:type="dxa"/>
          </w:tcPr>
          <w:p>
            <w:pPr>
              <w:pStyle w:val="TableParagraph"/>
              <w:spacing w:line="120" w:lineRule="exact"/>
              <w:ind w:left="50"/>
              <w:rPr>
                <w:sz w:val="12"/>
              </w:rPr>
            </w:pPr>
            <w:r>
              <w:rPr>
                <w:color w:val="231F20"/>
                <w:sz w:val="14"/>
              </w:rPr>
              <w:t>Net exports </w:t>
            </w:r>
            <w:r>
              <w:rPr>
                <w:color w:val="231F20"/>
                <w:sz w:val="12"/>
              </w:rPr>
              <w:t>(b)</w:t>
            </w:r>
          </w:p>
        </w:tc>
        <w:tc>
          <w:tcPr>
            <w:tcW w:w="375" w:type="dxa"/>
          </w:tcPr>
          <w:p>
            <w:pPr>
              <w:pStyle w:val="TableParagraph"/>
              <w:spacing w:line="120" w:lineRule="exact"/>
              <w:ind w:left="43"/>
              <w:rPr>
                <w:sz w:val="14"/>
              </w:rPr>
            </w:pPr>
            <w:r>
              <w:rPr>
                <w:color w:val="231F20"/>
                <w:sz w:val="14"/>
              </w:rPr>
              <w:t>-0.2</w:t>
            </w:r>
          </w:p>
        </w:tc>
        <w:tc>
          <w:tcPr>
            <w:tcW w:w="510" w:type="dxa"/>
          </w:tcPr>
          <w:p>
            <w:pPr>
              <w:pStyle w:val="TableParagraph"/>
              <w:spacing w:line="120" w:lineRule="exact"/>
              <w:ind w:left="10" w:right="59"/>
              <w:jc w:val="center"/>
              <w:rPr>
                <w:sz w:val="14"/>
              </w:rPr>
            </w:pPr>
            <w:r>
              <w:rPr>
                <w:color w:val="231F20"/>
                <w:sz w:val="14"/>
              </w:rPr>
              <w:t>-0.1</w:t>
            </w:r>
          </w:p>
        </w:tc>
        <w:tc>
          <w:tcPr>
            <w:tcW w:w="455" w:type="dxa"/>
          </w:tcPr>
          <w:p>
            <w:pPr>
              <w:pStyle w:val="TableParagraph"/>
              <w:spacing w:line="120" w:lineRule="exact"/>
              <w:ind w:left="59" w:right="87"/>
              <w:jc w:val="center"/>
              <w:rPr>
                <w:sz w:val="14"/>
              </w:rPr>
            </w:pPr>
            <w:r>
              <w:rPr>
                <w:color w:val="231F20"/>
                <w:sz w:val="14"/>
              </w:rPr>
              <w:t>0.2</w:t>
            </w:r>
          </w:p>
        </w:tc>
        <w:tc>
          <w:tcPr>
            <w:tcW w:w="480" w:type="dxa"/>
          </w:tcPr>
          <w:p>
            <w:pPr>
              <w:pStyle w:val="TableParagraph"/>
              <w:spacing w:line="120" w:lineRule="exact"/>
              <w:ind w:left="103"/>
              <w:rPr>
                <w:sz w:val="14"/>
              </w:rPr>
            </w:pPr>
            <w:r>
              <w:rPr>
                <w:color w:val="231F20"/>
                <w:sz w:val="14"/>
              </w:rPr>
              <w:t>-0.5</w:t>
            </w:r>
          </w:p>
        </w:tc>
        <w:tc>
          <w:tcPr>
            <w:tcW w:w="896" w:type="dxa"/>
          </w:tcPr>
          <w:p>
            <w:pPr>
              <w:pStyle w:val="TableParagraph"/>
              <w:spacing w:line="120" w:lineRule="exact"/>
              <w:ind w:left="443"/>
              <w:rPr>
                <w:sz w:val="14"/>
              </w:rPr>
            </w:pPr>
            <w:r>
              <w:rPr>
                <w:color w:val="231F20"/>
                <w:sz w:val="14"/>
              </w:rPr>
              <w:t>-0.5</w:t>
            </w:r>
          </w:p>
        </w:tc>
      </w:tr>
      <w:tr>
        <w:trPr>
          <w:trHeight w:val="210" w:hRule="atLeast"/>
        </w:trPr>
        <w:tc>
          <w:tcPr>
            <w:tcW w:w="1625" w:type="dxa"/>
          </w:tcPr>
          <w:p>
            <w:pPr>
              <w:pStyle w:val="TableParagraph"/>
              <w:spacing w:line="148" w:lineRule="exact"/>
              <w:ind w:left="50"/>
              <w:rPr>
                <w:b/>
                <w:sz w:val="14"/>
              </w:rPr>
            </w:pPr>
            <w:r>
              <w:rPr>
                <w:b/>
                <w:color w:val="231F20"/>
                <w:sz w:val="14"/>
              </w:rPr>
              <w:t>GDP</w:t>
            </w:r>
          </w:p>
        </w:tc>
        <w:tc>
          <w:tcPr>
            <w:tcW w:w="375" w:type="dxa"/>
          </w:tcPr>
          <w:p>
            <w:pPr>
              <w:pStyle w:val="TableParagraph"/>
              <w:spacing w:line="148" w:lineRule="exact"/>
              <w:ind w:left="90"/>
              <w:rPr>
                <w:b/>
                <w:sz w:val="14"/>
              </w:rPr>
            </w:pPr>
            <w:r>
              <w:rPr>
                <w:b/>
                <w:color w:val="231F20"/>
                <w:sz w:val="14"/>
              </w:rPr>
              <w:t>0.5</w:t>
            </w:r>
          </w:p>
        </w:tc>
        <w:tc>
          <w:tcPr>
            <w:tcW w:w="510" w:type="dxa"/>
          </w:tcPr>
          <w:p>
            <w:pPr>
              <w:pStyle w:val="TableParagraph"/>
              <w:spacing w:line="148" w:lineRule="exact"/>
              <w:ind w:left="10" w:right="12"/>
              <w:jc w:val="center"/>
              <w:rPr>
                <w:b/>
                <w:sz w:val="14"/>
              </w:rPr>
            </w:pPr>
            <w:r>
              <w:rPr>
                <w:b/>
                <w:color w:val="231F20"/>
                <w:sz w:val="14"/>
              </w:rPr>
              <w:t>1.1</w:t>
            </w:r>
          </w:p>
        </w:tc>
        <w:tc>
          <w:tcPr>
            <w:tcW w:w="455" w:type="dxa"/>
          </w:tcPr>
          <w:p>
            <w:pPr>
              <w:pStyle w:val="TableParagraph"/>
              <w:spacing w:line="148" w:lineRule="exact"/>
              <w:ind w:left="59" w:right="86"/>
              <w:jc w:val="center"/>
              <w:rPr>
                <w:b/>
                <w:sz w:val="14"/>
              </w:rPr>
            </w:pPr>
            <w:r>
              <w:rPr>
                <w:b/>
                <w:color w:val="231F20"/>
                <w:sz w:val="14"/>
              </w:rPr>
              <w:t>0.8</w:t>
            </w:r>
          </w:p>
        </w:tc>
        <w:tc>
          <w:tcPr>
            <w:tcW w:w="480" w:type="dxa"/>
          </w:tcPr>
          <w:p>
            <w:pPr>
              <w:pStyle w:val="TableParagraph"/>
              <w:spacing w:line="148" w:lineRule="exact"/>
              <w:ind w:left="150"/>
              <w:rPr>
                <w:b/>
                <w:sz w:val="14"/>
              </w:rPr>
            </w:pPr>
            <w:r>
              <w:rPr>
                <w:b/>
                <w:color w:val="231F20"/>
                <w:sz w:val="14"/>
              </w:rPr>
              <w:t>1.0</w:t>
            </w:r>
          </w:p>
        </w:tc>
        <w:tc>
          <w:tcPr>
            <w:tcW w:w="896" w:type="dxa"/>
          </w:tcPr>
          <w:p>
            <w:pPr>
              <w:pStyle w:val="TableParagraph"/>
              <w:spacing w:line="148" w:lineRule="exact"/>
              <w:ind w:left="490"/>
              <w:rPr>
                <w:b/>
                <w:sz w:val="14"/>
              </w:rPr>
            </w:pPr>
            <w:r>
              <w:rPr>
                <w:b/>
                <w:color w:val="231F20"/>
                <w:sz w:val="14"/>
              </w:rPr>
              <w:t>1.0</w:t>
            </w:r>
          </w:p>
        </w:tc>
      </w:tr>
      <w:tr>
        <w:trPr>
          <w:trHeight w:val="350" w:hRule="atLeast"/>
        </w:trPr>
        <w:tc>
          <w:tcPr>
            <w:tcW w:w="1625" w:type="dxa"/>
          </w:tcPr>
          <w:p>
            <w:pPr>
              <w:pStyle w:val="TableParagraph"/>
              <w:spacing w:line="150" w:lineRule="exact" w:before="56"/>
              <w:ind w:left="50"/>
              <w:rPr>
                <w:i/>
                <w:sz w:val="14"/>
              </w:rPr>
            </w:pPr>
            <w:r>
              <w:rPr>
                <w:i/>
                <w:color w:val="231F20"/>
                <w:sz w:val="14"/>
              </w:rPr>
              <w:t>Memo items:</w:t>
            </w:r>
          </w:p>
          <w:p>
            <w:pPr>
              <w:pStyle w:val="TableParagraph"/>
              <w:spacing w:line="123" w:lineRule="exact"/>
              <w:ind w:left="50"/>
              <w:rPr>
                <w:sz w:val="12"/>
              </w:rPr>
            </w:pPr>
            <w:r>
              <w:rPr>
                <w:color w:val="231F20"/>
                <w:sz w:val="14"/>
              </w:rPr>
              <w:t>Statistical discrepancy </w:t>
            </w:r>
            <w:r>
              <w:rPr>
                <w:color w:val="231F20"/>
                <w:sz w:val="12"/>
              </w:rPr>
              <w:t>(b)</w:t>
            </w:r>
          </w:p>
        </w:tc>
        <w:tc>
          <w:tcPr>
            <w:tcW w:w="375" w:type="dxa"/>
          </w:tcPr>
          <w:p>
            <w:pPr>
              <w:pStyle w:val="TableParagraph"/>
              <w:spacing w:before="1"/>
              <w:rPr>
                <w:sz w:val="17"/>
              </w:rPr>
            </w:pPr>
          </w:p>
          <w:p>
            <w:pPr>
              <w:pStyle w:val="TableParagraph"/>
              <w:spacing w:line="133" w:lineRule="exact"/>
              <w:ind w:left="90"/>
              <w:rPr>
                <w:sz w:val="14"/>
              </w:rPr>
            </w:pPr>
            <w:r>
              <w:rPr>
                <w:color w:val="231F20"/>
                <w:sz w:val="14"/>
              </w:rPr>
              <w:t>0.0</w:t>
            </w:r>
          </w:p>
        </w:tc>
        <w:tc>
          <w:tcPr>
            <w:tcW w:w="510" w:type="dxa"/>
          </w:tcPr>
          <w:p>
            <w:pPr>
              <w:pStyle w:val="TableParagraph"/>
              <w:spacing w:before="1"/>
              <w:rPr>
                <w:sz w:val="17"/>
              </w:rPr>
            </w:pPr>
          </w:p>
          <w:p>
            <w:pPr>
              <w:pStyle w:val="TableParagraph"/>
              <w:spacing w:line="133" w:lineRule="exact"/>
              <w:ind w:left="10" w:right="13"/>
              <w:jc w:val="center"/>
              <w:rPr>
                <w:sz w:val="14"/>
              </w:rPr>
            </w:pPr>
            <w:r>
              <w:rPr>
                <w:color w:val="231F20"/>
                <w:sz w:val="14"/>
              </w:rPr>
              <w:t>0.0</w:t>
            </w:r>
          </w:p>
        </w:tc>
        <w:tc>
          <w:tcPr>
            <w:tcW w:w="455" w:type="dxa"/>
          </w:tcPr>
          <w:p>
            <w:pPr>
              <w:pStyle w:val="TableParagraph"/>
              <w:spacing w:before="1"/>
              <w:rPr>
                <w:sz w:val="17"/>
              </w:rPr>
            </w:pPr>
          </w:p>
          <w:p>
            <w:pPr>
              <w:pStyle w:val="TableParagraph"/>
              <w:spacing w:line="133" w:lineRule="exact"/>
              <w:ind w:left="59" w:right="87"/>
              <w:jc w:val="center"/>
              <w:rPr>
                <w:sz w:val="14"/>
              </w:rPr>
            </w:pPr>
            <w:r>
              <w:rPr>
                <w:color w:val="231F20"/>
                <w:sz w:val="14"/>
              </w:rPr>
              <w:t>0.0</w:t>
            </w:r>
          </w:p>
        </w:tc>
        <w:tc>
          <w:tcPr>
            <w:tcW w:w="480" w:type="dxa"/>
          </w:tcPr>
          <w:p>
            <w:pPr>
              <w:pStyle w:val="TableParagraph"/>
              <w:spacing w:before="1"/>
              <w:rPr>
                <w:sz w:val="17"/>
              </w:rPr>
            </w:pPr>
          </w:p>
          <w:p>
            <w:pPr>
              <w:pStyle w:val="TableParagraph"/>
              <w:spacing w:line="133" w:lineRule="exact"/>
              <w:ind w:left="150"/>
              <w:rPr>
                <w:sz w:val="14"/>
              </w:rPr>
            </w:pPr>
            <w:r>
              <w:rPr>
                <w:color w:val="231F20"/>
                <w:sz w:val="14"/>
              </w:rPr>
              <w:t>0.0</w:t>
            </w:r>
          </w:p>
        </w:tc>
        <w:tc>
          <w:tcPr>
            <w:tcW w:w="896" w:type="dxa"/>
          </w:tcPr>
          <w:p>
            <w:pPr>
              <w:pStyle w:val="TableParagraph"/>
              <w:spacing w:before="1"/>
              <w:rPr>
                <w:sz w:val="17"/>
              </w:rPr>
            </w:pPr>
          </w:p>
          <w:p>
            <w:pPr>
              <w:pStyle w:val="TableParagraph"/>
              <w:spacing w:line="133" w:lineRule="exact"/>
              <w:ind w:left="490"/>
              <w:rPr>
                <w:sz w:val="14"/>
              </w:rPr>
            </w:pPr>
            <w:r>
              <w:rPr>
                <w:color w:val="231F20"/>
                <w:sz w:val="14"/>
              </w:rPr>
              <w:t>0.0</w:t>
            </w:r>
          </w:p>
        </w:tc>
      </w:tr>
      <w:tr>
        <w:trPr>
          <w:trHeight w:val="147" w:hRule="atLeast"/>
        </w:trPr>
        <w:tc>
          <w:tcPr>
            <w:tcW w:w="1625" w:type="dxa"/>
          </w:tcPr>
          <w:p>
            <w:pPr>
              <w:pStyle w:val="TableParagraph"/>
              <w:spacing w:line="128" w:lineRule="exact"/>
              <w:ind w:left="50"/>
              <w:rPr>
                <w:sz w:val="12"/>
              </w:rPr>
            </w:pPr>
            <w:r>
              <w:rPr>
                <w:color w:val="231F20"/>
                <w:sz w:val="14"/>
              </w:rPr>
              <w:t>Alignment adjustment </w:t>
            </w:r>
            <w:r>
              <w:rPr>
                <w:color w:val="231F20"/>
                <w:sz w:val="12"/>
              </w:rPr>
              <w:t>(b)</w:t>
            </w:r>
          </w:p>
        </w:tc>
        <w:tc>
          <w:tcPr>
            <w:tcW w:w="375" w:type="dxa"/>
          </w:tcPr>
          <w:p>
            <w:pPr>
              <w:pStyle w:val="TableParagraph"/>
              <w:spacing w:line="128" w:lineRule="exact"/>
              <w:ind w:left="90"/>
              <w:rPr>
                <w:sz w:val="14"/>
              </w:rPr>
            </w:pPr>
            <w:r>
              <w:rPr>
                <w:color w:val="231F20"/>
                <w:sz w:val="14"/>
              </w:rPr>
              <w:t>0.7</w:t>
            </w:r>
          </w:p>
        </w:tc>
        <w:tc>
          <w:tcPr>
            <w:tcW w:w="510" w:type="dxa"/>
          </w:tcPr>
          <w:p>
            <w:pPr>
              <w:pStyle w:val="TableParagraph"/>
              <w:spacing w:line="128" w:lineRule="exact"/>
              <w:ind w:left="10" w:right="59"/>
              <w:jc w:val="center"/>
              <w:rPr>
                <w:sz w:val="14"/>
              </w:rPr>
            </w:pPr>
            <w:r>
              <w:rPr>
                <w:color w:val="231F20"/>
                <w:sz w:val="14"/>
              </w:rPr>
              <w:t>-0.4</w:t>
            </w:r>
          </w:p>
        </w:tc>
        <w:tc>
          <w:tcPr>
            <w:tcW w:w="455" w:type="dxa"/>
          </w:tcPr>
          <w:p>
            <w:pPr>
              <w:pStyle w:val="TableParagraph"/>
              <w:spacing w:line="128" w:lineRule="exact"/>
              <w:ind w:left="58" w:right="132"/>
              <w:jc w:val="center"/>
              <w:rPr>
                <w:sz w:val="14"/>
              </w:rPr>
            </w:pPr>
            <w:r>
              <w:rPr>
                <w:color w:val="231F20"/>
                <w:sz w:val="14"/>
              </w:rPr>
              <w:t>-0.2</w:t>
            </w:r>
          </w:p>
        </w:tc>
        <w:tc>
          <w:tcPr>
            <w:tcW w:w="480" w:type="dxa"/>
          </w:tcPr>
          <w:p>
            <w:pPr>
              <w:pStyle w:val="TableParagraph"/>
              <w:spacing w:line="128" w:lineRule="exact"/>
              <w:ind w:left="150"/>
              <w:rPr>
                <w:sz w:val="14"/>
              </w:rPr>
            </w:pPr>
            <w:r>
              <w:rPr>
                <w:color w:val="231F20"/>
                <w:sz w:val="14"/>
              </w:rPr>
              <w:t>0.4</w:t>
            </w:r>
          </w:p>
        </w:tc>
        <w:tc>
          <w:tcPr>
            <w:tcW w:w="896" w:type="dxa"/>
          </w:tcPr>
          <w:p>
            <w:pPr>
              <w:pStyle w:val="TableParagraph"/>
              <w:spacing w:line="128" w:lineRule="exact"/>
              <w:ind w:left="490"/>
              <w:rPr>
                <w:sz w:val="14"/>
              </w:rPr>
            </w:pPr>
            <w:r>
              <w:rPr>
                <w:color w:val="231F20"/>
                <w:sz w:val="14"/>
              </w:rPr>
              <w:t>0.4</w:t>
            </w:r>
          </w:p>
        </w:tc>
      </w:tr>
    </w:tbl>
    <w:p>
      <w:pPr>
        <w:pStyle w:val="ListParagraph"/>
        <w:numPr>
          <w:ilvl w:val="0"/>
          <w:numId w:val="12"/>
        </w:numPr>
        <w:tabs>
          <w:tab w:pos="409" w:val="left" w:leader="none"/>
        </w:tabs>
        <w:spacing w:line="208" w:lineRule="auto" w:before="140" w:after="0"/>
        <w:ind w:left="409" w:right="244" w:hanging="240"/>
        <w:jc w:val="left"/>
        <w:rPr>
          <w:sz w:val="12"/>
        </w:rPr>
      </w:pPr>
      <w:r>
        <w:rPr>
          <w:color w:val="231F20"/>
          <w:sz w:val="12"/>
        </w:rPr>
        <w:t>Percentage point contributions. Contributions may not sum to GDP growth </w:t>
      </w:r>
      <w:r>
        <w:rPr>
          <w:color w:val="231F20"/>
          <w:spacing w:val="-9"/>
          <w:sz w:val="12"/>
        </w:rPr>
        <w:t>as </w:t>
      </w:r>
      <w:r>
        <w:rPr>
          <w:color w:val="231F20"/>
          <w:sz w:val="12"/>
        </w:rPr>
        <w:t>the table does not include the factor cost adjustment.</w:t>
      </w:r>
    </w:p>
    <w:p>
      <w:pPr>
        <w:pStyle w:val="ListParagraph"/>
        <w:numPr>
          <w:ilvl w:val="0"/>
          <w:numId w:val="12"/>
        </w:numPr>
        <w:tabs>
          <w:tab w:pos="410" w:val="left" w:leader="none"/>
        </w:tabs>
        <w:spacing w:line="114" w:lineRule="exact" w:before="0" w:after="0"/>
        <w:ind w:left="409" w:right="0" w:hanging="241"/>
        <w:jc w:val="left"/>
        <w:rPr>
          <w:sz w:val="12"/>
        </w:rPr>
      </w:pPr>
      <w:r>
        <w:rPr>
          <w:color w:val="231F20"/>
          <w:sz w:val="12"/>
        </w:rPr>
        <w:t>Contributions to quarterly GDP growth.</w:t>
      </w:r>
    </w:p>
    <w:p>
      <w:pPr>
        <w:pStyle w:val="ListParagraph"/>
        <w:numPr>
          <w:ilvl w:val="0"/>
          <w:numId w:val="12"/>
        </w:numPr>
        <w:tabs>
          <w:tab w:pos="409" w:val="left" w:leader="none"/>
        </w:tabs>
        <w:spacing w:line="129" w:lineRule="exact" w:before="0" w:after="0"/>
        <w:ind w:left="408" w:right="0" w:hanging="240"/>
        <w:jc w:val="left"/>
        <w:rPr>
          <w:sz w:val="12"/>
        </w:rPr>
      </w:pPr>
      <w:r>
        <w:rPr>
          <w:color w:val="231F20"/>
          <w:sz w:val="12"/>
        </w:rPr>
        <w:t>Excluding the alignment adjustment.</w:t>
      </w:r>
    </w:p>
    <w:p>
      <w:pPr>
        <w:pStyle w:val="Heading3"/>
        <w:numPr>
          <w:ilvl w:val="1"/>
          <w:numId w:val="13"/>
        </w:numPr>
        <w:tabs>
          <w:tab w:pos="3310" w:val="left" w:leader="none"/>
          <w:tab w:pos="3311" w:val="left" w:leader="none"/>
        </w:tabs>
        <w:spacing w:line="240" w:lineRule="auto" w:before="221" w:after="0"/>
        <w:ind w:left="3310" w:right="0" w:hanging="3143"/>
        <w:jc w:val="left"/>
        <w:rPr>
          <w:color w:val="009483"/>
        </w:rPr>
      </w:pPr>
      <w:r>
        <w:rPr>
          <w:color w:val="009483"/>
        </w:rPr>
        <w:br w:type="column"/>
        <w:t>Domestic demand</w:t>
      </w:r>
    </w:p>
    <w:p>
      <w:pPr>
        <w:pStyle w:val="BodyText"/>
        <w:spacing w:line="40" w:lineRule="exact"/>
        <w:ind w:left="15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pStyle w:val="Heading5"/>
        <w:spacing w:line="242" w:lineRule="auto" w:before="235"/>
        <w:ind w:left="168" w:right="160"/>
      </w:pPr>
      <w:r>
        <w:rPr>
          <w:color w:val="231F20"/>
        </w:rPr>
        <w:t>Domestic demand increased at an annualised rate of 4.4% in the first half of the year, compared with 3.7% in the second half of 1996. Though the output measure of GDP is regarded as the most accurate measure of the strength of activity and an estimate is available for</w:t>
      </w:r>
    </w:p>
    <w:p>
      <w:pPr>
        <w:spacing w:line="242" w:lineRule="auto" w:before="7"/>
        <w:ind w:left="168" w:right="179" w:firstLine="0"/>
        <w:jc w:val="left"/>
        <w:rPr>
          <w:sz w:val="24"/>
        </w:rPr>
      </w:pPr>
      <w:r>
        <w:rPr>
          <w:color w:val="231F20"/>
          <w:sz w:val="24"/>
        </w:rPr>
        <w:t>1997 Q3, data for the expenditure components of GDP are only available to 1997 Q2 (see Table 3.A). As </w:t>
      </w:r>
      <w:hyperlink w:history="true" w:anchor="_bookmark3">
        <w:r>
          <w:rPr>
            <w:color w:val="231F20"/>
            <w:sz w:val="24"/>
          </w:rPr>
          <w:t>Section 2</w:t>
        </w:r>
      </w:hyperlink>
      <w:r>
        <w:rPr>
          <w:color w:val="231F20"/>
          <w:sz w:val="24"/>
        </w:rPr>
        <w:t> notes, real money balances have been growing strongly. This strength may well be reflected in current and prospective consumption and investment decisions. On the other hand, the unwinding of the initial impact of windfall spending, the tight fiscal stance and the effects of past monetary policy tightening should slow future domestic demand growth.</w:t>
      </w:r>
    </w:p>
    <w:p>
      <w:pPr>
        <w:pStyle w:val="BodyText"/>
        <w:spacing w:before="3"/>
        <w:rPr>
          <w:sz w:val="25"/>
        </w:rPr>
      </w:pPr>
    </w:p>
    <w:p>
      <w:pPr>
        <w:pStyle w:val="Heading6"/>
        <w:ind w:left="168"/>
        <w:rPr>
          <w:i/>
        </w:rPr>
      </w:pPr>
      <w:r>
        <w:rPr>
          <w:i/>
          <w:color w:val="009483"/>
        </w:rPr>
        <w:t>Consumption</w:t>
      </w:r>
    </w:p>
    <w:p>
      <w:pPr>
        <w:spacing w:line="242" w:lineRule="auto" w:before="205"/>
        <w:ind w:left="168" w:right="179" w:firstLine="0"/>
        <w:jc w:val="left"/>
        <w:rPr>
          <w:sz w:val="24"/>
        </w:rPr>
      </w:pPr>
      <w:r>
        <w:rPr>
          <w:color w:val="231F20"/>
          <w:sz w:val="24"/>
        </w:rPr>
        <w:t>Consumers’ expenditure continued to grow very rapidly in the second quarter of 1997, rising by 1.5%, its highest quarterly rise since 1988. Durables consumption was particularly strong, up by 6.8% in the quarter and by 11.4% on the same quarter a year ago. Durables consumption is generally more volatile than</w:t>
      </w:r>
    </w:p>
    <w:p>
      <w:pPr>
        <w:spacing w:line="242" w:lineRule="auto" w:before="8"/>
        <w:ind w:left="168" w:right="690" w:firstLine="0"/>
        <w:jc w:val="left"/>
        <w:rPr>
          <w:sz w:val="24"/>
        </w:rPr>
      </w:pPr>
      <w:r>
        <w:rPr>
          <w:color w:val="231F20"/>
          <w:sz w:val="24"/>
        </w:rPr>
        <w:t>non-durables spending, and has a more pronounced pro-cyclical pattern. But even allowing for cyclical</w:t>
      </w:r>
    </w:p>
    <w:p>
      <w:pPr>
        <w:spacing w:after="0" w:line="242" w:lineRule="auto"/>
        <w:jc w:val="left"/>
        <w:rPr>
          <w:sz w:val="24"/>
        </w:rPr>
        <w:sectPr>
          <w:type w:val="continuous"/>
          <w:pgSz w:w="11900" w:h="16840"/>
          <w:pgMar w:top="1040" w:bottom="280" w:left="640" w:right="660"/>
          <w:cols w:num="2" w:equalWidth="0">
            <w:col w:w="4415" w:space="385"/>
            <w:col w:w="5800"/>
          </w:cols>
        </w:sectPr>
      </w:pPr>
    </w:p>
    <w:p>
      <w:pPr>
        <w:pStyle w:val="BodyText"/>
        <w:rPr>
          <w:sz w:val="20"/>
        </w:rPr>
      </w:pPr>
    </w:p>
    <w:p>
      <w:pPr>
        <w:spacing w:after="0"/>
        <w:rPr>
          <w:sz w:val="20"/>
        </w:rPr>
        <w:sectPr>
          <w:headerReference w:type="default" r:id="rId45"/>
          <w:headerReference w:type="even" r:id="rId46"/>
          <w:footerReference w:type="default" r:id="rId47"/>
          <w:footerReference w:type="even" r:id="rId48"/>
          <w:pgSz w:w="11900" w:h="16840"/>
          <w:pgMar w:header="586" w:footer="617" w:top="780" w:bottom="800" w:left="640" w:right="660"/>
          <w:pgNumType w:start="19"/>
        </w:sectPr>
      </w:pPr>
    </w:p>
    <w:p>
      <w:pPr>
        <w:pStyle w:val="BodyText"/>
        <w:spacing w:before="6"/>
        <w:rPr>
          <w:sz w:val="20"/>
        </w:rPr>
      </w:pPr>
    </w:p>
    <w:p>
      <w:pPr>
        <w:pStyle w:val="Heading9"/>
        <w:spacing w:before="0"/>
        <w:ind w:left="164"/>
      </w:pPr>
      <w:r>
        <w:rPr>
          <w:color w:val="0093C1"/>
        </w:rPr>
        <w:t>Chart 3.2</w:t>
      </w:r>
    </w:p>
    <w:p>
      <w:pPr>
        <w:spacing w:before="10"/>
        <w:ind w:left="164" w:right="0" w:firstLine="0"/>
        <w:jc w:val="left"/>
        <w:rPr>
          <w:b/>
          <w:sz w:val="20"/>
        </w:rPr>
      </w:pPr>
      <w:r>
        <w:rPr>
          <w:b/>
          <w:color w:val="0093C1"/>
          <w:sz w:val="20"/>
        </w:rPr>
        <w:t>Relative durables consumption</w:t>
      </w:r>
    </w:p>
    <w:p>
      <w:pPr>
        <w:pStyle w:val="BodyText"/>
        <w:spacing w:before="1" w:after="39"/>
        <w:rPr>
          <w:b/>
          <w:sz w:val="15"/>
        </w:rPr>
      </w:pPr>
    </w:p>
    <w:p>
      <w:pPr>
        <w:pStyle w:val="BodyText"/>
        <w:spacing w:line="20" w:lineRule="exact"/>
        <w:ind w:left="15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rPr>
          <w:b/>
          <w:sz w:val="27"/>
        </w:rPr>
      </w:pPr>
      <w:r>
        <w:rPr/>
        <w:pict>
          <v:shape style="position:absolute;margin-left:40.220001pt;margin-top:17.750977pt;width:5pt;height:.1pt;mso-position-horizontal-relative:page;mso-position-vertical-relative:paragraph;z-index:-15597056;mso-wrap-distance-left:0;mso-wrap-distance-right:0" coordorigin="804,355" coordsize="100,0" path="m904,355l804,355e" filled="false" stroked="true" strokeweight=".5pt" strokecolor="#000000">
            <v:path arrowok="t"/>
            <v:stroke dashstyle="solid"/>
            <w10:wrap type="topAndBottom"/>
          </v:shape>
        </w:pict>
      </w:r>
    </w:p>
    <w:p>
      <w:pPr>
        <w:pStyle w:val="BodyText"/>
        <w:rPr>
          <w:b/>
          <w:sz w:val="20"/>
        </w:rPr>
      </w:pPr>
    </w:p>
    <w:p>
      <w:pPr>
        <w:pStyle w:val="BodyText"/>
        <w:spacing w:before="4"/>
        <w:rPr>
          <w:b/>
          <w:sz w:val="25"/>
        </w:rPr>
      </w:pPr>
      <w:r>
        <w:rPr/>
        <w:pict>
          <v:shape style="position:absolute;margin-left:40.220001pt;margin-top:16.800976pt;width:5pt;height:.1pt;mso-position-horizontal-relative:page;mso-position-vertical-relative:paragraph;z-index:-15596544;mso-wrap-distance-left:0;mso-wrap-distance-right:0" coordorigin="804,336" coordsize="100,0" path="m904,336l804,336e" filled="false" stroked="true" strokeweight=".5pt" strokecolor="#000000">
            <v:path arrowok="t"/>
            <v:stroke dashstyle="solid"/>
            <w10:wrap type="topAndBottom"/>
          </v:shape>
        </w:pict>
      </w:r>
    </w:p>
    <w:p>
      <w:pPr>
        <w:pStyle w:val="BodyText"/>
        <w:rPr>
          <w:b/>
          <w:sz w:val="20"/>
        </w:rPr>
      </w:pPr>
    </w:p>
    <w:p>
      <w:pPr>
        <w:pStyle w:val="BodyText"/>
        <w:spacing w:before="4"/>
        <w:rPr>
          <w:b/>
          <w:sz w:val="25"/>
        </w:rPr>
      </w:pPr>
      <w:r>
        <w:rPr/>
        <w:pict>
          <v:shape style="position:absolute;margin-left:40.220001pt;margin-top:16.800976pt;width:5pt;height:.1pt;mso-position-horizontal-relative:page;mso-position-vertical-relative:paragraph;z-index:-15596032;mso-wrap-distance-left:0;mso-wrap-distance-right:0" coordorigin="804,336" coordsize="100,0" path="m904,336l804,336e" filled="false" stroked="true" strokeweight=".5pt" strokecolor="#000000">
            <v:path arrowok="t"/>
            <v:stroke dashstyle="solid"/>
            <w10:wrap type="topAndBottom"/>
          </v:shape>
        </w:pict>
      </w:r>
    </w:p>
    <w:p>
      <w:pPr>
        <w:pStyle w:val="BodyText"/>
        <w:rPr>
          <w:b/>
        </w:rPr>
      </w:pPr>
      <w:r>
        <w:rPr/>
        <w:br w:type="column"/>
      </w:r>
      <w:r>
        <w:rPr>
          <w:b/>
        </w:rPr>
      </w:r>
    </w:p>
    <w:p>
      <w:pPr>
        <w:pStyle w:val="BodyText"/>
        <w:rPr>
          <w:b/>
        </w:rPr>
      </w:pPr>
    </w:p>
    <w:p>
      <w:pPr>
        <w:pStyle w:val="BodyText"/>
        <w:rPr>
          <w:b/>
        </w:rPr>
      </w:pPr>
    </w:p>
    <w:p>
      <w:pPr>
        <w:spacing w:before="140"/>
        <w:ind w:left="164" w:right="0" w:firstLine="0"/>
        <w:jc w:val="left"/>
        <w:rPr>
          <w:sz w:val="12"/>
        </w:rPr>
      </w:pPr>
      <w:r>
        <w:rPr>
          <w:sz w:val="12"/>
        </w:rPr>
        <w:t>Ratio </w:t>
      </w:r>
      <w:r>
        <w:rPr>
          <w:spacing w:val="24"/>
          <w:sz w:val="12"/>
        </w:rPr>
        <w:t> </w:t>
      </w:r>
      <w:r>
        <w:rPr>
          <w:position w:val="-5"/>
          <w:sz w:val="12"/>
        </w:rPr>
        <w:t>1.10</w:t>
      </w:r>
    </w:p>
    <w:p>
      <w:pPr>
        <w:pStyle w:val="BodyText"/>
      </w:pPr>
    </w:p>
    <w:p>
      <w:pPr>
        <w:pStyle w:val="BodyText"/>
        <w:spacing w:before="2"/>
        <w:rPr>
          <w:sz w:val="22"/>
        </w:rPr>
      </w:pPr>
    </w:p>
    <w:p>
      <w:pPr>
        <w:spacing w:before="0"/>
        <w:ind w:left="0" w:right="38" w:firstLine="0"/>
        <w:jc w:val="right"/>
        <w:rPr>
          <w:sz w:val="12"/>
        </w:rPr>
      </w:pPr>
      <w:r>
        <w:rPr/>
        <w:pict>
          <v:group style="position:absolute;margin-left:49.720001pt;margin-top:-20.398438pt;width:152pt;height:131pt;mso-position-horizontal-relative:page;mso-position-vertical-relative:paragraph;z-index:15868416" coordorigin="994,-408" coordsize="3040,2620">
            <v:shape style="position:absolute;left:1004;top:-398;width:3020;height:2600" coordorigin="1004,-398" coordsize="3020,2600" path="m1004,-398l1104,-158,1204,362,1324,902,1424,842,1524,1742,1624,1482,1724,2182,1844,2202,1944,1982,2044,1742,2144,1702,2244,1762,2364,1662,2464,1162,2564,1062,2664,902,2764,982,2864,1042,2984,982m2984,982l3084,802,3184,902,3284,502,3384,742,3504,742,3604,482,3704,562,3804,342,3904,402,4024,-278e" filled="false" stroked="true" strokeweight="1pt" strokecolor="#952e40">
              <v:path arrowok="t"/>
              <v:stroke dashstyle="solid"/>
            </v:shape>
            <v:shape style="position:absolute;left:994;top:-408;width:3040;height:262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20" w:lineRule="auto" w:before="105"/>
                      <w:ind w:left="373" w:right="1134" w:hanging="94"/>
                      <w:jc w:val="left"/>
                      <w:rPr>
                        <w:sz w:val="12"/>
                      </w:rPr>
                    </w:pPr>
                    <w:r>
                      <w:rPr>
                        <w:sz w:val="12"/>
                      </w:rPr>
                      <w:t>Ratio of durables to non-durables consumption (a)</w:t>
                    </w:r>
                  </w:p>
                </w:txbxContent>
              </v:textbox>
              <w10:wrap type="none"/>
            </v:shape>
            <w10:wrap type="none"/>
          </v:group>
        </w:pict>
      </w:r>
      <w:r>
        <w:rPr/>
        <w:pict>
          <v:line style="position:absolute;mso-position-horizontal-relative:page;mso-position-vertical-relative:paragraph;z-index:15869952" from="210.220001pt,5.101563pt" to="206.220001pt,5.101563pt" stroked="true" strokeweight=".5pt" strokecolor="#000000">
            <v:stroke dashstyle="solid"/>
            <w10:wrap type="none"/>
          </v:line>
        </w:pict>
      </w:r>
      <w:r>
        <w:rPr/>
        <w:pict>
          <v:line style="position:absolute;mso-position-horizontal-relative:page;mso-position-vertical-relative:paragraph;z-index:15870464" from="210.220001pt,-24.898438pt" to="206.220001pt,-24.898438pt" stroked="true" strokeweight=".5pt" strokecolor="#000000">
            <v:stroke dashstyle="solid"/>
            <w10:wrap type="none"/>
          </v:line>
        </w:pict>
      </w:r>
      <w:r>
        <w:rPr>
          <w:sz w:val="12"/>
        </w:rPr>
        <w:t>1.05</w:t>
      </w:r>
    </w:p>
    <w:p>
      <w:pPr>
        <w:pStyle w:val="BodyText"/>
        <w:rPr>
          <w:sz w:val="12"/>
        </w:rPr>
      </w:pPr>
    </w:p>
    <w:p>
      <w:pPr>
        <w:pStyle w:val="BodyText"/>
        <w:rPr>
          <w:sz w:val="12"/>
        </w:rPr>
      </w:pPr>
    </w:p>
    <w:p>
      <w:pPr>
        <w:pStyle w:val="BodyText"/>
        <w:spacing w:before="11"/>
        <w:rPr>
          <w:sz w:val="17"/>
        </w:rPr>
      </w:pPr>
    </w:p>
    <w:p>
      <w:pPr>
        <w:spacing w:before="0"/>
        <w:ind w:left="0" w:right="38" w:firstLine="0"/>
        <w:jc w:val="right"/>
        <w:rPr>
          <w:sz w:val="12"/>
        </w:rPr>
      </w:pPr>
      <w:r>
        <w:rPr/>
        <w:pict>
          <v:line style="position:absolute;mso-position-horizontal-relative:page;mso-position-vertical-relative:paragraph;z-index:15869440" from="210.220001pt,4.101563pt" to="206.220001pt,4.101563pt" stroked="true" strokeweight=".5pt" strokecolor="#000000">
            <v:stroke dashstyle="solid"/>
            <w10:wrap type="none"/>
          </v:line>
        </w:pict>
      </w:r>
      <w:r>
        <w:rPr>
          <w:sz w:val="12"/>
        </w:rPr>
        <w:t>1.00</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868928" from="210.220001pt,4.101563pt" to="206.220001pt,4.101563pt" stroked="true" strokeweight=".5pt" strokecolor="#000000">
            <v:stroke dashstyle="solid"/>
            <w10:wrap type="none"/>
          </v:line>
        </w:pict>
      </w:r>
      <w:r>
        <w:rPr>
          <w:sz w:val="12"/>
        </w:rPr>
        <w:t>0.95</w:t>
      </w:r>
    </w:p>
    <w:p>
      <w:pPr>
        <w:pStyle w:val="Heading5"/>
        <w:spacing w:line="242" w:lineRule="auto" w:before="217"/>
        <w:ind w:left="164" w:right="199"/>
      </w:pPr>
      <w:r>
        <w:rPr/>
        <w:br w:type="column"/>
      </w:r>
      <w:r>
        <w:rPr>
          <w:color w:val="231F20"/>
        </w:rPr>
        <w:t>effects and adjusting for its tendency to rise over time, durables spending relative to non-durables rose sharply in 1997 Q2 (see Chart 3.2).</w:t>
      </w:r>
    </w:p>
    <w:p>
      <w:pPr>
        <w:pStyle w:val="BodyText"/>
        <w:spacing w:before="2"/>
        <w:rPr>
          <w:sz w:val="28"/>
        </w:rPr>
      </w:pPr>
    </w:p>
    <w:p>
      <w:pPr>
        <w:spacing w:line="242" w:lineRule="auto" w:before="0"/>
        <w:ind w:left="164" w:right="199" w:firstLine="0"/>
        <w:jc w:val="left"/>
        <w:rPr>
          <w:sz w:val="24"/>
        </w:rPr>
      </w:pPr>
      <w:r>
        <w:rPr>
          <w:color w:val="231F20"/>
          <w:sz w:val="24"/>
        </w:rPr>
        <w:t>Some of this increase was probably spending from the proceeds of building society share sales. The Bank/M</w:t>
      </w:r>
      <w:r>
        <w:rPr>
          <w:color w:val="231F20"/>
          <w:sz w:val="20"/>
        </w:rPr>
        <w:t>ORI </w:t>
      </w:r>
      <w:r>
        <w:rPr>
          <w:color w:val="231F20"/>
          <w:sz w:val="24"/>
        </w:rPr>
        <w:t>survey conducted at the end of August suggested that spending out of windfall gains, particularly on large-ticket items, would be</w:t>
      </w:r>
      <w:r>
        <w:rPr>
          <w:color w:val="231F20"/>
          <w:spacing w:val="-25"/>
          <w:sz w:val="24"/>
        </w:rPr>
        <w:t> </w:t>
      </w:r>
      <w:r>
        <w:rPr>
          <w:color w:val="231F20"/>
          <w:sz w:val="24"/>
        </w:rPr>
        <w:t>concentrated </w:t>
      </w:r>
      <w:hyperlink w:history="true" w:anchor="_bookmark19">
        <w:r>
          <w:rPr>
            <w:color w:val="231F20"/>
            <w:sz w:val="24"/>
          </w:rPr>
          <w:t>in 1997 (see the box</w:t>
        </w:r>
      </w:hyperlink>
      <w:r>
        <w:rPr>
          <w:color w:val="231F20"/>
          <w:sz w:val="24"/>
        </w:rPr>
        <w:t> on page</w:t>
      </w:r>
      <w:r>
        <w:rPr>
          <w:color w:val="231F20"/>
          <w:spacing w:val="-1"/>
          <w:sz w:val="24"/>
        </w:rPr>
        <w:t> </w:t>
      </w:r>
      <w:r>
        <w:rPr>
          <w:color w:val="231F20"/>
          <w:sz w:val="24"/>
        </w:rPr>
        <w:t>20).</w:t>
      </w:r>
    </w:p>
    <w:p>
      <w:pPr>
        <w:spacing w:after="0" w:line="242" w:lineRule="auto"/>
        <w:jc w:val="left"/>
        <w:rPr>
          <w:sz w:val="24"/>
        </w:rPr>
        <w:sectPr>
          <w:type w:val="continuous"/>
          <w:pgSz w:w="11900" w:h="16840"/>
          <w:pgMar w:top="1040" w:bottom="280" w:left="640" w:right="660"/>
          <w:cols w:num="3" w:equalWidth="0">
            <w:col w:w="2850" w:space="296"/>
            <w:col w:w="760" w:space="904"/>
            <w:col w:w="5790"/>
          </w:cols>
        </w:sectPr>
      </w:pPr>
    </w:p>
    <w:p>
      <w:pPr>
        <w:pStyle w:val="BodyText"/>
        <w:spacing w:before="4"/>
        <w:rPr>
          <w:sz w:val="23"/>
        </w:rPr>
      </w:pPr>
    </w:p>
    <w:p>
      <w:pPr>
        <w:tabs>
          <w:tab w:pos="3479" w:val="left" w:leader="none"/>
        </w:tabs>
        <w:spacing w:line="20" w:lineRule="exact"/>
        <w:ind w:left="159"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5"/>
        <w:rPr>
          <w:sz w:val="23"/>
        </w:rPr>
      </w:pPr>
    </w:p>
    <w:p>
      <w:pPr>
        <w:spacing w:line="90" w:lineRule="exact"/>
        <w:ind w:left="159" w:right="-72" w:firstLine="0"/>
        <w:rPr>
          <w:sz w:val="2"/>
        </w:rPr>
      </w:pPr>
      <w:r>
        <w:rPr>
          <w:position w:val="-1"/>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position w:val="-1"/>
          <w:sz w:val="2"/>
        </w:rPr>
      </w:r>
      <w:r>
        <w:rPr>
          <w:spacing w:val="47"/>
          <w:position w:val="-1"/>
          <w:sz w:val="9"/>
        </w:rPr>
        <w:t> </w:t>
      </w:r>
      <w:r>
        <w:rPr>
          <w:spacing w:val="47"/>
          <w:position w:val="-1"/>
          <w:sz w:val="9"/>
        </w:rPr>
        <w:pict>
          <v:group style="width:150.5pt;height:4.25pt;mso-position-horizontal-relative:char;mso-position-vertical-relative:line" coordorigin="0,0" coordsize="3010,85">
            <v:shape style="position:absolute;left:5;top:0;width:3000;height:80" coordorigin="5,0" coordsize="3000,80" path="m5,80l3005,80m5,80l5,40m105,80l105,40m205,80l205,40m325,80l325,40m425,80l425,40m525,80l525,40m625,80l625,40m725,80l725,40m825,80l825,40m945,80l945,40m1045,80l1045,40m1145,80l1145,40m1245,80l1245,40m1345,80l1345,40m1465,80l1465,40m1565,80l1565,40m1665,80l1665,40m1765,80l1765,40m1865,80l1865,40m1965,80l1965,40m2085,80l2085,40m2185,80l2185,40m2285,80l2285,40m2385,80l2385,40m2485,80l2485,40m2605,80l2605,40m2705,80l2705,40m2805,80l2805,40m2905,80l2905,40m3005,80l3005,40m5,80l5,0m425,80l425,0m825,80l825,0m1245,80l1245,0m1665,80l1665,0m2085,80l2085,0m2485,80l2485,0m2905,80l2905,0e" filled="false" stroked="true" strokeweight=".5pt" strokecolor="#000000">
              <v:path arrowok="t"/>
              <v:stroke dashstyle="solid"/>
            </v:shape>
          </v:group>
        </w:pict>
      </w:r>
      <w:r>
        <w:rPr>
          <w:spacing w:val="47"/>
          <w:position w:val="-1"/>
          <w:sz w:val="9"/>
        </w:rPr>
      </w:r>
      <w:r>
        <w:rPr>
          <w:spacing w:val="92"/>
          <w:position w:val="-1"/>
          <w:sz w:val="2"/>
        </w:rPr>
        <w:t> </w:t>
      </w:r>
      <w:r>
        <w:rPr>
          <w:spacing w:val="92"/>
          <w:position w:val="-1"/>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pacing w:val="92"/>
          <w:position w:val="-1"/>
          <w:sz w:val="2"/>
        </w:rPr>
      </w:r>
    </w:p>
    <w:p>
      <w:pPr>
        <w:tabs>
          <w:tab w:pos="894" w:val="left" w:leader="none"/>
          <w:tab w:pos="1314" w:val="left" w:leader="none"/>
          <w:tab w:pos="1734" w:val="left" w:leader="none"/>
          <w:tab w:pos="2154" w:val="left" w:leader="none"/>
          <w:tab w:pos="2554" w:val="left" w:leader="none"/>
          <w:tab w:pos="2974" w:val="left" w:leader="none"/>
        </w:tabs>
        <w:spacing w:before="53"/>
        <w:ind w:left="434" w:right="0" w:firstLine="0"/>
        <w:jc w:val="left"/>
        <w:rPr>
          <w:sz w:val="12"/>
        </w:rPr>
      </w:pPr>
      <w:r>
        <w:rPr>
          <w:sz w:val="12"/>
        </w:rPr>
        <w:t>1990</w:t>
        <w:tab/>
        <w:t>91</w:t>
        <w:tab/>
        <w:t>92</w:t>
        <w:tab/>
        <w:t>93</w:t>
        <w:tab/>
        <w:t>94</w:t>
        <w:tab/>
        <w:t>95</w:t>
        <w:tab/>
        <w:t>96</w:t>
      </w:r>
      <w:r>
        <w:rPr>
          <w:spacing w:val="20"/>
          <w:sz w:val="12"/>
        </w:rPr>
        <w:t> </w:t>
      </w:r>
      <w:r>
        <w:rPr>
          <w:sz w:val="12"/>
        </w:rPr>
        <w:t>97</w:t>
      </w:r>
    </w:p>
    <w:p>
      <w:pPr>
        <w:spacing w:before="55"/>
        <w:ind w:left="164" w:right="0" w:firstLine="0"/>
        <w:jc w:val="left"/>
        <w:rPr>
          <w:sz w:val="12"/>
        </w:rPr>
      </w:pPr>
      <w:r>
        <w:rPr>
          <w:color w:val="231F20"/>
          <w:sz w:val="12"/>
        </w:rPr>
        <w:t>(a) Detrended using Hodrick-Prescott filter.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9"/>
        <w:spacing w:before="74"/>
        <w:ind w:left="164"/>
      </w:pPr>
      <w:r>
        <w:rPr>
          <w:color w:val="0093C1"/>
        </w:rPr>
        <w:t>Chart 3.3</w:t>
      </w:r>
    </w:p>
    <w:p>
      <w:pPr>
        <w:spacing w:before="10"/>
        <w:ind w:left="164" w:right="0" w:firstLine="0"/>
        <w:jc w:val="left"/>
        <w:rPr>
          <w:b/>
          <w:sz w:val="20"/>
        </w:rPr>
      </w:pPr>
      <w:r>
        <w:rPr>
          <w:b/>
          <w:color w:val="0093C1"/>
          <w:sz w:val="20"/>
        </w:rPr>
        <w:t>Consumer confidence indicators</w:t>
      </w:r>
    </w:p>
    <w:p>
      <w:pPr>
        <w:spacing w:before="56"/>
        <w:ind w:left="0" w:right="0" w:firstLine="0"/>
        <w:jc w:val="right"/>
        <w:rPr>
          <w:sz w:val="12"/>
        </w:rPr>
      </w:pPr>
      <w:r>
        <w:rPr>
          <w:sz w:val="12"/>
        </w:rPr>
        <w:t>Net balance</w:t>
      </w:r>
    </w:p>
    <w:p>
      <w:pPr>
        <w:pStyle w:val="BodyText"/>
        <w:spacing w:before="4"/>
        <w:rPr>
          <w:sz w:val="3"/>
        </w:rPr>
      </w:pPr>
    </w:p>
    <w:p>
      <w:pPr>
        <w:tabs>
          <w:tab w:pos="3429" w:val="left" w:leader="none"/>
        </w:tabs>
        <w:spacing w:line="20" w:lineRule="exact"/>
        <w:ind w:left="149" w:right="-44"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39.720001pt;margin-top:12.778623pt;width:5pt;height:.1pt;mso-position-horizontal-relative:page;mso-position-vertical-relative:paragraph;z-index:-15591936;mso-wrap-distance-left:0;mso-wrap-distance-right:0" coordorigin="794,256" coordsize="100,0" path="m894,256l794,25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39.720001pt;margin-top:11.800977pt;width:5pt;height:.1pt;mso-position-horizontal-relative:page;mso-position-vertical-relative:paragraph;z-index:-15591424;mso-wrap-distance-left:0;mso-wrap-distance-right:0" coordorigin="794,236" coordsize="100,0" path="m894,236l794,236e" filled="false" stroked="true" strokeweight=".5pt" strokecolor="#000000">
            <v:path arrowok="t"/>
            <v:stroke dashstyle="solid"/>
            <w10:wrap type="topAndBottom"/>
          </v:shape>
        </w:pict>
      </w:r>
    </w:p>
    <w:p>
      <w:pPr>
        <w:pStyle w:val="BodyText"/>
        <w:spacing w:before="8"/>
        <w:rPr>
          <w:sz w:val="16"/>
        </w:rPr>
      </w:pPr>
      <w:r>
        <w:rPr/>
        <w:br w:type="column"/>
      </w:r>
      <w:r>
        <w:rPr>
          <w:sz w:val="16"/>
        </w:rPr>
      </w:r>
    </w:p>
    <w:p>
      <w:pPr>
        <w:spacing w:before="0"/>
        <w:ind w:left="50" w:right="0" w:firstLine="0"/>
        <w:jc w:val="left"/>
        <w:rPr>
          <w:sz w:val="12"/>
        </w:rPr>
      </w:pPr>
      <w:r>
        <w:rPr>
          <w:sz w:val="12"/>
        </w:rPr>
        <w:t>0.90</w:t>
      </w:r>
    </w:p>
    <w:p>
      <w:pPr>
        <w:pStyle w:val="BodyText"/>
        <w:rPr>
          <w:sz w:val="12"/>
        </w:rPr>
      </w:pPr>
    </w:p>
    <w:p>
      <w:pPr>
        <w:pStyle w:val="BodyText"/>
        <w:rPr>
          <w:sz w:val="12"/>
        </w:rPr>
      </w:pPr>
    </w:p>
    <w:p>
      <w:pPr>
        <w:pStyle w:val="BodyText"/>
        <w:spacing w:before="2"/>
        <w:rPr>
          <w:sz w:val="16"/>
        </w:rPr>
      </w:pPr>
    </w:p>
    <w:p>
      <w:pPr>
        <w:spacing w:before="0"/>
        <w:ind w:left="50" w:right="0" w:firstLine="0"/>
        <w:jc w:val="left"/>
        <w:rPr>
          <w:sz w:val="12"/>
        </w:rPr>
      </w:pPr>
      <w:r>
        <w:rPr>
          <w:sz w:val="12"/>
        </w:rPr>
        <w:t>0.85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7"/>
        <w:ind w:left="-20" w:right="0" w:firstLine="0"/>
        <w:jc w:val="left"/>
        <w:rPr>
          <w:sz w:val="12"/>
        </w:rPr>
      </w:pPr>
      <w:r>
        <w:rPr>
          <w:sz w:val="12"/>
        </w:rPr>
        <w:t>30</w:t>
      </w:r>
    </w:p>
    <w:p>
      <w:pPr>
        <w:pStyle w:val="BodyText"/>
        <w:rPr>
          <w:sz w:val="12"/>
        </w:rPr>
      </w:pPr>
    </w:p>
    <w:p>
      <w:pPr>
        <w:pStyle w:val="BodyText"/>
        <w:rPr>
          <w:sz w:val="12"/>
        </w:rPr>
      </w:pPr>
    </w:p>
    <w:p>
      <w:pPr>
        <w:spacing w:before="86"/>
        <w:ind w:left="-20" w:right="0" w:firstLine="0"/>
        <w:jc w:val="left"/>
        <w:rPr>
          <w:sz w:val="12"/>
        </w:rPr>
      </w:pPr>
      <w:r>
        <w:rPr>
          <w:sz w:val="12"/>
        </w:rPr>
        <w:t>20</w:t>
      </w:r>
    </w:p>
    <w:p>
      <w:pPr>
        <w:pStyle w:val="BodyText"/>
        <w:rPr>
          <w:sz w:val="12"/>
        </w:rPr>
      </w:pPr>
    </w:p>
    <w:p>
      <w:pPr>
        <w:pStyle w:val="BodyText"/>
        <w:rPr>
          <w:sz w:val="12"/>
        </w:rPr>
      </w:pPr>
    </w:p>
    <w:p>
      <w:pPr>
        <w:spacing w:line="76" w:lineRule="exact" w:before="86"/>
        <w:ind w:left="-20" w:right="0" w:firstLine="0"/>
        <w:jc w:val="left"/>
        <w:rPr>
          <w:sz w:val="12"/>
        </w:rPr>
      </w:pPr>
      <w:r>
        <w:rPr/>
        <w:pict>
          <v:group style="position:absolute;margin-left:49.220001pt;margin-top:-37.598446pt;width:159.5pt;height:121pt;mso-position-horizontal-relative:page;mso-position-vertical-relative:paragraph;z-index:15871488" coordorigin="984,-752" coordsize="3190,2420">
            <v:line style="position:absolute" from="994,658" to="3994,658" stroked="true" strokeweight=".5pt" strokecolor="#000000">
              <v:stroke dashstyle="solid"/>
            </v:line>
            <v:shape style="position:absolute;left:994;top:-742;width:2900;height:2400" coordorigin="994,-742" coordsize="2900,2400" path="m994,1218l1094,1658,1194,1498,1314,1618,1414,1458,1534,1558,1634,1458,1734,1218,1854,1558,1954,1498,2054,958,2174,1158,2274,798,2374,1098,2494,558,2594,698,2714,698,2814,658,2914,1098,3034,658m3034,658l3134,558,3234,598,3354,-2,3454,-742,3574,-302,3674,158,3774,758,3894,-202e" filled="false" stroked="true" strokeweight="1pt" strokecolor="#95459a">
              <v:path arrowok="t"/>
              <v:stroke dashstyle="solid"/>
            </v:shape>
            <v:shape style="position:absolute;left:994;top:-322;width:3000;height:1460" coordorigin="994,-322" coordsize="3000,1460" path="m994,1058l1094,998,1194,918,1314,998,1414,1018,1534,1098,1634,1098,1734,898,1854,1138,1954,1118,2054,898,2174,878,2274,938,2374,718,2494,678,2594,538,2714,598,2814,618,2914,878,3034,458m3034,458l3134,598,3234,538,3354,658,3454,-282,3574,-322,3674,118,3774,158,3894,-42,3994,118e" filled="false" stroked="true" strokeweight="1pt" strokecolor="#edc5dd">
              <v:path arrowok="t"/>
              <v:stroke dashstyle="solid"/>
            </v:shape>
            <v:shape style="position:absolute;left:4074;top:-342;width:100;height:2000" coordorigin="4074,-342" coordsize="100,2000" path="m4174,1158l4074,1158m4174,1658l4074,1658m4174,658l4074,658m4174,158l4074,158m4174,-342l4074,-342e" filled="false" stroked="true" strokeweight=".5pt" strokecolor="#000000">
              <v:path arrowok="t"/>
              <v:stroke dashstyle="solid"/>
            </v:shape>
            <v:shape style="position:absolute;left:1264;top:801;width:424;height:133" type="#_x0000_t202" filled="false" stroked="false">
              <v:textbox inset="0,0,0,0">
                <w:txbxContent>
                  <w:p>
                    <w:pPr>
                      <w:spacing w:line="133" w:lineRule="exact" w:before="0"/>
                      <w:ind w:left="0" w:right="0" w:firstLine="0"/>
                      <w:jc w:val="left"/>
                      <w:rPr>
                        <w:sz w:val="12"/>
                      </w:rPr>
                    </w:pPr>
                    <w:r>
                      <w:rPr>
                        <w:sz w:val="12"/>
                      </w:rPr>
                      <w:t>GFK (a)</w:t>
                    </w:r>
                  </w:p>
                </w:txbxContent>
              </v:textbox>
              <w10:wrap type="none"/>
            </v:shape>
            <w10:wrap type="none"/>
          </v:group>
        </w:pict>
      </w:r>
      <w:r>
        <w:rPr>
          <w:sz w:val="12"/>
        </w:rPr>
        <w:t>10</w:t>
      </w:r>
    </w:p>
    <w:p>
      <w:pPr>
        <w:pStyle w:val="BodyText"/>
        <w:spacing w:before="6"/>
        <w:rPr>
          <w:sz w:val="28"/>
        </w:rPr>
      </w:pPr>
      <w:r>
        <w:rPr/>
        <w:br w:type="column"/>
      </w:r>
      <w:r>
        <w:rPr>
          <w:sz w:val="28"/>
        </w:rPr>
      </w:r>
    </w:p>
    <w:p>
      <w:pPr>
        <w:pStyle w:val="Heading5"/>
        <w:spacing w:line="242" w:lineRule="auto"/>
        <w:ind w:left="164" w:right="28"/>
      </w:pPr>
      <w:r>
        <w:rPr>
          <w:color w:val="231F20"/>
        </w:rPr>
        <w:t>Other data support the Bank/M</w:t>
      </w:r>
      <w:r>
        <w:rPr>
          <w:color w:val="231F20"/>
          <w:sz w:val="20"/>
        </w:rPr>
        <w:t>ORI </w:t>
      </w:r>
      <w:r>
        <w:rPr>
          <w:color w:val="231F20"/>
        </w:rPr>
        <w:t>results. Motor registration data, together with the CBI Distributive Trades Survey, suggested strong motor vehicle sales between August and October. Spending on vehicles comprises about one half of total durables expenditure. And the balance of respondents to the GFK Survey in August expecting to make a major purchase in the next twelve months was the highest since the survey began in June 1995, but fell back sharply in September and October, consistent with the concentration of windfall spending in 1997.</w:t>
      </w:r>
    </w:p>
    <w:p>
      <w:pPr>
        <w:pStyle w:val="BodyText"/>
        <w:spacing w:before="4"/>
        <w:rPr>
          <w:sz w:val="27"/>
        </w:rPr>
      </w:pPr>
    </w:p>
    <w:p>
      <w:pPr>
        <w:spacing w:line="242" w:lineRule="auto" w:before="0"/>
        <w:ind w:left="164" w:right="207" w:firstLine="0"/>
        <w:jc w:val="left"/>
        <w:rPr>
          <w:sz w:val="24"/>
        </w:rPr>
      </w:pPr>
      <w:r>
        <w:rPr>
          <w:color w:val="231F20"/>
          <w:sz w:val="24"/>
        </w:rPr>
        <w:t>Total consumption also seems to have remained strong in the second half of the year. Retail sales, particularly by household goods retailers, continued to grow quickly in the three months to August. Sales in September fell sharply, but ONS estimates suggest that most of this fall</w:t>
      </w:r>
    </w:p>
    <w:p>
      <w:pPr>
        <w:spacing w:after="0" w:line="242" w:lineRule="auto"/>
        <w:jc w:val="left"/>
        <w:rPr>
          <w:sz w:val="24"/>
        </w:rPr>
        <w:sectPr>
          <w:type w:val="continuous"/>
          <w:pgSz w:w="11900" w:h="16840"/>
          <w:pgMar w:top="1040" w:bottom="280" w:left="640" w:right="660"/>
          <w:cols w:num="3" w:equalWidth="0">
            <w:col w:w="3565" w:space="40"/>
            <w:col w:w="301" w:space="903"/>
            <w:col w:w="5791"/>
          </w:cols>
        </w:sectPr>
      </w:pPr>
    </w:p>
    <w:p>
      <w:pPr>
        <w:tabs>
          <w:tab w:pos="4974" w:val="left" w:leader="none"/>
        </w:tabs>
        <w:spacing w:line="236" w:lineRule="exact" w:before="0"/>
        <w:ind w:left="3531" w:right="0" w:firstLine="0"/>
        <w:jc w:val="left"/>
        <w:rPr>
          <w:sz w:val="24"/>
        </w:rPr>
      </w:pPr>
      <w:r>
        <w:rPr>
          <w:sz w:val="24"/>
          <w:vertAlign w:val="subscript"/>
        </w:rPr>
        <w:t>+</w:t>
      </w:r>
      <w:r>
        <w:rPr>
          <w:sz w:val="24"/>
          <w:vertAlign w:val="baseline"/>
        </w:rPr>
        <w:tab/>
      </w:r>
      <w:r>
        <w:rPr>
          <w:color w:val="231F20"/>
          <w:sz w:val="24"/>
          <w:vertAlign w:val="baseline"/>
        </w:rPr>
        <w:t>was caused by the closure of high-street shops</w:t>
      </w:r>
      <w:r>
        <w:rPr>
          <w:color w:val="231F20"/>
          <w:spacing w:val="-3"/>
          <w:sz w:val="24"/>
          <w:vertAlign w:val="baseline"/>
        </w:rPr>
        <w:t> </w:t>
      </w:r>
      <w:r>
        <w:rPr>
          <w:color w:val="231F20"/>
          <w:sz w:val="24"/>
          <w:vertAlign w:val="baseline"/>
        </w:rPr>
        <w:t>and</w:t>
      </w:r>
    </w:p>
    <w:p>
      <w:pPr>
        <w:tabs>
          <w:tab w:pos="4974" w:val="left" w:leader="none"/>
        </w:tabs>
        <w:spacing w:line="286" w:lineRule="exact" w:before="4"/>
        <w:ind w:left="3644" w:right="0" w:firstLine="0"/>
        <w:jc w:val="left"/>
        <w:rPr>
          <w:sz w:val="24"/>
        </w:rPr>
      </w:pPr>
      <w:r>
        <w:rPr/>
        <w:pict>
          <v:line style="position:absolute;mso-position-horizontal-relative:page;mso-position-vertical-relative:paragraph;z-index:15872000" from="44.720001pt,11.485117pt" to="39.720001pt,11.485117pt" stroked="true" strokeweight=".5pt" strokecolor="#000000">
            <v:stroke dashstyle="solid"/>
            <w10:wrap type="none"/>
          </v:line>
        </w:pict>
      </w:r>
      <w:r>
        <w:rPr>
          <w:position w:val="-3"/>
          <w:sz w:val="12"/>
        </w:rPr>
        <w:t>0</w:t>
        <w:tab/>
      </w:r>
      <w:r>
        <w:rPr>
          <w:color w:val="231F20"/>
          <w:sz w:val="24"/>
        </w:rPr>
        <w:t>generally subdued retail activity in the first week</w:t>
      </w:r>
      <w:r>
        <w:rPr>
          <w:color w:val="231F20"/>
          <w:spacing w:val="-6"/>
          <w:sz w:val="24"/>
        </w:rPr>
        <w:t> </w:t>
      </w:r>
      <w:r>
        <w:rPr>
          <w:color w:val="231F20"/>
          <w:sz w:val="24"/>
        </w:rPr>
        <w:t>of</w:t>
      </w:r>
    </w:p>
    <w:p>
      <w:pPr>
        <w:tabs>
          <w:tab w:pos="4974" w:val="left" w:leader="none"/>
        </w:tabs>
        <w:spacing w:line="272" w:lineRule="exact" w:before="0"/>
        <w:ind w:left="3536" w:right="0" w:firstLine="0"/>
        <w:jc w:val="left"/>
        <w:rPr>
          <w:sz w:val="24"/>
        </w:rPr>
      </w:pPr>
      <w:r>
        <w:rPr>
          <w:sz w:val="16"/>
        </w:rPr>
        <w:t>_</w:t>
        <w:tab/>
      </w:r>
      <w:r>
        <w:rPr>
          <w:color w:val="231F20"/>
          <w:position w:val="1"/>
          <w:sz w:val="24"/>
        </w:rPr>
        <w:t>September, following the death of Diana, Princess</w:t>
      </w:r>
      <w:r>
        <w:rPr>
          <w:color w:val="231F20"/>
          <w:spacing w:val="-9"/>
          <w:position w:val="1"/>
          <w:sz w:val="24"/>
        </w:rPr>
        <w:t> </w:t>
      </w:r>
      <w:r>
        <w:rPr>
          <w:color w:val="231F20"/>
          <w:position w:val="1"/>
          <w:sz w:val="24"/>
        </w:rPr>
        <w:t>of</w:t>
      </w:r>
    </w:p>
    <w:p>
      <w:pPr>
        <w:spacing w:after="0" w:line="272" w:lineRule="exact"/>
        <w:jc w:val="left"/>
        <w:rPr>
          <w:sz w:val="24"/>
        </w:rPr>
        <w:sectPr>
          <w:type w:val="continuous"/>
          <w:pgSz w:w="11900" w:h="16840"/>
          <w:pgMar w:top="1040" w:bottom="280" w:left="640" w:right="660"/>
        </w:sectPr>
      </w:pPr>
    </w:p>
    <w:p>
      <w:pPr>
        <w:pStyle w:val="BodyText"/>
        <w:spacing w:before="2"/>
        <w:rPr>
          <w:sz w:val="14"/>
        </w:rPr>
      </w:pPr>
    </w:p>
    <w:p>
      <w:pPr>
        <w:pStyle w:val="BodyText"/>
        <w:spacing w:line="20" w:lineRule="exact"/>
        <w:ind w:left="14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39.720001pt;margin-top:12.750977pt;width:5pt;height:.1pt;mso-position-horizontal-relative:page;mso-position-vertical-relative:paragraph;z-index:-15590400;mso-wrap-distance-left:0;mso-wrap-distance-right:0" coordorigin="794,255" coordsize="100,0" path="m894,255l794,255e" filled="false" stroked="true" strokeweight=".5pt" strokecolor="#000000">
            <v:path arrowok="t"/>
            <v:stroke dashstyle="solid"/>
            <w10:wrap type="topAndBottom"/>
          </v:shape>
        </w:pict>
      </w:r>
    </w:p>
    <w:p>
      <w:pPr>
        <w:spacing w:before="0"/>
        <w:ind w:left="624" w:right="0" w:firstLine="0"/>
        <w:jc w:val="left"/>
        <w:rPr>
          <w:sz w:val="12"/>
        </w:rPr>
      </w:pPr>
      <w:r>
        <w:rPr>
          <w:sz w:val="12"/>
        </w:rPr>
        <w:t>MORI (b)</w:t>
      </w:r>
    </w:p>
    <w:p>
      <w:pPr>
        <w:pStyle w:val="BodyText"/>
        <w:spacing w:before="9"/>
        <w:rPr>
          <w:sz w:val="27"/>
        </w:rPr>
      </w:pPr>
      <w:r>
        <w:rPr/>
        <w:pict>
          <v:shape style="position:absolute;margin-left:39.720001pt;margin-top:18.204155pt;width:5pt;height:.1pt;mso-position-horizontal-relative:page;mso-position-vertical-relative:paragraph;z-index:-15589888;mso-wrap-distance-left:0;mso-wrap-distance-right:0" coordorigin="794,364" coordsize="100,0" path="m894,364l794,364e" filled="false" stroked="true" strokeweight=".5pt" strokecolor="#000000">
            <v:path arrowok="t"/>
            <v:stroke dashstyle="solid"/>
            <w10:wrap type="topAndBottom"/>
          </v:shape>
        </w:pict>
      </w:r>
    </w:p>
    <w:p>
      <w:pPr>
        <w:spacing w:before="4"/>
        <w:ind w:left="584" w:right="0" w:firstLine="0"/>
        <w:jc w:val="left"/>
        <w:rPr>
          <w:sz w:val="12"/>
        </w:rPr>
      </w:pPr>
      <w:r>
        <w:rPr>
          <w:sz w:val="12"/>
        </w:rPr>
        <w:t>1995</w:t>
      </w:r>
    </w:p>
    <w:p>
      <w:pPr>
        <w:spacing w:before="96"/>
        <w:ind w:left="2436" w:right="0" w:firstLine="0"/>
        <w:jc w:val="left"/>
        <w:rPr>
          <w:sz w:val="12"/>
        </w:rPr>
      </w:pPr>
      <w:r>
        <w:rPr/>
        <w:br w:type="column"/>
      </w:r>
      <w:r>
        <w:rPr>
          <w:sz w:val="12"/>
        </w:rPr>
        <w:t>10</w:t>
      </w:r>
    </w:p>
    <w:p>
      <w:pPr>
        <w:pStyle w:val="BodyText"/>
        <w:rPr>
          <w:sz w:val="12"/>
        </w:rPr>
      </w:pPr>
    </w:p>
    <w:p>
      <w:pPr>
        <w:pStyle w:val="BodyText"/>
        <w:rPr>
          <w:sz w:val="12"/>
        </w:rPr>
      </w:pPr>
    </w:p>
    <w:p>
      <w:pPr>
        <w:spacing w:before="86"/>
        <w:ind w:left="2436" w:right="0" w:firstLine="0"/>
        <w:jc w:val="left"/>
        <w:rPr>
          <w:sz w:val="12"/>
        </w:rPr>
      </w:pPr>
      <w:r>
        <w:rPr>
          <w:sz w:val="12"/>
        </w:rPr>
        <w:t>20</w:t>
      </w:r>
    </w:p>
    <w:p>
      <w:pPr>
        <w:pStyle w:val="BodyText"/>
        <w:rPr>
          <w:sz w:val="12"/>
        </w:rPr>
      </w:pPr>
    </w:p>
    <w:p>
      <w:pPr>
        <w:pStyle w:val="BodyText"/>
        <w:rPr>
          <w:sz w:val="12"/>
        </w:rPr>
      </w:pPr>
    </w:p>
    <w:p>
      <w:pPr>
        <w:spacing w:line="124" w:lineRule="exact" w:before="86"/>
        <w:ind w:left="2436" w:right="0" w:firstLine="0"/>
        <w:jc w:val="left"/>
        <w:rPr>
          <w:sz w:val="12"/>
        </w:rPr>
      </w:pPr>
      <w:r>
        <w:rPr/>
        <w:pict>
          <v:shape style="position:absolute;margin-left:49.720001pt;margin-top:2.89957pt;width:150pt;height:5pt;mso-position-horizontal-relative:page;mso-position-vertical-relative:paragraph;z-index:15872512" coordorigin="994,58" coordsize="3000,100" path="m994,158l3994,158m994,158l994,118m1094,158l1094,118m1194,158l1194,118m1314,158l1314,118m1414,158l1414,118m1514,158l1514,118m1634,158l1634,118m1734,158l1734,118m1854,158l1854,118m1954,158l1954,118m2054,158l2054,118m2174,158l2174,118m2274,158l2274,118m2374,158l2374,118m2494,158l2494,118m2594,158l2594,118m2714,158l2714,118m2814,158l2814,118m2914,158l2914,118m3034,158l3034,118m3134,158l3134,118m3234,158l3234,118m3354,158l3354,118m3454,158l3454,118m3574,158l3574,118m3674,158l3674,118m3774,158l3774,118m3894,158l3894,118m3994,158l3994,118m1734,158l1734,58m3034,158l3034,58e" filled="false" stroked="true" strokeweight=".5pt" strokecolor="#000000">
            <v:path arrowok="t"/>
            <v:stroke dashstyle="solid"/>
            <w10:wrap type="none"/>
          </v:shape>
        </w:pict>
      </w:r>
      <w:r>
        <w:rPr/>
        <w:pict>
          <v:line style="position:absolute;mso-position-horizontal-relative:page;mso-position-vertical-relative:paragraph;z-index:15873024" from="208.720001pt,7.89957pt" to="203.720001pt,7.89957pt" stroked="true" strokeweight=".5pt" strokecolor="#000000">
            <v:stroke dashstyle="solid"/>
            <w10:wrap type="none"/>
          </v:line>
        </w:pict>
      </w:r>
      <w:r>
        <w:rPr>
          <w:sz w:val="12"/>
        </w:rPr>
        <w:t>30</w:t>
      </w:r>
    </w:p>
    <w:p>
      <w:pPr>
        <w:tabs>
          <w:tab w:pos="1656" w:val="left" w:leader="none"/>
        </w:tabs>
        <w:spacing w:line="124" w:lineRule="exact" w:before="0"/>
        <w:ind w:left="476" w:right="0" w:firstLine="0"/>
        <w:jc w:val="left"/>
        <w:rPr>
          <w:sz w:val="12"/>
        </w:rPr>
      </w:pPr>
      <w:r>
        <w:rPr>
          <w:sz w:val="12"/>
        </w:rPr>
        <w:t>96</w:t>
        <w:tab/>
        <w:t>97</w:t>
      </w:r>
    </w:p>
    <w:p>
      <w:pPr>
        <w:pStyle w:val="Heading5"/>
        <w:spacing w:line="242" w:lineRule="auto" w:before="2"/>
        <w:ind w:left="584" w:right="222"/>
      </w:pPr>
      <w:r>
        <w:rPr/>
        <w:br w:type="column"/>
      </w:r>
      <w:r>
        <w:rPr>
          <w:color w:val="231F20"/>
          <w:spacing w:val="-4"/>
        </w:rPr>
        <w:t>Wales. </w:t>
      </w:r>
      <w:r>
        <w:rPr>
          <w:color w:val="231F20"/>
        </w:rPr>
        <w:t>The CBI Distributive Trades Survey reported that retail sales recovered in October. The two main consumer confidence surveys, which usually track retail sales and consumption quite </w:t>
      </w:r>
      <w:r>
        <w:rPr>
          <w:color w:val="231F20"/>
          <w:spacing w:val="-3"/>
        </w:rPr>
        <w:t>closely, </w:t>
      </w:r>
      <w:r>
        <w:rPr>
          <w:color w:val="231F20"/>
        </w:rPr>
        <w:t>also suggest </w:t>
      </w:r>
      <w:r>
        <w:rPr>
          <w:color w:val="231F20"/>
          <w:spacing w:val="-4"/>
        </w:rPr>
        <w:t>strong </w:t>
      </w:r>
      <w:r>
        <w:rPr>
          <w:color w:val="231F20"/>
        </w:rPr>
        <w:t>consumption in the third quarter (see Chart 3.3).</w:t>
      </w:r>
      <w:r>
        <w:rPr>
          <w:color w:val="231F20"/>
          <w:spacing w:val="58"/>
        </w:rPr>
        <w:t> </w:t>
      </w:r>
      <w:r>
        <w:rPr>
          <w:color w:val="231F20"/>
        </w:rPr>
        <w:t>And</w:t>
      </w:r>
    </w:p>
    <w:p>
      <w:pPr>
        <w:spacing w:after="0" w:line="242" w:lineRule="auto"/>
        <w:sectPr>
          <w:type w:val="continuous"/>
          <w:pgSz w:w="11900" w:h="16840"/>
          <w:pgMar w:top="1040" w:bottom="280" w:left="640" w:right="660"/>
          <w:cols w:num="3" w:equalWidth="0">
            <w:col w:w="1108" w:space="40"/>
            <w:col w:w="2597" w:space="645"/>
            <w:col w:w="6210"/>
          </w:cols>
        </w:sectPr>
      </w:pPr>
    </w:p>
    <w:p>
      <w:pPr>
        <w:pStyle w:val="ListParagraph"/>
        <w:numPr>
          <w:ilvl w:val="0"/>
          <w:numId w:val="14"/>
        </w:numPr>
        <w:tabs>
          <w:tab w:pos="405" w:val="left" w:leader="none"/>
        </w:tabs>
        <w:spacing w:line="208" w:lineRule="auto" w:before="58" w:after="0"/>
        <w:ind w:left="404" w:right="38" w:hanging="240"/>
        <w:jc w:val="left"/>
        <w:rPr>
          <w:sz w:val="12"/>
        </w:rPr>
      </w:pPr>
      <w:r>
        <w:rPr>
          <w:color w:val="231F20"/>
          <w:sz w:val="12"/>
        </w:rPr>
        <w:t>Question: Do you think the general economic situation in this </w:t>
      </w:r>
      <w:r>
        <w:rPr>
          <w:color w:val="231F20"/>
          <w:spacing w:val="-3"/>
          <w:sz w:val="12"/>
        </w:rPr>
        <w:t>country </w:t>
      </w:r>
      <w:r>
        <w:rPr>
          <w:color w:val="231F20"/>
          <w:sz w:val="12"/>
        </w:rPr>
        <w:t>will improve over the next twelve months?</w:t>
      </w:r>
    </w:p>
    <w:p>
      <w:pPr>
        <w:pStyle w:val="ListParagraph"/>
        <w:numPr>
          <w:ilvl w:val="0"/>
          <w:numId w:val="14"/>
        </w:numPr>
        <w:tabs>
          <w:tab w:pos="405" w:val="left" w:leader="none"/>
        </w:tabs>
        <w:spacing w:line="208" w:lineRule="auto" w:before="0" w:after="0"/>
        <w:ind w:left="404" w:right="197" w:hanging="240"/>
        <w:jc w:val="left"/>
        <w:rPr>
          <w:sz w:val="12"/>
        </w:rPr>
      </w:pPr>
      <w:r>
        <w:rPr>
          <w:color w:val="231F20"/>
          <w:sz w:val="12"/>
        </w:rPr>
        <w:t>Question: How do you think the general economic situation in </w:t>
      </w:r>
      <w:r>
        <w:rPr>
          <w:color w:val="231F20"/>
          <w:spacing w:val="-4"/>
          <w:sz w:val="12"/>
        </w:rPr>
        <w:t>this </w:t>
      </w:r>
      <w:r>
        <w:rPr>
          <w:color w:val="231F20"/>
          <w:sz w:val="12"/>
        </w:rPr>
        <w:t>country will develop over the next twelve months?</w:t>
      </w:r>
    </w:p>
    <w:p>
      <w:pPr>
        <w:pStyle w:val="Heading5"/>
        <w:spacing w:line="242" w:lineRule="auto" w:before="7"/>
        <w:ind w:left="164" w:right="144"/>
      </w:pPr>
      <w:r>
        <w:rPr/>
        <w:br w:type="column"/>
      </w:r>
      <w:r>
        <w:rPr>
          <w:color w:val="231F20"/>
        </w:rPr>
        <w:t>further windfall spending should ensure that consumption remains strong in the fourth quarter. But as the short-term concentrated element of the windfall spending unwinds in 1998, quarterly consumption growth will probably ease back from the high rates in 1997.</w:t>
      </w:r>
    </w:p>
    <w:p>
      <w:pPr>
        <w:pStyle w:val="BodyText"/>
        <w:spacing w:before="9"/>
        <w:rPr>
          <w:sz w:val="26"/>
        </w:rPr>
      </w:pPr>
    </w:p>
    <w:p>
      <w:pPr>
        <w:spacing w:line="242" w:lineRule="auto" w:before="0"/>
        <w:ind w:left="164" w:right="199" w:firstLine="0"/>
        <w:jc w:val="left"/>
        <w:rPr>
          <w:sz w:val="24"/>
        </w:rPr>
      </w:pPr>
      <w:r>
        <w:rPr>
          <w:color w:val="231F20"/>
          <w:sz w:val="24"/>
        </w:rPr>
        <w:t>Factors identified in the August </w:t>
      </w:r>
      <w:r>
        <w:rPr>
          <w:i/>
          <w:color w:val="231F20"/>
          <w:sz w:val="24"/>
        </w:rPr>
        <w:t>Report </w:t>
      </w:r>
      <w:r>
        <w:rPr>
          <w:color w:val="231F20"/>
          <w:sz w:val="24"/>
        </w:rPr>
        <w:t>as supporting strong consumption growth have largely persisted.</w:t>
      </w:r>
    </w:p>
    <w:p>
      <w:pPr>
        <w:spacing w:line="242" w:lineRule="auto" w:before="3"/>
        <w:ind w:left="164" w:right="234" w:firstLine="0"/>
        <w:jc w:val="left"/>
        <w:rPr>
          <w:sz w:val="24"/>
        </w:rPr>
      </w:pPr>
      <w:r>
        <w:rPr>
          <w:color w:val="231F20"/>
          <w:sz w:val="24"/>
        </w:rPr>
        <w:t>Continued rises in equity and house prices suggested that personal sector wealth rose rapidly in the second and third quarter</w:t>
      </w:r>
      <w:hyperlink w:history="true" w:anchor="_bookmark4">
        <w:r>
          <w:rPr>
            <w:color w:val="231F20"/>
            <w:sz w:val="24"/>
          </w:rPr>
          <w:t>s of 1997. And as Section 2</w:t>
        </w:r>
      </w:hyperlink>
      <w:r>
        <w:rPr>
          <w:color w:val="231F20"/>
          <w:sz w:val="24"/>
        </w:rPr>
        <w:t> explains, despite recent equity market volatility, equity prices on 5 November were still well above the levels of the second quarter. If equity prices rose because of</w:t>
      </w:r>
    </w:p>
    <w:p>
      <w:pPr>
        <w:spacing w:after="0" w:line="242" w:lineRule="auto"/>
        <w:jc w:val="left"/>
        <w:rPr>
          <w:sz w:val="24"/>
        </w:rPr>
        <w:sectPr>
          <w:type w:val="continuous"/>
          <w:pgSz w:w="11900" w:h="16840"/>
          <w:pgMar w:top="1040" w:bottom="280" w:left="640" w:right="660"/>
          <w:cols w:num="2" w:equalWidth="0">
            <w:col w:w="3828" w:space="982"/>
            <w:col w:w="5790"/>
          </w:cols>
        </w:sectPr>
      </w:pPr>
    </w:p>
    <w:p>
      <w:pPr>
        <w:pStyle w:val="BodyText"/>
        <w:rPr>
          <w:sz w:val="20"/>
        </w:rPr>
      </w:pPr>
    </w:p>
    <w:p>
      <w:pPr>
        <w:spacing w:before="245"/>
        <w:ind w:left="1502" w:right="1448" w:firstLine="0"/>
        <w:jc w:val="center"/>
        <w:rPr>
          <w:b/>
          <w:sz w:val="28"/>
        </w:rPr>
      </w:pPr>
      <w:bookmarkStart w:name="The Bank of England/MORI survey and dome" w:id="41"/>
      <w:bookmarkEnd w:id="41"/>
      <w:r>
        <w:rPr/>
      </w:r>
      <w:bookmarkStart w:name="_bookmark18" w:id="42"/>
      <w:bookmarkEnd w:id="42"/>
      <w:r>
        <w:rPr/>
      </w:r>
      <w:bookmarkStart w:name="_bookmark19" w:id="43"/>
      <w:bookmarkEnd w:id="43"/>
      <w:r>
        <w:rPr/>
      </w:r>
      <w:r>
        <w:rPr>
          <w:b/>
          <w:color w:val="009483"/>
          <w:sz w:val="28"/>
        </w:rPr>
        <w:t>The Bank of England/M</w:t>
      </w:r>
      <w:r>
        <w:rPr>
          <w:b/>
          <w:color w:val="009483"/>
          <w:sz w:val="24"/>
        </w:rPr>
        <w:t>ORI </w:t>
      </w:r>
      <w:r>
        <w:rPr>
          <w:b/>
          <w:color w:val="009483"/>
          <w:sz w:val="28"/>
        </w:rPr>
        <w:t>survey and domestic demand</w:t>
      </w:r>
    </w:p>
    <w:p>
      <w:pPr>
        <w:pStyle w:val="BodyText"/>
        <w:rPr>
          <w:b/>
          <w:sz w:val="27"/>
        </w:rPr>
      </w:pPr>
    </w:p>
    <w:p>
      <w:pPr>
        <w:spacing w:after="0"/>
        <w:rPr>
          <w:sz w:val="27"/>
        </w:rPr>
        <w:sectPr>
          <w:pgSz w:w="11900" w:h="16840"/>
          <w:pgMar w:header="586" w:footer="597" w:top="780" w:bottom="780" w:left="640" w:right="660"/>
        </w:sectPr>
      </w:pPr>
    </w:p>
    <w:p>
      <w:pPr>
        <w:spacing w:line="242" w:lineRule="auto" w:before="90"/>
        <w:ind w:left="462" w:right="0" w:firstLine="0"/>
        <w:jc w:val="left"/>
        <w:rPr>
          <w:sz w:val="24"/>
        </w:rPr>
      </w:pPr>
      <w:r>
        <w:rPr>
          <w:color w:val="231F20"/>
          <w:sz w:val="24"/>
        </w:rPr>
        <w:t>The Bank of England commissioned M</w:t>
      </w:r>
      <w:r>
        <w:rPr>
          <w:color w:val="231F20"/>
          <w:sz w:val="20"/>
        </w:rPr>
        <w:t>ORI </w:t>
      </w:r>
      <w:r>
        <w:rPr>
          <w:color w:val="231F20"/>
          <w:sz w:val="24"/>
        </w:rPr>
        <w:t>to survey individuals who received special ‘windfall’ payouts in 1997.</w:t>
      </w:r>
      <w:r>
        <w:rPr>
          <w:color w:val="231F20"/>
          <w:position w:val="4"/>
          <w:sz w:val="12"/>
        </w:rPr>
        <w:t>(1) </w:t>
      </w:r>
      <w:r>
        <w:rPr>
          <w:color w:val="231F20"/>
          <w:sz w:val="24"/>
        </w:rPr>
        <w:t>The survey was conducted at the end of August, when nearly 90% of the windfalls had been paid out. The survey asked individuals how many shares they had sold, how much of the proceeds they had spent, and how much of that spending would have occurred anyway.</w:t>
      </w:r>
    </w:p>
    <w:p>
      <w:pPr>
        <w:pStyle w:val="BodyText"/>
        <w:spacing w:before="10"/>
        <w:rPr>
          <w:sz w:val="21"/>
        </w:rPr>
      </w:pPr>
    </w:p>
    <w:p>
      <w:pPr>
        <w:spacing w:line="242" w:lineRule="auto" w:before="0"/>
        <w:ind w:left="462" w:right="0" w:firstLine="0"/>
        <w:jc w:val="left"/>
        <w:rPr>
          <w:sz w:val="24"/>
        </w:rPr>
      </w:pPr>
      <w:r>
        <w:rPr>
          <w:color w:val="231F20"/>
          <w:sz w:val="24"/>
        </w:rPr>
        <w:t>By the end of August, 35% of the value of free shares had been sold.  47% of the proceeds from these sales was reported as already spent, with a similar proportion saved;  6% was used to repay debt. Around 60% of the spending </w:t>
      </w:r>
      <w:r>
        <w:rPr>
          <w:color w:val="231F20"/>
          <w:spacing w:val="-8"/>
          <w:sz w:val="24"/>
        </w:rPr>
        <w:t>was </w:t>
      </w:r>
      <w:r>
        <w:rPr>
          <w:color w:val="231F20"/>
          <w:sz w:val="24"/>
        </w:rPr>
        <w:t>additional to that which would </w:t>
      </w:r>
      <w:r>
        <w:rPr>
          <w:color w:val="231F20"/>
          <w:spacing w:val="-3"/>
          <w:sz w:val="24"/>
        </w:rPr>
        <w:t>have </w:t>
      </w:r>
      <w:r>
        <w:rPr>
          <w:color w:val="231F20"/>
          <w:sz w:val="24"/>
        </w:rPr>
        <w:t>occurred </w:t>
      </w:r>
      <w:r>
        <w:rPr>
          <w:color w:val="231F20"/>
          <w:spacing w:val="-4"/>
          <w:sz w:val="24"/>
        </w:rPr>
        <w:t>anyway. </w:t>
      </w:r>
      <w:r>
        <w:rPr>
          <w:color w:val="231F20"/>
          <w:sz w:val="24"/>
        </w:rPr>
        <w:t>Of the proceeds saved, most were placed in instant access or deposit accounts; respondents planned to spend 27% (by value) of these in the twelve months from August</w:t>
      </w:r>
      <w:r>
        <w:rPr>
          <w:color w:val="231F20"/>
          <w:spacing w:val="-5"/>
          <w:sz w:val="24"/>
        </w:rPr>
        <w:t> </w:t>
      </w:r>
      <w:r>
        <w:rPr>
          <w:color w:val="231F20"/>
          <w:sz w:val="24"/>
        </w:rPr>
        <w:t>1997.</w:t>
      </w:r>
    </w:p>
    <w:p>
      <w:pPr>
        <w:pStyle w:val="BodyText"/>
        <w:rPr>
          <w:sz w:val="22"/>
        </w:rPr>
      </w:pPr>
    </w:p>
    <w:p>
      <w:pPr>
        <w:spacing w:line="242" w:lineRule="auto" w:before="1"/>
        <w:ind w:left="462" w:right="91" w:firstLine="0"/>
        <w:jc w:val="left"/>
        <w:rPr>
          <w:sz w:val="24"/>
        </w:rPr>
      </w:pPr>
      <w:r>
        <w:rPr>
          <w:color w:val="231F20"/>
          <w:sz w:val="24"/>
        </w:rPr>
        <w:t>Of the shares kept, 5% will be sold in the twelve months from August; 38% will be sold subject to stock market conditions; and 57% will be held as a long-term investment. More than half of the proceeds of future (unconditional) share sales will be spent. A very small proportion of individuals who plan to keep their shares will borrow (or run down savings) as a result of their higher wealth.</w:t>
      </w:r>
    </w:p>
    <w:p>
      <w:pPr>
        <w:pStyle w:val="BodyText"/>
        <w:spacing w:before="10"/>
        <w:rPr>
          <w:sz w:val="21"/>
        </w:rPr>
      </w:pPr>
    </w:p>
    <w:p>
      <w:pPr>
        <w:spacing w:line="242" w:lineRule="auto" w:before="0"/>
        <w:ind w:left="462" w:right="4" w:firstLine="0"/>
        <w:jc w:val="left"/>
        <w:rPr>
          <w:sz w:val="24"/>
        </w:rPr>
      </w:pPr>
      <w:r>
        <w:rPr>
          <w:color w:val="231F20"/>
          <w:sz w:val="24"/>
        </w:rPr>
        <w:t>These results suggest that a relatively high proportion of respondents had already sold their shares by the end of August, and many of those</w:t>
      </w:r>
    </w:p>
    <w:p>
      <w:pPr>
        <w:spacing w:line="242" w:lineRule="auto" w:before="92"/>
        <w:ind w:left="444" w:right="671" w:firstLine="0"/>
        <w:jc w:val="left"/>
        <w:rPr>
          <w:sz w:val="24"/>
        </w:rPr>
      </w:pPr>
      <w:r>
        <w:rPr/>
        <w:br w:type="column"/>
      </w:r>
      <w:r>
        <w:rPr>
          <w:color w:val="231F20"/>
          <w:sz w:val="24"/>
        </w:rPr>
        <w:t>had spent the proceeds or planned to do so in the near future. So the survey implied that much of the effect of windfalls on domestic demand will be concentrated in 1997.</w:t>
      </w:r>
    </w:p>
    <w:p>
      <w:pPr>
        <w:pStyle w:val="BodyText"/>
        <w:spacing w:before="3"/>
        <w:rPr>
          <w:sz w:val="28"/>
        </w:rPr>
      </w:pPr>
    </w:p>
    <w:p>
      <w:pPr>
        <w:spacing w:line="242" w:lineRule="auto" w:before="0"/>
        <w:ind w:left="444" w:right="395" w:firstLine="0"/>
        <w:jc w:val="left"/>
        <w:rPr>
          <w:sz w:val="24"/>
        </w:rPr>
      </w:pPr>
      <w:r>
        <w:rPr>
          <w:color w:val="231F20"/>
          <w:sz w:val="24"/>
        </w:rPr>
        <w:t>The table shows estimates of spending out of windfalls. The survey suggests that, excluding spending that would have occurred anyway, windfalls could add around £6 billion to domestic demand between 1997–99.</w:t>
      </w:r>
    </w:p>
    <w:p>
      <w:pPr>
        <w:pStyle w:val="BodyText"/>
        <w:spacing w:before="8"/>
        <w:rPr>
          <w:sz w:val="26"/>
        </w:rPr>
      </w:pPr>
    </w:p>
    <w:p>
      <w:pPr>
        <w:spacing w:line="242" w:lineRule="auto" w:before="0"/>
        <w:ind w:left="444" w:right="395" w:hanging="1"/>
        <w:jc w:val="left"/>
        <w:rPr>
          <w:sz w:val="24"/>
        </w:rPr>
      </w:pPr>
      <w:r>
        <w:rPr>
          <w:color w:val="231F20"/>
          <w:sz w:val="24"/>
        </w:rPr>
        <w:t>M</w:t>
      </w:r>
      <w:r>
        <w:rPr>
          <w:color w:val="231F20"/>
          <w:sz w:val="20"/>
        </w:rPr>
        <w:t>ORI </w:t>
      </w:r>
      <w:r>
        <w:rPr>
          <w:color w:val="231F20"/>
          <w:sz w:val="24"/>
        </w:rPr>
        <w:t>advised the Bank that a survey of this nature would probably pick up only short-term spending on large-ticket items. The total effect is likely to be </w:t>
      </w:r>
      <w:r>
        <w:rPr>
          <w:color w:val="231F20"/>
          <w:spacing w:val="-3"/>
          <w:sz w:val="24"/>
        </w:rPr>
        <w:t>larger.  </w:t>
      </w:r>
      <w:r>
        <w:rPr>
          <w:color w:val="231F20"/>
          <w:sz w:val="24"/>
        </w:rPr>
        <w:t>Consumers tend to smooth their consumption over time, unless they are liquidity constrained (unable to lend and borrow as they would wish). There will probably be an additional long-term windfall effect on spending by unconstrained</w:t>
      </w:r>
      <w:r>
        <w:rPr>
          <w:color w:val="231F20"/>
          <w:spacing w:val="6"/>
          <w:sz w:val="24"/>
        </w:rPr>
        <w:t> </w:t>
      </w:r>
      <w:r>
        <w:rPr>
          <w:color w:val="231F20"/>
          <w:spacing w:val="-3"/>
          <w:sz w:val="24"/>
        </w:rPr>
        <w:t>consumers.</w:t>
      </w:r>
    </w:p>
    <w:p>
      <w:pPr>
        <w:pStyle w:val="BodyText"/>
        <w:spacing w:before="10"/>
        <w:rPr>
          <w:sz w:val="26"/>
        </w:rPr>
      </w:pPr>
    </w:p>
    <w:p>
      <w:pPr>
        <w:spacing w:line="242" w:lineRule="auto" w:before="0"/>
        <w:ind w:left="445" w:right="535" w:firstLine="0"/>
        <w:jc w:val="both"/>
        <w:rPr>
          <w:sz w:val="24"/>
        </w:rPr>
      </w:pPr>
      <w:r>
        <w:rPr>
          <w:color w:val="231F20"/>
          <w:sz w:val="24"/>
        </w:rPr>
        <w:t>Two facts support this view. First, only 5% of respondents reported increasing their spending in advance of actually receiving shares.</w:t>
      </w:r>
    </w:p>
    <w:p>
      <w:pPr>
        <w:spacing w:line="242" w:lineRule="auto" w:before="4"/>
        <w:ind w:left="445" w:right="242" w:firstLine="0"/>
        <w:jc w:val="left"/>
        <w:rPr>
          <w:sz w:val="24"/>
        </w:rPr>
      </w:pPr>
      <w:r>
        <w:rPr>
          <w:color w:val="231F20"/>
          <w:sz w:val="24"/>
        </w:rPr>
        <w:t>Consumption-smoothing consumers would tend to increase spending as soon as they learnt the probable size of their windfall. Second, the average amount of reported additional</w:t>
      </w:r>
    </w:p>
    <w:p>
      <w:pPr>
        <w:spacing w:line="242" w:lineRule="auto" w:before="6"/>
        <w:ind w:left="445" w:right="395" w:firstLine="0"/>
        <w:jc w:val="left"/>
        <w:rPr>
          <w:sz w:val="24"/>
        </w:rPr>
      </w:pPr>
      <w:r>
        <w:rPr>
          <w:color w:val="231F20"/>
          <w:sz w:val="24"/>
        </w:rPr>
        <w:t>short-term spending was a large proportion of the average payout. Consumption-smoothing consumers would spread their spending over time.</w:t>
      </w:r>
    </w:p>
    <w:p>
      <w:pPr>
        <w:pStyle w:val="BodyText"/>
        <w:spacing w:before="9"/>
        <w:rPr>
          <w:sz w:val="24"/>
        </w:rPr>
      </w:pPr>
    </w:p>
    <w:p>
      <w:pPr>
        <w:spacing w:line="242" w:lineRule="auto" w:before="0"/>
        <w:ind w:left="445" w:right="394" w:firstLine="0"/>
        <w:jc w:val="left"/>
        <w:rPr>
          <w:sz w:val="24"/>
        </w:rPr>
      </w:pPr>
      <w:r>
        <w:rPr>
          <w:color w:val="231F20"/>
          <w:sz w:val="24"/>
        </w:rPr>
        <w:t>Bank estimates of the additional spending by consumption-smoothing consumers suggest that there could be an extra effect of up to</w:t>
      </w:r>
    </w:p>
    <w:p>
      <w:pPr>
        <w:spacing w:line="242" w:lineRule="auto" w:before="4"/>
        <w:ind w:left="445" w:right="430" w:firstLine="0"/>
        <w:jc w:val="left"/>
        <w:rPr>
          <w:sz w:val="24"/>
        </w:rPr>
      </w:pPr>
      <w:r>
        <w:rPr>
          <w:color w:val="231F20"/>
          <w:sz w:val="24"/>
        </w:rPr>
        <w:t>£1.8 billion a year on domestic demand. So the total effect of windfalls on domestic demand between 1997–99 will probably be somewhere between £6–12 billion (0.8% to 1.6% of domestic demand in 1996), most likely towards the top of this range.</w:t>
      </w:r>
      <w:r>
        <w:rPr>
          <w:color w:val="231F20"/>
          <w:position w:val="4"/>
          <w:sz w:val="12"/>
        </w:rPr>
        <w:t>(2) </w:t>
      </w:r>
      <w:r>
        <w:rPr>
          <w:color w:val="231F20"/>
          <w:sz w:val="24"/>
        </w:rPr>
        <w:t>This is close to the estimate for additional windfall-financed spending incorporated into the August </w:t>
      </w:r>
      <w:r>
        <w:rPr>
          <w:i/>
          <w:color w:val="231F20"/>
          <w:sz w:val="24"/>
        </w:rPr>
        <w:t>Report </w:t>
      </w:r>
      <w:r>
        <w:rPr>
          <w:color w:val="231F20"/>
          <w:sz w:val="24"/>
        </w:rPr>
        <w:t>projection.</w:t>
      </w:r>
    </w:p>
    <w:p>
      <w:pPr>
        <w:spacing w:after="0" w:line="242" w:lineRule="auto"/>
        <w:jc w:val="left"/>
        <w:rPr>
          <w:sz w:val="24"/>
        </w:rPr>
        <w:sectPr>
          <w:type w:val="continuous"/>
          <w:pgSz w:w="11900" w:h="16840"/>
          <w:pgMar w:top="1040" w:bottom="280" w:left="640" w:right="660"/>
          <w:cols w:num="2" w:equalWidth="0">
            <w:col w:w="5099" w:space="40"/>
            <w:col w:w="5461"/>
          </w:cols>
        </w:sectPr>
      </w:pPr>
    </w:p>
    <w:p>
      <w:pPr>
        <w:pStyle w:val="BodyText"/>
        <w:spacing w:before="10"/>
        <w:rPr>
          <w:sz w:val="15"/>
        </w:rPr>
      </w:pPr>
      <w:r>
        <w:rPr/>
        <w:pict>
          <v:group style="position:absolute;margin-left:39.759998pt;margin-top:39.5pt;width:516.7pt;height:742.75pt;mso-position-horizontal-relative:page;mso-position-vertical-relative:page;z-index:-20860928" coordorigin="795,790" coordsize="10334,14855">
            <v:shape style="position:absolute;left:815;top:810;width:10294;height:14815" coordorigin="815,810" coordsize="10294,14815" path="m11109,810l5976,810,5948,810,815,810,815,8188,815,8246,815,15624,5948,15624,5976,15624,11109,15624,11109,8246,11109,8189,11109,810xe" filled="true" fillcolor="#c3e0dc" stroked="false">
              <v:path arrowok="t"/>
              <v:fill type="solid"/>
            </v:shape>
            <v:shape style="position:absolute;left:894;top:933;width:10135;height:14569" coordorigin="894,933" coordsize="10135,14569" path="m5962,933l894,8217,5962,15502,11029,8217,5962,933xe" filled="true" fillcolor="#c4e1dd" stroked="false">
              <v:path arrowok="t"/>
              <v:fill type="solid"/>
            </v:shape>
            <v:shape style="position:absolute;left:993;top:1075;width:9937;height:14283" coordorigin="994,1076" coordsize="9937,14283" path="m5962,1076l994,8217,5962,15359,10930,8217,5962,1076xe" filled="true" fillcolor="#c5e1dd" stroked="false">
              <v:path arrowok="t"/>
              <v:fill type="solid"/>
            </v:shape>
            <v:shape style="position:absolute;left:1093;top:1218;width:9738;height:13998" coordorigin="1093,1219" coordsize="9738,13998" path="m5962,1219l1093,8217,5962,15216,10831,8217,5962,1219xe" filled="true" fillcolor="#c6e2de" stroked="false">
              <v:path arrowok="t"/>
              <v:fill type="solid"/>
            </v:shape>
            <v:shape style="position:absolute;left:1192;top:1361;width:9539;height:13712" coordorigin="1193,1362" coordsize="9539,13712" path="m5962,1362l1193,8217,5962,15073,10731,8217,5962,1362xe" filled="true" fillcolor="#c7e2df" stroked="false">
              <v:path arrowok="t"/>
              <v:fill type="solid"/>
            </v:shape>
            <v:shape style="position:absolute;left:1291;top:1504;width:9341;height:13426" coordorigin="1292,1504" coordsize="9341,13426" path="m5962,1504l1292,8217,5962,14930,10632,8217,5962,1504xe" filled="true" fillcolor="#c8e3df" stroked="false">
              <v:path arrowok="t"/>
              <v:fill type="solid"/>
            </v:shape>
            <v:shape style="position:absolute;left:1391;top:1647;width:9142;height:13141" coordorigin="1391,1647" coordsize="9142,13141" path="m5962,1647l1391,8217,5962,14787,10533,8217,5962,1647xe" filled="true" fillcolor="#c9e3e0" stroked="false">
              <v:path arrowok="t"/>
              <v:fill type="solid"/>
            </v:shape>
            <v:shape style="position:absolute;left:1490;top:1790;width:8943;height:12855" coordorigin="1491,1790" coordsize="8943,12855" path="m5962,1790l1491,8217,5962,14645,10433,8217,5962,1790xe" filled="true" fillcolor="#cae4e0" stroked="false">
              <v:path arrowok="t"/>
              <v:fill type="solid"/>
            </v:shape>
            <v:shape style="position:absolute;left:1590;top:1932;width:8744;height:12569" coordorigin="1590,1933" coordsize="8744,12569" path="m5962,1933l1590,8217,5962,14502,10334,8217,5962,1933xe" filled="true" fillcolor="#cbe4e1" stroked="false">
              <v:path arrowok="t"/>
              <v:fill type="solid"/>
            </v:shape>
            <v:shape style="position:absolute;left:1689;top:2075;width:8546;height:12284" coordorigin="1689,2076" coordsize="8546,12284" path="m5962,2076l1689,8217,5962,14359,10235,8217,5962,2076xe" filled="true" fillcolor="#cce5e1" stroked="false">
              <v:path arrowok="t"/>
              <v:fill type="solid"/>
            </v:shape>
            <v:shape style="position:absolute;left:1788;top:2218;width:8347;height:11998" coordorigin="1789,2219" coordsize="8347,11998" path="m5962,2219l1789,8217,5962,14216,10135,8217,5962,2219xe" filled="true" fillcolor="#cde5e2" stroked="false">
              <v:path arrowok="t"/>
              <v:fill type="solid"/>
            </v:shape>
            <v:shape style="position:absolute;left:1888;top:2361;width:8148;height:11712" coordorigin="1888,2361" coordsize="8148,11712" path="m5962,2361l1888,8217,5962,14073,10036,8217,5962,2361xe" filled="true" fillcolor="#cee6e3" stroked="false">
              <v:path arrowok="t"/>
              <v:fill type="solid"/>
            </v:shape>
            <v:shape style="position:absolute;left:1987;top:2504;width:7949;height:11427" coordorigin="1987,2504" coordsize="7949,11427" path="m5962,2504l1987,8217,5962,13930,9936,8217,5962,2504xe" filled="true" fillcolor="#cfe6e3" stroked="false">
              <v:path arrowok="t"/>
              <v:fill type="solid"/>
            </v:shape>
            <v:shape style="position:absolute;left:2086;top:2647;width:7751;height:11141" coordorigin="2087,2647" coordsize="7751,11141" path="m5962,2647l2087,8217,5962,13788,9837,8217,5962,2647xe" filled="true" fillcolor="#d0e7e4" stroked="false">
              <v:path arrowok="t"/>
              <v:fill type="solid"/>
            </v:shape>
            <v:shape style="position:absolute;left:2186;top:2789;width:7552;height:10855" coordorigin="2186,2790" coordsize="7552,10855" path="m5962,2790l2186,8217,5962,13645,9738,8217,5962,2790xe" filled="true" fillcolor="#d1e7e4" stroked="false">
              <v:path arrowok="t"/>
              <v:fill type="solid"/>
            </v:shape>
            <v:shape style="position:absolute;left:2285;top:2932;width:7353;height:10570" coordorigin="2286,2933" coordsize="7353,10570" path="m5962,2933l2286,8217,5962,13502,9638,8217,5962,2933xe" filled="true" fillcolor="#d3e8e5" stroked="false">
              <v:path arrowok="t"/>
              <v:fill type="solid"/>
            </v:shape>
            <v:shape style="position:absolute;left:2384;top:3075;width:7155;height:10284" coordorigin="2385,3075" coordsize="7155,10284" path="m5962,3075l2385,8217,5962,13359,9539,8217,5962,3075xe" filled="true" fillcolor="#d4e8e5" stroked="false">
              <v:path arrowok="t"/>
              <v:fill type="solid"/>
            </v:shape>
            <v:shape style="position:absolute;left:2484;top:3218;width:6956;height:9998" coordorigin="2484,3218" coordsize="6956,9998" path="m5962,3218l2484,8217,5962,13216,9440,8217,5962,3218xe" filled="true" fillcolor="#d5e9e6" stroked="false">
              <v:path arrowok="t"/>
              <v:fill type="solid"/>
            </v:shape>
            <v:shape style="position:absolute;left:2583;top:3361;width:6757;height:9713" coordorigin="2584,3361" coordsize="6757,9713" path="m5962,3361l2584,8217,5962,13073,9340,8217,5962,3361xe" filled="true" fillcolor="#d6eae7" stroked="false">
              <v:path arrowok="t"/>
              <v:fill type="solid"/>
            </v:shape>
            <v:shape style="position:absolute;left:2683;top:3503;width:6558;height:9427" coordorigin="2683,3504" coordsize="6558,9427" path="m5962,3504l2683,8217,5962,12931,9241,8217,5962,3504xe" filled="true" fillcolor="#d7eae7" stroked="false">
              <v:path arrowok="t"/>
              <v:fill type="solid"/>
            </v:shape>
            <v:shape style="position:absolute;left:2782;top:3646;width:6360;height:9141" coordorigin="2782,3647" coordsize="6360,9141" path="m5962,3647l2782,8217,5962,12788,9142,8217,5962,3647xe" filled="true" fillcolor="#d8ebe8" stroked="false">
              <v:path arrowok="t"/>
              <v:fill type="solid"/>
            </v:shape>
            <v:shape style="position:absolute;left:2881;top:3789;width:6161;height:8856" coordorigin="2882,3790" coordsize="6161,8856" path="m5962,3790l2882,8217,5962,12645,9042,8217,5962,3790xe" filled="true" fillcolor="#d9ebe8" stroked="false">
              <v:path arrowok="t"/>
              <v:fill type="solid"/>
            </v:shape>
            <v:shape style="position:absolute;left:2981;top:3932;width:5962;height:8570" coordorigin="2981,3932" coordsize="5962,8570" path="m5962,3932l2981,8217,5962,12502,8943,8217,5962,3932xe" filled="true" fillcolor="#daece9" stroked="false">
              <v:path arrowok="t"/>
              <v:fill type="solid"/>
            </v:shape>
            <v:shape style="position:absolute;left:3080;top:4075;width:5764;height:8285" coordorigin="3080,4075" coordsize="5764,8285" path="m5962,4075l3080,8217,5962,12359,8843,8217,5962,4075xe" filled="true" fillcolor="#dbece9" stroked="false">
              <v:path arrowok="t"/>
              <v:fill type="solid"/>
            </v:shape>
            <v:shape style="position:absolute;left:3179;top:4218;width:5565;height:7999" coordorigin="3180,4218" coordsize="5565,7999" path="m5962,4218l3180,8217,5962,12216,8744,8217,5962,4218xe" filled="true" fillcolor="#dcedea" stroked="false">
              <v:path arrowok="t"/>
              <v:fill type="solid"/>
            </v:shape>
            <v:shape style="position:absolute;left:3279;top:4360;width:5366;height:7713" coordorigin="3279,4361" coordsize="5366,7713" path="m5962,4361l3279,8217,5962,12074,8645,8217,5962,4361xe" filled="true" fillcolor="#ddedeb" stroked="false">
              <v:path arrowok="t"/>
              <v:fill type="solid"/>
            </v:shape>
            <v:shape style="position:absolute;left:3378;top:4503;width:5167;height:7428" coordorigin="3379,4504" coordsize="5167,7428" path="m5962,4504l3379,8217,5962,11931,8545,8217,5962,4504xe" filled="true" fillcolor="#deeeeb" stroked="false">
              <v:path arrowok="t"/>
              <v:fill type="solid"/>
            </v:shape>
            <v:shape style="position:absolute;left:3477;top:4646;width:4969;height:7142" coordorigin="3478,4647" coordsize="4969,7142" path="m5962,4647l3478,8217,5962,11788,8446,8217,5962,4647xe" filled="true" fillcolor="#e0efec" stroked="false">
              <v:path arrowok="t"/>
              <v:fill type="solid"/>
            </v:shape>
            <v:shape style="position:absolute;left:3577;top:4789;width:4770;height:6856" coordorigin="3577,4789" coordsize="4770,6856" path="m5962,4789l3577,8217,5962,11645,8347,8217,5962,4789xe" filled="true" fillcolor="#e1efec" stroked="false">
              <v:path arrowok="t"/>
              <v:fill type="solid"/>
            </v:shape>
            <v:shape style="position:absolute;left:3676;top:4932;width:4571;height:6571" coordorigin="3677,4932" coordsize="4571,6571" path="m5962,4932l3677,8217,5962,11502,8247,8217,5962,4932xe" filled="true" fillcolor="#e2f0ed" stroked="false">
              <v:path arrowok="t"/>
              <v:fill type="solid"/>
            </v:shape>
            <v:shape style="position:absolute;left:3776;top:5075;width:4372;height:6285" coordorigin="3776,5075" coordsize="4372,6285" path="m5962,5075l3776,8217,5962,11360,8148,8217,5962,5075xe" filled="true" fillcolor="#e3f0ee" stroked="false">
              <v:path arrowok="t"/>
              <v:fill type="solid"/>
            </v:shape>
            <v:shape style="position:absolute;left:3875;top:5217;width:4174;height:5999" coordorigin="3875,5218" coordsize="4174,5999" path="m5962,5218l3875,8217,5962,11217,8049,8217,5962,5218xe" filled="true" fillcolor="#e4f1ee" stroked="false">
              <v:path arrowok="t"/>
              <v:fill type="solid"/>
            </v:shape>
            <v:shape style="position:absolute;left:3974;top:5360;width:3975;height:5714" coordorigin="3975,5361" coordsize="3975,5714" path="m5962,5361l3975,8217,5962,11074,7949,8217,5962,5361xe" filled="true" fillcolor="#e5f1ef" stroked="false">
              <v:path arrowok="t"/>
              <v:fill type="solid"/>
            </v:shape>
            <v:shape style="position:absolute;left:4074;top:5503;width:3776;height:5428" coordorigin="4074,5504" coordsize="3776,5428" path="m5962,5504l4074,8217,5962,10931,7850,8217,5962,5504xe" filled="true" fillcolor="#e6f2ef" stroked="false">
              <v:path arrowok="t"/>
              <v:fill type="solid"/>
            </v:shape>
            <v:shape style="position:absolute;left:4173;top:5646;width:3578;height:5142" coordorigin="4173,5646" coordsize="3578,5142" path="m5962,5646l4173,8217,5962,10788,7750,8217,5962,5646xe" filled="true" fillcolor="#e7f3f0" stroked="false">
              <v:path arrowok="t"/>
              <v:fill type="solid"/>
            </v:shape>
            <v:shape style="position:absolute;left:4272;top:5789;width:3379;height:4857" coordorigin="4273,5789" coordsize="3379,4857" path="m5962,5789l4273,8217,5962,10645,7651,8217,5962,5789xe" filled="true" fillcolor="#e9f3f1" stroked="false">
              <v:path arrowok="t"/>
              <v:fill type="solid"/>
            </v:shape>
            <v:shape style="position:absolute;left:4372;top:5932;width:3180;height:4571" coordorigin="4372,5932" coordsize="3180,4571" path="m5962,5932l4372,8217,5962,10503,7552,8217,5962,5932xe" filled="true" fillcolor="#eaf4f2" stroked="false">
              <v:path arrowok="t"/>
              <v:fill type="solid"/>
            </v:shape>
            <v:shape style="position:absolute;left:4471;top:6074;width:2981;height:4285" coordorigin="4472,6075" coordsize="2981,4285" path="m5962,6075l4472,8217,5962,10360,7452,8217,5962,6075xe" filled="true" fillcolor="#ebf4f2" stroked="false">
              <v:path arrowok="t"/>
              <v:fill type="solid"/>
            </v:shape>
            <v:shape style="position:absolute;left:4570;top:6217;width:2783;height:4000" coordorigin="4571,6218" coordsize="2783,4000" path="m5962,6218l4571,8217,5962,10217,7353,8217,5962,6218xe" filled="true" fillcolor="#ecf5f3" stroked="false">
              <v:path arrowok="t"/>
              <v:fill type="solid"/>
            </v:shape>
            <v:shape style="position:absolute;left:4670;top:6360;width:2584;height:3714" coordorigin="4670,6361" coordsize="2584,3714" path="m5962,6361l4670,8217,5962,10074,7254,8217,5962,6361xe" filled="true" fillcolor="#edf6f4" stroked="false">
              <v:path arrowok="t"/>
              <v:fill type="solid"/>
            </v:shape>
            <v:shape style="position:absolute;left:4769;top:6503;width:2385;height:3428" coordorigin="4770,6503" coordsize="2385,3428" path="m5962,6503l4770,8217,5962,9931,7154,8217,5962,6503xe" filled="true" fillcolor="#eff7f5" stroked="false">
              <v:path arrowok="t"/>
              <v:fill type="solid"/>
            </v:shape>
            <v:shape style="position:absolute;left:4869;top:6646;width:2186;height:3143" coordorigin="4869,6646" coordsize="2186,3143" path="m5962,6646l4869,8217,5962,9788,7055,8217,5962,6646xe" filled="true" fillcolor="#f0f7f5" stroked="false">
              <v:path arrowok="t"/>
              <v:fill type="solid"/>
            </v:shape>
            <v:shape style="position:absolute;left:4968;top:6789;width:1988;height:2857" coordorigin="4968,6789" coordsize="1988,2857" path="m5962,6789l4968,8217,5962,9646,6956,8217,5962,6789xe" filled="true" fillcolor="#f1f8f6" stroked="false">
              <v:path arrowok="t"/>
              <v:fill type="solid"/>
            </v:shape>
            <v:shape style="position:absolute;left:5067;top:6931;width:1789;height:2571" coordorigin="5068,6932" coordsize="1789,2571" path="m5962,6932l5068,8217,5962,9503,6856,8217,5962,6932xe" filled="true" fillcolor="#f2f8f7" stroked="false">
              <v:path arrowok="t"/>
              <v:fill type="solid"/>
            </v:shape>
            <v:shape style="position:absolute;left:5167;top:7074;width:1590;height:2286" coordorigin="5167,7075" coordsize="1590,2286" path="m5962,7075l5167,8217,5962,9360,6757,8217,5962,7075xe" filled="true" fillcolor="#f3f9f8" stroked="false">
              <v:path arrowok="t"/>
              <v:fill type="solid"/>
            </v:shape>
            <v:shape style="position:absolute;left:5266;top:7217;width:1392;height:2000" coordorigin="5266,7218" coordsize="1392,2000" path="m5962,7218l5266,8217,5962,9217,6658,8217,5962,7218xe" filled="true" fillcolor="#f5f9f8" stroked="false">
              <v:path arrowok="t"/>
              <v:fill type="solid"/>
            </v:shape>
            <v:shape style="position:absolute;left:5365;top:7360;width:1193;height:1714" coordorigin="5366,7360" coordsize="1193,1714" path="m5962,7360l5366,8217,5962,9074,6558,8217,5962,7360xe" filled="true" fillcolor="#f6faf9" stroked="false">
              <v:path arrowok="t"/>
              <v:fill type="solid"/>
            </v:shape>
            <v:shape style="position:absolute;left:5465;top:7503;width:994;height:1429" coordorigin="5465,7503" coordsize="994,1429" path="m5962,7503l5465,8217,5962,8931,6459,8217,5962,7503xe" filled="true" fillcolor="#f8fbfa" stroked="false">
              <v:path arrowok="t"/>
              <v:fill type="solid"/>
            </v:shape>
            <v:shape style="position:absolute;left:5564;top:7645;width:795;height:1143" coordorigin="5565,7646" coordsize="795,1143" path="m5962,7646l5565,8217,5962,8789,6359,8217,5962,7646xe" filled="true" fillcolor="#f9fcfc" stroked="false">
              <v:path arrowok="t"/>
              <v:fill type="solid"/>
            </v:shape>
            <v:shape style="position:absolute;left:5663;top:7788;width:597;height:857" coordorigin="5664,7789" coordsize="597,857" path="m5962,7789l5664,8217,5962,8646,6260,8217,5962,7789xe" filled="true" fillcolor="#fbfdfd" stroked="false">
              <v:path arrowok="t"/>
              <v:fill type="solid"/>
            </v:shape>
            <v:shape style="position:absolute;left:5763;top:7931;width:398;height:572" coordorigin="5763,7932" coordsize="398,572" path="m5962,7932l5763,8217,5962,8503,6161,8217,5962,7932xe" filled="true" fillcolor="#fdfefe" stroked="false">
              <v:path arrowok="t"/>
              <v:fill type="solid"/>
            </v:shape>
            <v:shape style="position:absolute;left:5862;top:8074;width:199;height:286" coordorigin="5863,8074" coordsize="199,286" path="m5962,8074l5863,8217,5962,8360,6061,8217,5962,8074xe" filled="true" fillcolor="#ffffff" stroked="false">
              <v:path arrowok="t"/>
              <v:fill type="solid"/>
            </v:shape>
            <v:rect style="position:absolute;left:805;top:800;width:10314;height:14835" filled="false" stroked="true" strokeweight="1pt" strokecolor="#009483">
              <v:stroke dashstyle="solid"/>
            </v:rect>
            <v:rect style="position:absolute;left:1089;top:11760;width:4695;height:2920" filled="true" fillcolor="#ffffff" stroked="false">
              <v:fill type="solid"/>
            </v:rect>
            <v:shape style="position:absolute;left:1070;top:11750;width:9773;height:3170" coordorigin="1070,11750" coordsize="9773,3170" path="m1070,14920l10842,14920m1125,11750l5770,11750e" filled="false" stroked="true" strokeweight=".125pt" strokecolor="#231f20">
              <v:path arrowok="t"/>
              <v:stroke dashstyle="solid"/>
            </v:shape>
            <v:shape style="position:absolute;left:1109;top:11741;width:4393;height:462" type="#_x0000_t202" filled="false" stroked="false">
              <v:textbox inset="0,0,0,0">
                <w:txbxContent>
                  <w:p>
                    <w:pPr>
                      <w:spacing w:line="249" w:lineRule="auto" w:before="0"/>
                      <w:ind w:left="0" w:right="0" w:firstLine="0"/>
                      <w:jc w:val="left"/>
                      <w:rPr>
                        <w:b/>
                        <w:sz w:val="20"/>
                      </w:rPr>
                    </w:pPr>
                    <w:r>
                      <w:rPr>
                        <w:b/>
                        <w:color w:val="0093C1"/>
                        <w:sz w:val="20"/>
                      </w:rPr>
                      <w:t>Survey results and estimates of total spending from windfalls</w:t>
                    </w:r>
                  </w:p>
                </w:txbxContent>
              </v:textbox>
              <w10:wrap type="none"/>
            </v:shape>
            <v:shape style="position:absolute;left:1108;top:12735;width:1848;height:1475" type="#_x0000_t202" filled="false" stroked="false">
              <v:textbox inset="0,0,0,0">
                <w:txbxContent>
                  <w:p>
                    <w:pPr>
                      <w:spacing w:line="145" w:lineRule="exact" w:before="0"/>
                      <w:ind w:left="0" w:right="0" w:firstLine="0"/>
                      <w:jc w:val="left"/>
                      <w:rPr>
                        <w:sz w:val="14"/>
                      </w:rPr>
                    </w:pPr>
                    <w:r>
                      <w:rPr>
                        <w:color w:val="231F20"/>
                        <w:sz w:val="14"/>
                      </w:rPr>
                      <w:t>Spending undertaken</w:t>
                    </w:r>
                  </w:p>
                  <w:p>
                    <w:pPr>
                      <w:spacing w:line="140" w:lineRule="exact" w:before="0"/>
                      <w:ind w:left="0" w:right="0" w:firstLine="0"/>
                      <w:jc w:val="left"/>
                      <w:rPr>
                        <w:i/>
                        <w:sz w:val="14"/>
                      </w:rPr>
                    </w:pPr>
                    <w:r>
                      <w:rPr>
                        <w:i/>
                        <w:color w:val="231F20"/>
                        <w:sz w:val="14"/>
                      </w:rPr>
                      <w:t>of which:</w:t>
                    </w:r>
                  </w:p>
                  <w:p>
                    <w:pPr>
                      <w:spacing w:line="208" w:lineRule="auto" w:before="6"/>
                      <w:ind w:left="70" w:right="8" w:firstLine="0"/>
                      <w:jc w:val="left"/>
                      <w:rPr>
                        <w:sz w:val="14"/>
                      </w:rPr>
                    </w:pPr>
                    <w:r>
                      <w:rPr>
                        <w:color w:val="231F20"/>
                        <w:sz w:val="14"/>
                      </w:rPr>
                      <w:t>Pre-windfall spending Spending out of share proceeds</w:t>
                    </w:r>
                  </w:p>
                  <w:p>
                    <w:pPr>
                      <w:spacing w:line="208" w:lineRule="auto" w:before="100"/>
                      <w:ind w:left="70" w:right="103" w:hanging="70"/>
                      <w:jc w:val="left"/>
                      <w:rPr>
                        <w:sz w:val="14"/>
                      </w:rPr>
                    </w:pPr>
                    <w:r>
                      <w:rPr>
                        <w:color w:val="231F20"/>
                        <w:sz w:val="14"/>
                      </w:rPr>
                      <w:t>Planned spending in </w:t>
                    </w:r>
                    <w:r>
                      <w:rPr>
                        <w:color w:val="231F20"/>
                        <w:spacing w:val="-5"/>
                        <w:sz w:val="14"/>
                      </w:rPr>
                      <w:t>next </w:t>
                    </w:r>
                    <w:r>
                      <w:rPr>
                        <w:color w:val="231F20"/>
                        <w:sz w:val="14"/>
                      </w:rPr>
                      <w:t>twelve months</w:t>
                    </w:r>
                  </w:p>
                  <w:p>
                    <w:pPr>
                      <w:spacing w:line="150" w:lineRule="exact" w:before="83"/>
                      <w:ind w:left="0" w:right="0" w:firstLine="0"/>
                      <w:jc w:val="left"/>
                      <w:rPr>
                        <w:b/>
                        <w:sz w:val="14"/>
                      </w:rPr>
                    </w:pPr>
                    <w:r>
                      <w:rPr>
                        <w:b/>
                        <w:color w:val="231F20"/>
                        <w:sz w:val="14"/>
                      </w:rPr>
                      <w:t>Total spending</w:t>
                    </w:r>
                  </w:p>
                  <w:p>
                    <w:pPr>
                      <w:spacing w:line="140" w:lineRule="exact" w:before="0"/>
                      <w:ind w:left="0" w:right="0" w:firstLine="0"/>
                      <w:jc w:val="left"/>
                      <w:rPr>
                        <w:i/>
                        <w:sz w:val="14"/>
                      </w:rPr>
                    </w:pPr>
                    <w:r>
                      <w:rPr>
                        <w:i/>
                        <w:color w:val="231F20"/>
                        <w:sz w:val="14"/>
                      </w:rPr>
                      <w:t>of which:</w:t>
                    </w:r>
                  </w:p>
                  <w:p>
                    <w:pPr>
                      <w:spacing w:line="150" w:lineRule="exact" w:before="0"/>
                      <w:ind w:left="70" w:right="0" w:firstLine="0"/>
                      <w:jc w:val="left"/>
                      <w:rPr>
                        <w:sz w:val="14"/>
                      </w:rPr>
                    </w:pPr>
                    <w:r>
                      <w:rPr>
                        <w:color w:val="231F20"/>
                        <w:sz w:val="14"/>
                      </w:rPr>
                      <w:t>Additional spending</w:t>
                    </w:r>
                  </w:p>
                </w:txbxContent>
              </v:textbox>
              <w10:wrap type="none"/>
            </v:shape>
            <v:shape style="position:absolute;left:2989;top:12355;width:1070;height:955" type="#_x0000_t202" filled="false" stroked="false">
              <v:textbox inset="0,0,0,0">
                <w:txbxContent>
                  <w:p>
                    <w:pPr>
                      <w:spacing w:line="208" w:lineRule="auto" w:before="11"/>
                      <w:ind w:left="0" w:right="0" w:firstLine="0"/>
                      <w:jc w:val="left"/>
                      <w:rPr>
                        <w:sz w:val="14"/>
                      </w:rPr>
                    </w:pPr>
                    <w:r>
                      <w:rPr>
                        <w:color w:val="231F20"/>
                        <w:sz w:val="14"/>
                      </w:rPr>
                      <w:t>Percentage of total </w:t>
                    </w:r>
                    <w:r>
                      <w:rPr>
                        <w:color w:val="231F20"/>
                        <w:sz w:val="14"/>
                        <w:u w:val="single" w:color="231F20"/>
                      </w:rPr>
                      <w:t>1997 windfalls </w:t>
                    </w:r>
                  </w:p>
                  <w:p>
                    <w:pPr>
                      <w:spacing w:before="83"/>
                      <w:ind w:left="351" w:right="538" w:firstLine="0"/>
                      <w:jc w:val="center"/>
                      <w:rPr>
                        <w:sz w:val="14"/>
                      </w:rPr>
                    </w:pPr>
                    <w:r>
                      <w:rPr>
                        <w:color w:val="231F20"/>
                        <w:sz w:val="14"/>
                      </w:rPr>
                      <w:t>20</w:t>
                    </w:r>
                  </w:p>
                  <w:p>
                    <w:pPr>
                      <w:spacing w:line="150" w:lineRule="exact" w:before="119"/>
                      <w:ind w:left="0" w:right="118" w:firstLine="0"/>
                      <w:jc w:val="center"/>
                      <w:rPr>
                        <w:sz w:val="14"/>
                      </w:rPr>
                    </w:pPr>
                    <w:r>
                      <w:rPr>
                        <w:color w:val="231F20"/>
                        <w:sz w:val="14"/>
                      </w:rPr>
                      <w:t>4</w:t>
                    </w:r>
                  </w:p>
                  <w:p>
                    <w:pPr>
                      <w:spacing w:line="150" w:lineRule="exact" w:before="0"/>
                      <w:ind w:left="350" w:right="538" w:firstLine="0"/>
                      <w:jc w:val="center"/>
                      <w:rPr>
                        <w:sz w:val="14"/>
                      </w:rPr>
                    </w:pPr>
                    <w:r>
                      <w:rPr>
                        <w:color w:val="231F20"/>
                        <w:sz w:val="14"/>
                      </w:rPr>
                      <w:t>16</w:t>
                    </w:r>
                  </w:p>
                </w:txbxContent>
              </v:textbox>
              <w10:wrap type="none"/>
            </v:shape>
            <v:shape style="position:absolute;left:4228;top:12355;width:1097;height:955" type="#_x0000_t202" filled="false" stroked="false">
              <v:textbox inset="0,0,0,0">
                <w:txbxContent>
                  <w:p>
                    <w:pPr>
                      <w:spacing w:line="145" w:lineRule="exact" w:before="0"/>
                      <w:ind w:left="0" w:right="0" w:firstLine="0"/>
                      <w:jc w:val="left"/>
                      <w:rPr>
                        <w:sz w:val="12"/>
                      </w:rPr>
                    </w:pPr>
                    <w:r>
                      <w:rPr>
                        <w:color w:val="231F20"/>
                        <w:sz w:val="14"/>
                      </w:rPr>
                      <w:t>Estimated value</w:t>
                    </w:r>
                    <w:r>
                      <w:rPr>
                        <w:color w:val="231F20"/>
                        <w:spacing w:val="-1"/>
                        <w:sz w:val="14"/>
                      </w:rPr>
                      <w:t> </w:t>
                    </w:r>
                    <w:r>
                      <w:rPr>
                        <w:color w:val="231F20"/>
                        <w:sz w:val="12"/>
                      </w:rPr>
                      <w:t>(a)</w:t>
                    </w:r>
                  </w:p>
                  <w:p>
                    <w:pPr>
                      <w:tabs>
                        <w:tab w:pos="1075" w:val="left" w:leader="none"/>
                      </w:tabs>
                      <w:spacing w:line="150" w:lineRule="exact" w:before="0"/>
                      <w:ind w:left="0" w:right="0" w:firstLine="0"/>
                      <w:jc w:val="left"/>
                      <w:rPr>
                        <w:sz w:val="14"/>
                      </w:rPr>
                    </w:pPr>
                    <w:r>
                      <w:rPr>
                        <w:color w:val="231F20"/>
                        <w:sz w:val="14"/>
                        <w:u w:val="single" w:color="231F20"/>
                      </w:rPr>
                      <w:t>(£ billions)</w:t>
                      <w:tab/>
                    </w:r>
                  </w:p>
                  <w:p>
                    <w:pPr>
                      <w:spacing w:before="79"/>
                      <w:ind w:left="244" w:right="0" w:firstLine="0"/>
                      <w:jc w:val="left"/>
                      <w:rPr>
                        <w:sz w:val="14"/>
                      </w:rPr>
                    </w:pPr>
                    <w:r>
                      <w:rPr>
                        <w:color w:val="231F20"/>
                        <w:sz w:val="14"/>
                      </w:rPr>
                      <w:t>7.5</w:t>
                    </w:r>
                  </w:p>
                  <w:p>
                    <w:pPr>
                      <w:spacing w:line="150" w:lineRule="exact" w:before="119"/>
                      <w:ind w:left="244" w:right="0" w:firstLine="0"/>
                      <w:jc w:val="left"/>
                      <w:rPr>
                        <w:sz w:val="14"/>
                      </w:rPr>
                    </w:pPr>
                    <w:r>
                      <w:rPr>
                        <w:color w:val="231F20"/>
                        <w:sz w:val="14"/>
                      </w:rPr>
                      <w:t>1.6</w:t>
                    </w:r>
                  </w:p>
                  <w:p>
                    <w:pPr>
                      <w:spacing w:line="150" w:lineRule="exact" w:before="0"/>
                      <w:ind w:left="244" w:right="0" w:firstLine="0"/>
                      <w:jc w:val="left"/>
                      <w:rPr>
                        <w:sz w:val="14"/>
                      </w:rPr>
                    </w:pPr>
                    <w:r>
                      <w:rPr>
                        <w:color w:val="231F20"/>
                        <w:sz w:val="14"/>
                      </w:rPr>
                      <w:t>5.9</w:t>
                    </w:r>
                  </w:p>
                </w:txbxContent>
              </v:textbox>
              <w10:wrap type="none"/>
            </v:shape>
            <v:shape style="position:absolute;left:3358;top:13534;width:161;height:675" type="#_x0000_t202" filled="false" stroked="false">
              <v:textbox inset="0,0,0,0">
                <w:txbxContent>
                  <w:p>
                    <w:pPr>
                      <w:spacing w:line="155" w:lineRule="exact" w:before="0"/>
                      <w:ind w:left="70" w:right="0" w:firstLine="0"/>
                      <w:jc w:val="left"/>
                      <w:rPr>
                        <w:sz w:val="14"/>
                      </w:rPr>
                    </w:pPr>
                    <w:r>
                      <w:rPr>
                        <w:color w:val="231F20"/>
                        <w:sz w:val="14"/>
                      </w:rPr>
                      <w:t>6</w:t>
                    </w:r>
                  </w:p>
                  <w:p>
                    <w:pPr>
                      <w:spacing w:before="79"/>
                      <w:ind w:left="0" w:right="0" w:firstLine="0"/>
                      <w:jc w:val="left"/>
                      <w:rPr>
                        <w:b/>
                        <w:sz w:val="14"/>
                      </w:rPr>
                    </w:pPr>
                    <w:r>
                      <w:rPr>
                        <w:b/>
                        <w:color w:val="231F20"/>
                        <w:sz w:val="14"/>
                      </w:rPr>
                      <w:t>26</w:t>
                    </w:r>
                  </w:p>
                  <w:p>
                    <w:pPr>
                      <w:spacing w:before="119"/>
                      <w:ind w:left="0" w:right="0" w:firstLine="0"/>
                      <w:jc w:val="left"/>
                      <w:rPr>
                        <w:sz w:val="14"/>
                      </w:rPr>
                    </w:pPr>
                    <w:r>
                      <w:rPr>
                        <w:color w:val="231F20"/>
                        <w:sz w:val="14"/>
                      </w:rPr>
                      <w:t>16</w:t>
                    </w:r>
                  </w:p>
                </w:txbxContent>
              </v:textbox>
              <w10:wrap type="none"/>
            </v:shape>
            <v:shape style="position:absolute;left:4473;top:13534;width:196;height:675" type="#_x0000_t202" filled="false" stroked="false">
              <v:textbox inset="0,0,0,0">
                <w:txbxContent>
                  <w:p>
                    <w:pPr>
                      <w:spacing w:line="155" w:lineRule="exact" w:before="0"/>
                      <w:ind w:left="0" w:right="0" w:firstLine="0"/>
                      <w:jc w:val="left"/>
                      <w:rPr>
                        <w:sz w:val="14"/>
                      </w:rPr>
                    </w:pPr>
                    <w:r>
                      <w:rPr>
                        <w:color w:val="231F20"/>
                        <w:sz w:val="14"/>
                      </w:rPr>
                      <w:t>2.2</w:t>
                    </w:r>
                  </w:p>
                  <w:p>
                    <w:pPr>
                      <w:spacing w:before="79"/>
                      <w:ind w:left="0" w:right="0" w:firstLine="0"/>
                      <w:jc w:val="left"/>
                      <w:rPr>
                        <w:b/>
                        <w:sz w:val="14"/>
                      </w:rPr>
                    </w:pPr>
                    <w:r>
                      <w:rPr>
                        <w:b/>
                        <w:color w:val="231F20"/>
                        <w:sz w:val="14"/>
                      </w:rPr>
                      <w:t>9.7</w:t>
                    </w:r>
                  </w:p>
                  <w:p>
                    <w:pPr>
                      <w:spacing w:before="119"/>
                      <w:ind w:left="0" w:right="0" w:firstLine="0"/>
                      <w:jc w:val="left"/>
                      <w:rPr>
                        <w:sz w:val="14"/>
                      </w:rPr>
                    </w:pPr>
                    <w:r>
                      <w:rPr>
                        <w:color w:val="231F20"/>
                        <w:sz w:val="14"/>
                      </w:rPr>
                      <w:t>6.0</w:t>
                    </w:r>
                  </w:p>
                </w:txbxContent>
              </v:textbox>
              <w10:wrap type="none"/>
            </v:shape>
            <v:shape style="position:absolute;left:1109;top:14272;width:4576;height:373" type="#_x0000_t202" filled="false" stroked="false">
              <v:textbox inset="0,0,0,0">
                <w:txbxContent>
                  <w:p>
                    <w:pPr>
                      <w:spacing w:line="124" w:lineRule="exact" w:before="0"/>
                      <w:ind w:left="0" w:right="0" w:firstLine="0"/>
                      <w:jc w:val="left"/>
                      <w:rPr>
                        <w:sz w:val="12"/>
                      </w:rPr>
                    </w:pPr>
                    <w:r>
                      <w:rPr>
                        <w:color w:val="231F20"/>
                        <w:sz w:val="12"/>
                      </w:rPr>
                      <w:t>(a) Estimates based on applying the survey results in the first column to the total payout of</w:t>
                    </w:r>
                  </w:p>
                  <w:p>
                    <w:pPr>
                      <w:spacing w:line="120" w:lineRule="exact" w:before="0"/>
                      <w:ind w:left="240" w:right="0" w:firstLine="0"/>
                      <w:jc w:val="left"/>
                      <w:rPr>
                        <w:i/>
                        <w:sz w:val="12"/>
                      </w:rPr>
                    </w:pPr>
                    <w:r>
                      <w:rPr>
                        <w:color w:val="231F20"/>
                        <w:sz w:val="12"/>
                      </w:rPr>
                      <w:t>£36.3 billion. This total is slightly higher than the estimate in the August </w:t>
                    </w:r>
                    <w:r>
                      <w:rPr>
                        <w:i/>
                        <w:color w:val="231F20"/>
                        <w:sz w:val="12"/>
                      </w:rPr>
                      <w:t>Inflation Report</w:t>
                    </w:r>
                  </w:p>
                  <w:p>
                    <w:pPr>
                      <w:spacing w:line="129" w:lineRule="exact" w:before="0"/>
                      <w:ind w:left="239" w:right="0" w:firstLine="0"/>
                      <w:jc w:val="left"/>
                      <w:rPr>
                        <w:sz w:val="12"/>
                      </w:rPr>
                    </w:pPr>
                    <w:r>
                      <w:rPr>
                        <w:color w:val="231F20"/>
                        <w:sz w:val="12"/>
                      </w:rPr>
                      <w:t>because of an increase in the share price of Northern Rock from its projected value.</w:t>
                    </w:r>
                  </w:p>
                </w:txbxContent>
              </v:textbox>
              <w10:wrap type="none"/>
            </v:shape>
            <w10:wrap type="none"/>
          </v:group>
        </w:pict>
      </w:r>
    </w:p>
    <w:p>
      <w:pPr>
        <w:pStyle w:val="BodyText"/>
        <w:spacing w:before="6"/>
        <w:rPr>
          <w:sz w:val="9"/>
        </w:rPr>
      </w:pPr>
    </w:p>
    <w:p>
      <w:pPr>
        <w:pStyle w:val="ListParagraph"/>
        <w:numPr>
          <w:ilvl w:val="1"/>
          <w:numId w:val="14"/>
        </w:numPr>
        <w:tabs>
          <w:tab w:pos="689" w:val="left" w:leader="none"/>
        </w:tabs>
        <w:spacing w:line="208" w:lineRule="auto" w:before="0" w:after="0"/>
        <w:ind w:left="688" w:right="902" w:hanging="240"/>
        <w:jc w:val="left"/>
        <w:rPr>
          <w:sz w:val="12"/>
        </w:rPr>
      </w:pPr>
      <w:r>
        <w:rPr>
          <w:color w:val="231F20"/>
          <w:sz w:val="12"/>
        </w:rPr>
        <w:t>The survey was carried out by telephone interviews in the last week of August. There were 764 respondents, each of whom received at least one windfall payment from either the Alliance &amp; Leicester, Halifax, Norwich Union or Woolwich building societies. Full survey results are available in a MORI press release dated 5</w:t>
      </w:r>
      <w:r>
        <w:rPr>
          <w:color w:val="231F20"/>
          <w:spacing w:val="-1"/>
          <w:sz w:val="12"/>
        </w:rPr>
        <w:t> </w:t>
      </w:r>
      <w:r>
        <w:rPr>
          <w:color w:val="231F20"/>
          <w:sz w:val="12"/>
        </w:rPr>
        <w:t>September.</w:t>
      </w:r>
    </w:p>
    <w:p>
      <w:pPr>
        <w:pStyle w:val="ListParagraph"/>
        <w:numPr>
          <w:ilvl w:val="1"/>
          <w:numId w:val="14"/>
        </w:numPr>
        <w:tabs>
          <w:tab w:pos="689" w:val="left" w:leader="none"/>
        </w:tabs>
        <w:spacing w:line="123" w:lineRule="exact" w:before="0" w:after="0"/>
        <w:ind w:left="688" w:right="0" w:hanging="241"/>
        <w:jc w:val="left"/>
        <w:rPr>
          <w:sz w:val="12"/>
        </w:rPr>
      </w:pPr>
      <w:r>
        <w:rPr>
          <w:color w:val="231F20"/>
          <w:sz w:val="12"/>
        </w:rPr>
        <w:t>Most of this will be recorded as consumers’ expenditure in the National Accounts, though a small proportion spent on contracted-out home improvements will count as</w:t>
      </w:r>
      <w:r>
        <w:rPr>
          <w:color w:val="231F20"/>
          <w:spacing w:val="-1"/>
          <w:sz w:val="12"/>
        </w:rPr>
        <w:t> </w:t>
      </w:r>
      <w:r>
        <w:rPr>
          <w:color w:val="231F20"/>
          <w:sz w:val="12"/>
        </w:rPr>
        <w:t>investment.</w:t>
      </w:r>
    </w:p>
    <w:p>
      <w:pPr>
        <w:spacing w:after="0" w:line="123" w:lineRule="exact"/>
        <w:jc w:val="left"/>
        <w:rPr>
          <w:sz w:val="12"/>
        </w:rPr>
        <w:sectPr>
          <w:type w:val="continuous"/>
          <w:pgSz w:w="11900" w:h="16840"/>
          <w:pgMar w:top="1040" w:bottom="280" w:left="640" w:right="660"/>
        </w:sectPr>
      </w:pPr>
    </w:p>
    <w:p>
      <w:pPr>
        <w:pStyle w:val="BodyText"/>
        <w:rPr>
          <w:sz w:val="20"/>
        </w:rPr>
      </w:pPr>
    </w:p>
    <w:p>
      <w:pPr>
        <w:pStyle w:val="Heading5"/>
        <w:spacing w:line="242" w:lineRule="auto" w:before="217"/>
        <w:ind w:left="4968" w:right="180"/>
      </w:pPr>
      <w:bookmarkStart w:name="Investment demand" w:id="44"/>
      <w:bookmarkEnd w:id="44"/>
      <w:r>
        <w:rPr/>
      </w:r>
      <w:bookmarkStart w:name="_bookmark20" w:id="45"/>
      <w:bookmarkEnd w:id="45"/>
      <w:r>
        <w:rPr/>
      </w:r>
      <w:r>
        <w:rPr>
          <w:color w:val="231F20"/>
        </w:rPr>
        <w:t>expectations of higher future activity and dividends, current consumption will increase. The most recent data showed that, even excluding the building society share allocations in April and June, net financial wealth rose by nearly 5% in the second quarter. This was much higher than the average quarterly rise in the present recovery.</w:t>
      </w:r>
    </w:p>
    <w:p>
      <w:pPr>
        <w:pStyle w:val="BodyText"/>
        <w:spacing w:before="2"/>
        <w:rPr>
          <w:sz w:val="25"/>
        </w:rPr>
      </w:pPr>
    </w:p>
    <w:p>
      <w:pPr>
        <w:spacing w:line="242" w:lineRule="auto" w:before="0"/>
        <w:ind w:left="4969" w:right="162" w:firstLine="0"/>
        <w:jc w:val="left"/>
        <w:rPr>
          <w:sz w:val="24"/>
        </w:rPr>
      </w:pPr>
      <w:r>
        <w:rPr>
          <w:color w:val="231F20"/>
          <w:sz w:val="24"/>
        </w:rPr>
        <w:t>Consumer confidence has also remained high. The Q3 average of the GFK Survey balance of respondents expecting their households’ financial situations to improve during the next twelve months was the highest since the survey began in 1995. Real personal disposable income rose by 3% in the second quarter, the fastest quarterly rise for nearly 20 years. Some of this may </w:t>
      </w:r>
      <w:r>
        <w:rPr>
          <w:color w:val="231F20"/>
          <w:spacing w:val="-3"/>
          <w:sz w:val="24"/>
        </w:rPr>
        <w:t>have </w:t>
      </w:r>
      <w:r>
        <w:rPr>
          <w:color w:val="231F20"/>
          <w:sz w:val="24"/>
        </w:rPr>
        <w:t>been caused by the one-off effects of large company dividend payments, brought forward to avoid the expected loss of tax credits in the July Budget, and the income tax cut announced in the 1996 Budget, </w:t>
      </w:r>
      <w:r>
        <w:rPr>
          <w:color w:val="231F20"/>
          <w:spacing w:val="-5"/>
          <w:sz w:val="24"/>
        </w:rPr>
        <w:t>which </w:t>
      </w:r>
      <w:r>
        <w:rPr>
          <w:color w:val="231F20"/>
          <w:sz w:val="24"/>
        </w:rPr>
        <w:t>took effect in April. But </w:t>
      </w:r>
      <w:r>
        <w:rPr>
          <w:color w:val="231F20"/>
          <w:spacing w:val="-3"/>
          <w:sz w:val="24"/>
        </w:rPr>
        <w:t>even </w:t>
      </w:r>
      <w:r>
        <w:rPr>
          <w:color w:val="231F20"/>
          <w:sz w:val="24"/>
        </w:rPr>
        <w:t>excluding these effects, real personal disposable income would still </w:t>
      </w:r>
      <w:r>
        <w:rPr>
          <w:color w:val="231F20"/>
          <w:spacing w:val="-3"/>
          <w:sz w:val="24"/>
        </w:rPr>
        <w:t>have </w:t>
      </w:r>
      <w:r>
        <w:rPr>
          <w:color w:val="231F20"/>
          <w:sz w:val="24"/>
        </w:rPr>
        <w:t>grown by nearly 1.5%, twice its long-run</w:t>
      </w:r>
      <w:r>
        <w:rPr>
          <w:color w:val="231F20"/>
          <w:spacing w:val="-3"/>
          <w:sz w:val="24"/>
        </w:rPr>
        <w:t> </w:t>
      </w:r>
      <w:r>
        <w:rPr>
          <w:color w:val="231F20"/>
          <w:sz w:val="24"/>
        </w:rPr>
        <w:t>average.</w:t>
      </w:r>
    </w:p>
    <w:p>
      <w:pPr>
        <w:pStyle w:val="BodyText"/>
        <w:spacing w:before="11"/>
        <w:rPr>
          <w:sz w:val="25"/>
        </w:rPr>
      </w:pPr>
    </w:p>
    <w:p>
      <w:pPr>
        <w:spacing w:line="242" w:lineRule="auto" w:before="0"/>
        <w:ind w:left="4969" w:right="459" w:firstLine="0"/>
        <w:jc w:val="left"/>
        <w:rPr>
          <w:sz w:val="24"/>
        </w:rPr>
      </w:pPr>
      <w:r>
        <w:rPr>
          <w:color w:val="231F20"/>
          <w:sz w:val="24"/>
        </w:rPr>
        <w:t>The savings ratio rose sharply to 11.7% in the second quarter, well above its long-term average and slightly above its average during the present recovery. Since consumers tend to smooth consumption over time, short-term changes in the saving ratio often relate to movements in income. So the rise in the ratio in the second quarter probably reflects the unusually large increase in personal income, rather than a change in saving behaviour.</w:t>
      </w:r>
    </w:p>
    <w:p>
      <w:pPr>
        <w:pStyle w:val="BodyText"/>
        <w:spacing w:before="6"/>
        <w:rPr>
          <w:sz w:val="17"/>
        </w:rPr>
      </w:pPr>
    </w:p>
    <w:p>
      <w:pPr>
        <w:spacing w:after="0"/>
        <w:rPr>
          <w:sz w:val="17"/>
        </w:rPr>
        <w:sectPr>
          <w:pgSz w:w="11900" w:h="16840"/>
          <w:pgMar w:header="586" w:footer="617" w:top="780" w:bottom="800" w:left="640" w:right="660"/>
        </w:sectPr>
      </w:pPr>
    </w:p>
    <w:p>
      <w:pPr>
        <w:pStyle w:val="BodyText"/>
        <w:rPr>
          <w:sz w:val="22"/>
        </w:rPr>
      </w:pPr>
    </w:p>
    <w:p>
      <w:pPr>
        <w:pStyle w:val="BodyText"/>
        <w:spacing w:before="8"/>
        <w:rPr>
          <w:sz w:val="31"/>
        </w:rPr>
      </w:pPr>
    </w:p>
    <w:p>
      <w:pPr>
        <w:pStyle w:val="Heading9"/>
        <w:spacing w:before="0"/>
        <w:ind w:left="174"/>
      </w:pPr>
      <w:r>
        <w:rPr>
          <w:color w:val="0093C1"/>
        </w:rPr>
        <w:t>Chart 3.4</w:t>
      </w:r>
    </w:p>
    <w:p>
      <w:pPr>
        <w:spacing w:line="249" w:lineRule="auto" w:before="10"/>
        <w:ind w:left="174" w:right="23" w:firstLine="0"/>
        <w:jc w:val="left"/>
        <w:rPr>
          <w:sz w:val="12"/>
        </w:rPr>
      </w:pPr>
      <w:r>
        <w:rPr>
          <w:b/>
          <w:color w:val="0093C1"/>
          <w:sz w:val="20"/>
        </w:rPr>
        <w:t>Whole-economy investment as a share of GDP (1991–97)—international comparisons</w:t>
      </w:r>
      <w:r>
        <w:rPr>
          <w:color w:val="231F20"/>
          <w:position w:val="4"/>
          <w:sz w:val="12"/>
        </w:rPr>
        <w:t>(a)</w:t>
      </w:r>
    </w:p>
    <w:p>
      <w:pPr>
        <w:spacing w:before="47"/>
        <w:ind w:left="3239" w:right="0" w:firstLine="0"/>
        <w:jc w:val="left"/>
        <w:rPr>
          <w:sz w:val="12"/>
        </w:rPr>
      </w:pPr>
      <w:r>
        <w:rPr/>
        <w:pict>
          <v:line style="position:absolute;mso-position-horizontal-relative:page;mso-position-vertical-relative:paragraph;z-index:15881216" from="45.200001pt,10.448557pt" to="40.200001pt,10.448557pt" stroked="true" strokeweight=".5pt" strokecolor="#000000">
            <v:stroke dashstyle="solid"/>
            <w10:wrap type="none"/>
          </v:line>
        </w:pict>
      </w:r>
      <w:r>
        <w:rPr/>
        <w:pict>
          <v:line style="position:absolute;mso-position-horizontal-relative:page;mso-position-vertical-relative:paragraph;z-index:15888384" from="213.199997pt,10.448557pt" to="208.199997pt,10.448557pt" stroked="true" strokeweight=".5pt" strokecolor="#000000">
            <v:stroke dashstyle="solid"/>
            <w10:wrap type="none"/>
          </v:line>
        </w:pict>
      </w:r>
      <w:r>
        <w:rPr>
          <w:sz w:val="12"/>
        </w:rPr>
        <w:t>Per cent </w:t>
      </w:r>
      <w:r>
        <w:rPr>
          <w:spacing w:val="24"/>
          <w:sz w:val="12"/>
        </w:rPr>
        <w:t> </w:t>
      </w:r>
      <w:r>
        <w:rPr>
          <w:position w:val="-5"/>
          <w:sz w:val="12"/>
        </w:rPr>
        <w:t>35</w:t>
      </w:r>
    </w:p>
    <w:p>
      <w:pPr>
        <w:pStyle w:val="BodyText"/>
        <w:spacing w:before="6"/>
        <w:rPr>
          <w:sz w:val="24"/>
        </w:rPr>
      </w:pPr>
    </w:p>
    <w:p>
      <w:pPr>
        <w:spacing w:before="0"/>
        <w:ind w:left="3714" w:right="0" w:firstLine="0"/>
        <w:jc w:val="left"/>
        <w:rPr>
          <w:sz w:val="12"/>
        </w:rPr>
      </w:pPr>
      <w:r>
        <w:rPr/>
        <w:pict>
          <v:line style="position:absolute;mso-position-horizontal-relative:page;mso-position-vertical-relative:paragraph;z-index:15880704" from="45.200001pt,5.101563pt" to="40.200001pt,5.101563pt" stroked="true" strokeweight=".5pt" strokecolor="#000000">
            <v:stroke dashstyle="solid"/>
            <w10:wrap type="none"/>
          </v:line>
        </w:pict>
      </w:r>
      <w:r>
        <w:rPr/>
        <w:pict>
          <v:group style="position:absolute;margin-left:50.700001pt;margin-top:-5.742117pt;width:152pt;height:20.350pt;mso-position-horizontal-relative:page;mso-position-vertical-relative:paragraph;z-index:15882240" coordorigin="1014,-115" coordsize="3040,407">
            <v:shape style="position:absolute;left:1024;top:-78;width:3020;height:360" coordorigin="1024,-78" coordsize="3020,360" path="m1024,-78l1264,2,1504,42,1624,42,1744,62,1864,102,1984,102,2104,162,2224,142,2464,222,2584,182,2824,262,2944,282,3064,262,3184,262,3304,202m3304,202l3424,182,3544,122,3804,122,3904,262,4044,262e" filled="false" stroked="true" strokeweight="1pt" strokecolor="#95459a">
              <v:path arrowok="t"/>
              <v:stroke dashstyle="solid"/>
            </v:shape>
            <v:shape style="position:absolute;left:1673;top:-115;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w10:wrap type="none"/>
          </v:group>
        </w:pict>
      </w:r>
      <w:r>
        <w:rPr/>
        <w:pict>
          <v:line style="position:absolute;mso-position-horizontal-relative:page;mso-position-vertical-relative:paragraph;z-index:15887872" from="213.199997pt,5.101563pt" to="208.199997pt,5.101563pt" stroked="true" strokeweight=".5pt" strokecolor="#000000">
            <v:stroke dashstyle="solid"/>
            <w10:wrap type="none"/>
          </v:line>
        </w:pict>
      </w:r>
      <w:r>
        <w:rPr>
          <w:sz w:val="12"/>
        </w:rPr>
        <w:t>30</w:t>
      </w:r>
    </w:p>
    <w:p>
      <w:pPr>
        <w:tabs>
          <w:tab w:pos="3833" w:val="right" w:leader="none"/>
        </w:tabs>
        <w:spacing w:before="302"/>
        <w:ind w:left="994" w:right="0" w:firstLine="0"/>
        <w:jc w:val="left"/>
        <w:rPr>
          <w:sz w:val="12"/>
        </w:rPr>
      </w:pPr>
      <w:r>
        <w:rPr/>
        <w:pict>
          <v:line style="position:absolute;mso-position-horizontal-relative:page;mso-position-vertical-relative:paragraph;z-index:15880192" from="45.200001pt,20.200556pt" to="40.200001pt,20.200556pt" stroked="true" strokeweight=".5pt" strokecolor="#000000">
            <v:stroke dashstyle="solid"/>
            <w10:wrap type="none"/>
          </v:line>
        </w:pict>
      </w:r>
      <w:r>
        <w:rPr/>
        <w:pict>
          <v:shape style="position:absolute;margin-left:51.200001pt;margin-top:26.200556pt;width:151pt;height:15pt;mso-position-horizontal-relative:page;mso-position-vertical-relative:paragraph;z-index:15882752" coordorigin="1024,524" coordsize="3020,300" path="m1024,584l1264,544,1384,564,1504,524,1624,544,1744,604,1864,604,1984,624,2104,684,2224,664,2344,724,2464,664,2584,684,2704,684,2824,664,2944,664,3064,704,3304,744m3304,744l3424,824,3544,744,3684,764,3804,764,3904,804,4044,824e" filled="false" stroked="true" strokeweight="1pt" strokecolor="#faab54">
            <v:path arrowok="t"/>
            <v:stroke dashstyle="solid"/>
            <w10:wrap type="none"/>
          </v:shape>
        </w:pict>
      </w:r>
      <w:r>
        <w:rPr/>
        <w:pict>
          <v:line style="position:absolute;mso-position-horizontal-relative:page;mso-position-vertical-relative:paragraph;z-index:-20850688" from="213.199997pt,20.200556pt" to="208.199997pt,20.200556pt" stroked="true" strokeweight=".5pt" strokecolor="#000000">
            <v:stroke dashstyle="solid"/>
            <w10:wrap type="none"/>
          </v:line>
        </w:pict>
      </w:r>
      <w:r>
        <w:rPr>
          <w:sz w:val="12"/>
        </w:rPr>
        <w:t>Germany</w:t>
        <w:tab/>
      </w:r>
      <w:r>
        <w:rPr>
          <w:position w:val="8"/>
          <w:sz w:val="12"/>
        </w:rPr>
        <w:t>25</w:t>
      </w:r>
    </w:p>
    <w:p>
      <w:pPr>
        <w:pStyle w:val="BodyText"/>
        <w:spacing w:before="6"/>
        <w:rPr>
          <w:sz w:val="17"/>
        </w:rPr>
      </w:pPr>
    </w:p>
    <w:p>
      <w:pPr>
        <w:spacing w:before="1"/>
        <w:ind w:left="3714" w:right="0" w:firstLine="0"/>
        <w:jc w:val="left"/>
        <w:rPr>
          <w:sz w:val="12"/>
        </w:rPr>
      </w:pPr>
      <w:r>
        <w:rPr/>
        <w:pict>
          <v:line style="position:absolute;mso-position-horizontal-relative:page;mso-position-vertical-relative:paragraph;z-index:15879680" from="45.200001pt,5.151563pt" to="40.200001pt,5.151563pt" stroked="true" strokeweight=".5pt" strokecolor="#000000">
            <v:stroke dashstyle="solid"/>
            <w10:wrap type="none"/>
          </v:line>
        </w:pict>
      </w:r>
      <w:r>
        <w:rPr/>
        <w:pict>
          <v:line style="position:absolute;mso-position-horizontal-relative:page;mso-position-vertical-relative:paragraph;z-index:15886848" from="213.199997pt,5.151563pt" to="208.199997pt,5.151563pt" stroked="true" strokeweight=".5pt" strokecolor="#000000">
            <v:stroke dashstyle="solid"/>
            <w10:wrap type="none"/>
          </v:line>
        </w:pict>
      </w:r>
      <w:r>
        <w:rPr>
          <w:sz w:val="12"/>
        </w:rPr>
        <w:t>20</w:t>
      </w:r>
    </w:p>
    <w:p>
      <w:pPr>
        <w:pStyle w:val="BodyText"/>
        <w:rPr>
          <w:sz w:val="12"/>
        </w:rPr>
      </w:pPr>
    </w:p>
    <w:p>
      <w:pPr>
        <w:pStyle w:val="BodyText"/>
        <w:spacing w:before="5"/>
        <w:rPr>
          <w:sz w:val="12"/>
        </w:rPr>
      </w:pPr>
    </w:p>
    <w:p>
      <w:pPr>
        <w:spacing w:before="1"/>
        <w:ind w:left="3714" w:right="0" w:firstLine="0"/>
        <w:jc w:val="left"/>
        <w:rPr>
          <w:sz w:val="12"/>
        </w:rPr>
      </w:pPr>
      <w:r>
        <w:rPr/>
        <w:pict>
          <v:line style="position:absolute;mso-position-horizontal-relative:page;mso-position-vertical-relative:paragraph;z-index:15879168" from="45.200001pt,6.151563pt" to="40.200001pt,6.151563pt" stroked="true" strokeweight=".5pt" strokecolor="#000000">
            <v:stroke dashstyle="solid"/>
            <w10:wrap type="none"/>
          </v:line>
        </w:pict>
      </w:r>
      <w:r>
        <w:rPr/>
        <w:pict>
          <v:group style="position:absolute;margin-left:50.700001pt;margin-top:-6.692117pt;width:152pt;height:24.35pt;mso-position-horizontal-relative:page;mso-position-vertical-relative:paragraph;z-index:15883776" coordorigin="1014,-134" coordsize="3040,487">
            <v:shape style="position:absolute;left:1024;top:163;width:3020;height:180" coordorigin="1024,163" coordsize="3020,180" path="m1024,323l1144,323,1264,343,1504,343,1624,323,1864,323,2104,283,2224,283,2344,263,2464,263,2704,223,2824,223,2944,203,3064,223,3304,223m3304,223l3544,183,3684,163,3804,163,3904,183,4044,163e" filled="false" stroked="true" strokeweight="1pt" strokecolor="#0066a5">
              <v:path arrowok="t"/>
              <v:stroke dashstyle="solid"/>
            </v:shape>
            <v:shape style="position:absolute;left:1024;top:-97;width:3020;height:320" coordorigin="1024,-97" coordsize="3020,320" path="m1024,-97l1264,-17,1384,-17,1744,43,1984,43,2104,103,2224,123,2464,83,2584,123,2704,123,2824,103,2944,143,3064,143,3304,183m3304,183l3424,203,3544,163,3684,223,4044,223e" filled="false" stroked="true" strokeweight="1pt" strokecolor="#008256">
              <v:path arrowok="t"/>
              <v:stroke dashstyle="solid"/>
            </v:shape>
            <v:shape style="position:absolute;left:1014;top:-134;width:3040;height:487" type="#_x0000_t202" filled="false" stroked="false">
              <v:textbox inset="0,0,0,0">
                <w:txbxContent>
                  <w:p>
                    <w:pPr>
                      <w:spacing w:line="133" w:lineRule="exact" w:before="0"/>
                      <w:ind w:left="599" w:right="0" w:firstLine="0"/>
                      <w:jc w:val="left"/>
                      <w:rPr>
                        <w:sz w:val="12"/>
                      </w:rPr>
                    </w:pPr>
                    <w:r>
                      <w:rPr>
                        <w:sz w:val="12"/>
                      </w:rPr>
                      <w:t>United Kingdom</w:t>
                    </w:r>
                  </w:p>
                </w:txbxContent>
              </v:textbox>
              <w10:wrap type="none"/>
            </v:shape>
            <w10:wrap type="none"/>
          </v:group>
        </w:pict>
      </w:r>
      <w:r>
        <w:rPr/>
        <w:pict>
          <v:line style="position:absolute;mso-position-horizontal-relative:page;mso-position-vertical-relative:paragraph;z-index:15886336" from="213.199997pt,6.151563pt" to="208.199997pt,6.151563pt" stroked="true" strokeweight=".5pt" strokecolor="#000000">
            <v:stroke dashstyle="solid"/>
            <w10:wrap type="none"/>
          </v:line>
        </w:pict>
      </w:r>
      <w:r>
        <w:rPr>
          <w:sz w:val="12"/>
        </w:rPr>
        <w:t>15</w:t>
      </w:r>
    </w:p>
    <w:p>
      <w:pPr>
        <w:pStyle w:val="BodyText"/>
        <w:spacing w:before="11"/>
        <w:rPr>
          <w:sz w:val="16"/>
        </w:rPr>
      </w:pPr>
    </w:p>
    <w:p>
      <w:pPr>
        <w:spacing w:line="122" w:lineRule="exact" w:before="0"/>
        <w:ind w:left="994" w:right="0" w:firstLine="0"/>
        <w:jc w:val="left"/>
        <w:rPr>
          <w:sz w:val="12"/>
        </w:rPr>
      </w:pPr>
      <w:r>
        <w:rPr>
          <w:sz w:val="12"/>
        </w:rPr>
        <w:t>United States</w:t>
      </w:r>
    </w:p>
    <w:p>
      <w:pPr>
        <w:spacing w:line="122" w:lineRule="exact" w:before="0"/>
        <w:ind w:left="3714" w:right="0" w:firstLine="0"/>
        <w:jc w:val="left"/>
        <w:rPr>
          <w:sz w:val="12"/>
        </w:rPr>
      </w:pPr>
      <w:r>
        <w:rPr/>
        <w:pict>
          <v:line style="position:absolute;mso-position-horizontal-relative:page;mso-position-vertical-relative:paragraph;z-index:15878656" from="45.200001pt,4.318352pt" to="40.200001pt,4.318352pt" stroked="true" strokeweight=".5pt" strokecolor="#000000">
            <v:stroke dashstyle="solid"/>
            <w10:wrap type="none"/>
          </v:line>
        </w:pict>
      </w:r>
      <w:r>
        <w:rPr/>
        <w:pict>
          <v:line style="position:absolute;mso-position-horizontal-relative:page;mso-position-vertical-relative:paragraph;z-index:15885824" from="213.199997pt,4.318352pt" to="208.199997pt,4.318352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3774" w:right="0" w:firstLine="0"/>
        <w:jc w:val="left"/>
        <w:rPr>
          <w:sz w:val="12"/>
        </w:rPr>
      </w:pPr>
      <w:r>
        <w:rPr/>
        <w:pict>
          <v:line style="position:absolute;mso-position-horizontal-relative:page;mso-position-vertical-relative:paragraph;z-index:15878144" from="45.200001pt,5.101563pt" to="40.200001pt,5.101563pt" stroked="true" strokeweight=".5pt" strokecolor="#000000">
            <v:stroke dashstyle="solid"/>
            <w10:wrap type="none"/>
          </v:line>
        </w:pict>
      </w:r>
      <w:r>
        <w:rPr/>
        <w:pict>
          <v:line style="position:absolute;mso-position-horizontal-relative:page;mso-position-vertical-relative:paragraph;z-index:15885312" from="213.199997pt,5.101563pt" to="208.199997pt,5.101563pt" stroked="true" strokeweight=".5pt" strokecolor="#000000">
            <v:stroke dashstyle="solid"/>
            <w10:wrap type="none"/>
          </v:line>
        </w:pict>
      </w:r>
      <w:r>
        <w:rPr>
          <w:sz w:val="12"/>
        </w:rPr>
        <w:t>5</w:t>
      </w:r>
    </w:p>
    <w:p>
      <w:pPr>
        <w:pStyle w:val="BodyText"/>
        <w:rPr>
          <w:sz w:val="12"/>
        </w:rPr>
      </w:pPr>
    </w:p>
    <w:p>
      <w:pPr>
        <w:pStyle w:val="BodyText"/>
        <w:spacing w:before="6"/>
        <w:rPr>
          <w:sz w:val="12"/>
        </w:rPr>
      </w:pPr>
    </w:p>
    <w:p>
      <w:pPr>
        <w:spacing w:before="0"/>
        <w:ind w:left="3774" w:right="0" w:firstLine="0"/>
        <w:jc w:val="left"/>
        <w:rPr>
          <w:sz w:val="12"/>
        </w:rPr>
      </w:pPr>
      <w:r>
        <w:rPr/>
        <w:pict>
          <v:line style="position:absolute;mso-position-horizontal-relative:page;mso-position-vertical-relative:paragraph;z-index:15877632" from="45.200001pt,5.101563pt" to="40.200001pt,5.101563pt" stroked="true" strokeweight=".5pt" strokecolor="#000000">
            <v:stroke dashstyle="solid"/>
            <w10:wrap type="none"/>
          </v:line>
        </w:pict>
      </w:r>
      <w:r>
        <w:rPr/>
        <w:pict>
          <v:shape style="position:absolute;margin-left:51.200001pt;margin-top:.101563pt;width:150pt;height:5pt;mso-position-horizontal-relative:page;mso-position-vertical-relative:paragraph;z-index:15884288" coordorigin="1024,2" coordsize="3000,100" path="m1024,102l4024,102m1024,102l1024,62m1144,102l1144,62m1264,102l1264,62m1384,102l1384,62m1504,102l1504,62m1624,102l1624,62m1744,102l1744,62m1864,102l1864,62m1984,102l1984,62m2104,102l2104,62m2224,102l2224,62m2344,102l2344,62m2464,102l2464,62m2584,102l2584,62m2704,102l2704,62m2824,102l2824,62m2944,102l2944,62m3064,102l3064,62m3184,102l3184,62m3304,102l3304,62m3424,102l3424,62m3544,102l3544,62m3664,102l3664,62m3784,102l3784,62m3904,102l3904,62m4024,102l4024,62m1024,102l1024,2m1504,102l1504,2m1984,102l1984,2m2464,102l2464,2m2944,102l2944,2m3424,102l3424,2m3904,102l3904,2e" filled="false" stroked="true" strokeweight=".5pt" strokecolor="#000000">
            <v:path arrowok="t"/>
            <v:stroke dashstyle="solid"/>
            <w10:wrap type="none"/>
          </v:shape>
        </w:pict>
      </w:r>
      <w:r>
        <w:rPr/>
        <w:pict>
          <v:line style="position:absolute;mso-position-horizontal-relative:page;mso-position-vertical-relative:paragraph;z-index:15884800" from="213.199997pt,5.101563pt" to="208.199997pt,5.101563pt" stroked="true" strokeweight=".5pt" strokecolor="#000000">
            <v:stroke dashstyle="solid"/>
            <w10:wrap type="none"/>
          </v:line>
        </w:pict>
      </w:r>
      <w:r>
        <w:rPr>
          <w:sz w:val="12"/>
        </w:rPr>
        <w:t>0</w:t>
      </w:r>
    </w:p>
    <w:p>
      <w:pPr>
        <w:tabs>
          <w:tab w:pos="1053" w:val="left" w:leader="none"/>
          <w:tab w:pos="1533" w:val="left" w:leader="none"/>
          <w:tab w:pos="2013" w:val="left" w:leader="none"/>
          <w:tab w:pos="2493" w:val="left" w:leader="none"/>
          <w:tab w:pos="2973" w:val="left" w:leader="none"/>
        </w:tabs>
        <w:spacing w:before="2"/>
        <w:ind w:left="513" w:right="0" w:firstLine="0"/>
        <w:jc w:val="left"/>
        <w:rPr>
          <w:sz w:val="12"/>
        </w:rPr>
      </w:pPr>
      <w:r>
        <w:rPr>
          <w:sz w:val="12"/>
        </w:rPr>
        <w:t>1991</w:t>
        <w:tab/>
        <w:t>92</w:t>
        <w:tab/>
        <w:t>93</w:t>
        <w:tab/>
        <w:t>94</w:t>
        <w:tab/>
        <w:t>95</w:t>
        <w:tab/>
        <w:t>96</w:t>
      </w:r>
      <w:r>
        <w:rPr>
          <w:spacing w:val="9"/>
          <w:sz w:val="12"/>
        </w:rPr>
        <w:t> </w:t>
      </w:r>
      <w:r>
        <w:rPr>
          <w:sz w:val="12"/>
        </w:rPr>
        <w:t>97</w:t>
      </w:r>
    </w:p>
    <w:p>
      <w:pPr>
        <w:pStyle w:val="BodyText"/>
        <w:spacing w:before="1"/>
        <w:rPr>
          <w:sz w:val="10"/>
        </w:rPr>
      </w:pPr>
    </w:p>
    <w:p>
      <w:pPr>
        <w:spacing w:before="0"/>
        <w:ind w:left="173" w:right="0" w:firstLine="0"/>
        <w:jc w:val="left"/>
        <w:rPr>
          <w:sz w:val="12"/>
        </w:rPr>
      </w:pPr>
      <w:r>
        <w:rPr>
          <w:color w:val="231F20"/>
          <w:sz w:val="12"/>
        </w:rPr>
        <w:t>Sources: ONS and Bank for International Settlements (BIS).</w:t>
      </w:r>
    </w:p>
    <w:p>
      <w:pPr>
        <w:spacing w:before="102"/>
        <w:ind w:left="173" w:right="0" w:firstLine="0"/>
        <w:jc w:val="left"/>
        <w:rPr>
          <w:sz w:val="12"/>
        </w:rPr>
      </w:pPr>
      <w:r>
        <w:rPr>
          <w:color w:val="231F20"/>
          <w:sz w:val="12"/>
        </w:rPr>
        <w:t>(a) At current prices.</w:t>
      </w:r>
    </w:p>
    <w:p>
      <w:pPr>
        <w:pStyle w:val="Heading6"/>
        <w:spacing w:before="90"/>
        <w:ind w:left="175"/>
        <w:rPr>
          <w:i/>
        </w:rPr>
      </w:pPr>
      <w:r>
        <w:rPr>
          <w:i w:val="0"/>
        </w:rPr>
        <w:br w:type="column"/>
      </w:r>
      <w:r>
        <w:rPr>
          <w:i/>
          <w:color w:val="009483"/>
        </w:rPr>
        <w:t>Investment demand</w:t>
      </w:r>
    </w:p>
    <w:p>
      <w:pPr>
        <w:spacing w:line="242" w:lineRule="auto" w:before="144"/>
        <w:ind w:left="173" w:right="180" w:firstLine="0"/>
        <w:jc w:val="left"/>
        <w:rPr>
          <w:sz w:val="24"/>
        </w:rPr>
      </w:pPr>
      <w:r>
        <w:rPr>
          <w:color w:val="231F20"/>
          <w:sz w:val="24"/>
        </w:rPr>
        <w:t>Real whole-economy investment rose by 2% in the second quarter of 1997, contributing 0.4 percentage points to GDP growth. This is a stronger contribution to growth than earlier in the recovery—investment contributed 0.1 percentage points per quarter, on average, since 1992 Q1. As noted in previous </w:t>
      </w:r>
      <w:r>
        <w:rPr>
          <w:i/>
          <w:color w:val="231F20"/>
          <w:sz w:val="24"/>
        </w:rPr>
        <w:t>Reports</w:t>
      </w:r>
      <w:r>
        <w:rPr>
          <w:color w:val="231F20"/>
          <w:sz w:val="24"/>
        </w:rPr>
        <w:t>, investment has fallen as a share of GDP and has been weaker than in the previous recovery. Chart 3.4 compares the share of investment relative to output</w:t>
      </w:r>
    </w:p>
    <w:p>
      <w:pPr>
        <w:spacing w:line="242" w:lineRule="auto" w:before="13"/>
        <w:ind w:left="174" w:right="259" w:firstLine="0"/>
        <w:jc w:val="left"/>
        <w:rPr>
          <w:sz w:val="24"/>
        </w:rPr>
      </w:pPr>
      <w:r>
        <w:rPr>
          <w:color w:val="231F20"/>
          <w:sz w:val="24"/>
        </w:rPr>
        <w:t>in the United Kingdom with that of other major economies. It shows that since 1991, the share of investment in GDP fell in the United Kingdom, Germany and Japan, but rose in the United States. But the recovery in US investment has been from a lower base relative to UK investment, and the degree of capacity utilisation in the US manufacturing sector may also be higher.</w:t>
      </w:r>
    </w:p>
    <w:p>
      <w:pPr>
        <w:spacing w:after="0" w:line="242" w:lineRule="auto"/>
        <w:jc w:val="left"/>
        <w:rPr>
          <w:sz w:val="24"/>
        </w:rPr>
        <w:sectPr>
          <w:type w:val="continuous"/>
          <w:pgSz w:w="11900" w:h="16840"/>
          <w:pgMar w:top="1040" w:bottom="280" w:left="640" w:right="660"/>
          <w:cols w:num="2" w:equalWidth="0">
            <w:col w:w="4091" w:space="704"/>
            <w:col w:w="5805"/>
          </w:cols>
        </w:sectPr>
      </w:pPr>
    </w:p>
    <w:p>
      <w:pPr>
        <w:pStyle w:val="BodyText"/>
        <w:rPr>
          <w:sz w:val="20"/>
        </w:rPr>
      </w:pPr>
    </w:p>
    <w:p>
      <w:pPr>
        <w:spacing w:after="0"/>
        <w:rPr>
          <w:sz w:val="20"/>
        </w:rPr>
        <w:sectPr>
          <w:headerReference w:type="even" r:id="rId49"/>
          <w:headerReference w:type="default" r:id="rId50"/>
          <w:footerReference w:type="even" r:id="rId51"/>
          <w:footerReference w:type="default" r:id="rId52"/>
          <w:pgSz w:w="11900" w:h="16840"/>
          <w:pgMar w:header="586" w:footer="597" w:top="780" w:bottom="780" w:left="640" w:right="660"/>
          <w:pgNumType w:start="22"/>
        </w:sectPr>
      </w:pPr>
    </w:p>
    <w:p>
      <w:pPr>
        <w:pStyle w:val="BodyText"/>
        <w:spacing w:before="6"/>
        <w:rPr>
          <w:sz w:val="20"/>
        </w:rPr>
      </w:pPr>
    </w:p>
    <w:p>
      <w:pPr>
        <w:pStyle w:val="Heading9"/>
        <w:spacing w:before="0"/>
        <w:ind w:left="169"/>
      </w:pPr>
      <w:r>
        <w:rPr>
          <w:color w:val="0093C1"/>
        </w:rPr>
        <w:t>Table 3.B</w:t>
      </w:r>
    </w:p>
    <w:p>
      <w:pPr>
        <w:spacing w:line="249" w:lineRule="auto" w:before="10"/>
        <w:ind w:left="169" w:right="113" w:firstLine="0"/>
        <w:jc w:val="left"/>
        <w:rPr>
          <w:b/>
          <w:sz w:val="20"/>
        </w:rPr>
      </w:pPr>
      <w:r>
        <w:rPr>
          <w:b/>
          <w:color w:val="0093C1"/>
          <w:sz w:val="20"/>
        </w:rPr>
        <w:t>Change in investment as a share of GDP in the recovery (1992–96)</w:t>
      </w:r>
    </w:p>
    <w:p>
      <w:pPr>
        <w:spacing w:before="98"/>
        <w:ind w:left="169" w:right="0" w:firstLine="0"/>
        <w:jc w:val="left"/>
        <w:rPr>
          <w:sz w:val="14"/>
        </w:rPr>
      </w:pPr>
      <w:r>
        <w:rPr>
          <w:color w:val="231F20"/>
          <w:sz w:val="14"/>
        </w:rPr>
        <w:t>Percentage points</w:t>
      </w:r>
    </w:p>
    <w:p>
      <w:pPr>
        <w:spacing w:before="119"/>
        <w:ind w:left="169" w:right="0" w:firstLine="0"/>
        <w:jc w:val="left"/>
        <w:rPr>
          <w:b/>
          <w:sz w:val="14"/>
        </w:rPr>
      </w:pPr>
      <w:r>
        <w:rPr>
          <w:b/>
          <w:color w:val="231F20"/>
          <w:sz w:val="14"/>
        </w:rPr>
        <w:t>By sector</w:t>
      </w:r>
    </w:p>
    <w:p>
      <w:pPr>
        <w:tabs>
          <w:tab w:pos="2307" w:val="left" w:leader="none"/>
        </w:tabs>
        <w:spacing w:line="150" w:lineRule="exact" w:before="119"/>
        <w:ind w:left="169" w:right="0" w:firstLine="0"/>
        <w:jc w:val="left"/>
        <w:rPr>
          <w:b/>
          <w:sz w:val="14"/>
        </w:rPr>
      </w:pPr>
      <w:r>
        <w:rPr>
          <w:b/>
          <w:color w:val="231F20"/>
          <w:sz w:val="14"/>
        </w:rPr>
        <w:t>Total</w:t>
        <w:tab/>
        <w:t>-0.6</w:t>
      </w:r>
    </w:p>
    <w:p>
      <w:pPr>
        <w:spacing w:line="140" w:lineRule="exact" w:before="0"/>
        <w:ind w:left="168" w:right="0" w:firstLine="0"/>
        <w:jc w:val="left"/>
        <w:rPr>
          <w:i/>
          <w:sz w:val="14"/>
        </w:rPr>
      </w:pPr>
      <w:r>
        <w:rPr>
          <w:i/>
          <w:color w:val="231F20"/>
          <w:sz w:val="14"/>
        </w:rPr>
        <w:t>of which:</w:t>
      </w:r>
    </w:p>
    <w:p>
      <w:pPr>
        <w:tabs>
          <w:tab w:pos="2307" w:val="left" w:leader="none"/>
        </w:tabs>
        <w:spacing w:line="140" w:lineRule="exact" w:before="0"/>
        <w:ind w:left="238" w:right="0" w:firstLine="0"/>
        <w:jc w:val="left"/>
        <w:rPr>
          <w:sz w:val="14"/>
        </w:rPr>
      </w:pPr>
      <w:r>
        <w:rPr>
          <w:color w:val="231F20"/>
          <w:sz w:val="14"/>
        </w:rPr>
        <w:t>Government </w:t>
      </w:r>
      <w:r>
        <w:rPr>
          <w:color w:val="231F20"/>
          <w:sz w:val="12"/>
        </w:rPr>
        <w:t>(a)</w:t>
        <w:tab/>
      </w:r>
      <w:r>
        <w:rPr>
          <w:color w:val="231F20"/>
          <w:sz w:val="14"/>
        </w:rPr>
        <w:t>-0.7</w:t>
      </w:r>
    </w:p>
    <w:p>
      <w:pPr>
        <w:tabs>
          <w:tab w:pos="2528" w:val="right" w:leader="none"/>
        </w:tabs>
        <w:spacing w:line="140" w:lineRule="exact" w:before="0"/>
        <w:ind w:left="239" w:right="0" w:firstLine="0"/>
        <w:jc w:val="left"/>
        <w:rPr>
          <w:sz w:val="14"/>
        </w:rPr>
      </w:pPr>
      <w:r>
        <w:rPr>
          <w:color w:val="231F20"/>
          <w:sz w:val="14"/>
        </w:rPr>
        <w:t>Private</w:t>
      </w:r>
      <w:r>
        <w:rPr>
          <w:color w:val="231F20"/>
          <w:spacing w:val="-1"/>
          <w:sz w:val="14"/>
        </w:rPr>
        <w:t> </w:t>
      </w:r>
      <w:r>
        <w:rPr>
          <w:color w:val="231F20"/>
          <w:sz w:val="12"/>
        </w:rPr>
        <w:t>(a)(b)</w:t>
        <w:tab/>
      </w:r>
      <w:r>
        <w:rPr>
          <w:color w:val="231F20"/>
          <w:sz w:val="14"/>
        </w:rPr>
        <w:t>0.1</w:t>
      </w:r>
    </w:p>
    <w:p>
      <w:pPr>
        <w:spacing w:line="140" w:lineRule="exact" w:before="0"/>
        <w:ind w:left="239" w:right="0" w:firstLine="0"/>
        <w:jc w:val="left"/>
        <w:rPr>
          <w:i/>
          <w:sz w:val="14"/>
        </w:rPr>
      </w:pPr>
      <w:r>
        <w:rPr>
          <w:i/>
          <w:color w:val="231F20"/>
          <w:sz w:val="14"/>
        </w:rPr>
        <w:t>of which:</w:t>
      </w:r>
    </w:p>
    <w:p>
      <w:pPr>
        <w:tabs>
          <w:tab w:pos="2528" w:val="right" w:leader="none"/>
        </w:tabs>
        <w:spacing w:line="140" w:lineRule="exact" w:before="0"/>
        <w:ind w:left="309" w:right="0" w:firstLine="0"/>
        <w:jc w:val="left"/>
        <w:rPr>
          <w:sz w:val="14"/>
        </w:rPr>
      </w:pPr>
      <w:r>
        <w:rPr>
          <w:color w:val="231F20"/>
          <w:sz w:val="14"/>
        </w:rPr>
        <w:t>Private dwellings</w:t>
      </w:r>
      <w:r>
        <w:rPr>
          <w:color w:val="231F20"/>
          <w:spacing w:val="-1"/>
          <w:sz w:val="14"/>
        </w:rPr>
        <w:t> </w:t>
      </w:r>
      <w:r>
        <w:rPr>
          <w:color w:val="231F20"/>
          <w:sz w:val="12"/>
        </w:rPr>
        <w:t>(a)</w:t>
        <w:tab/>
      </w:r>
      <w:r>
        <w:rPr>
          <w:color w:val="231F20"/>
          <w:sz w:val="14"/>
        </w:rPr>
        <w:t>0.1</w:t>
      </w:r>
    </w:p>
    <w:p>
      <w:pPr>
        <w:tabs>
          <w:tab w:pos="2353" w:val="left" w:leader="none"/>
        </w:tabs>
        <w:spacing w:line="140" w:lineRule="exact" w:before="0"/>
        <w:ind w:left="309" w:right="0" w:firstLine="0"/>
        <w:jc w:val="left"/>
        <w:rPr>
          <w:sz w:val="14"/>
        </w:rPr>
      </w:pPr>
      <w:r>
        <w:rPr>
          <w:color w:val="231F20"/>
          <w:sz w:val="14"/>
        </w:rPr>
        <w:t>Business</w:t>
      </w:r>
      <w:r>
        <w:rPr>
          <w:color w:val="231F20"/>
          <w:spacing w:val="-2"/>
          <w:sz w:val="14"/>
        </w:rPr>
        <w:t> </w:t>
      </w:r>
      <w:r>
        <w:rPr>
          <w:color w:val="231F20"/>
          <w:sz w:val="12"/>
        </w:rPr>
        <w:t>(b)</w:t>
        <w:tab/>
      </w:r>
      <w:r>
        <w:rPr>
          <w:color w:val="231F20"/>
          <w:sz w:val="14"/>
        </w:rPr>
        <w:t>0.0</w:t>
      </w:r>
    </w:p>
    <w:p>
      <w:pPr>
        <w:spacing w:line="140" w:lineRule="exact" w:before="0"/>
        <w:ind w:left="309" w:right="0" w:firstLine="0"/>
        <w:jc w:val="left"/>
        <w:rPr>
          <w:i/>
          <w:sz w:val="14"/>
        </w:rPr>
      </w:pPr>
      <w:r>
        <w:rPr>
          <w:i/>
          <w:color w:val="231F20"/>
          <w:sz w:val="14"/>
        </w:rPr>
        <w:t>of which:</w:t>
      </w:r>
    </w:p>
    <w:p>
      <w:pPr>
        <w:tabs>
          <w:tab w:pos="2528" w:val="right" w:leader="none"/>
        </w:tabs>
        <w:spacing w:line="140" w:lineRule="exact" w:before="0"/>
        <w:ind w:left="379" w:right="0" w:firstLine="0"/>
        <w:jc w:val="left"/>
        <w:rPr>
          <w:sz w:val="14"/>
        </w:rPr>
      </w:pPr>
      <w:r>
        <w:rPr>
          <w:color w:val="231F20"/>
          <w:sz w:val="14"/>
        </w:rPr>
        <w:t>Services</w:t>
        <w:tab/>
        <w:t>1.1</w:t>
      </w:r>
    </w:p>
    <w:p>
      <w:pPr>
        <w:tabs>
          <w:tab w:pos="2307" w:val="left" w:leader="none"/>
        </w:tabs>
        <w:spacing w:line="140" w:lineRule="exact" w:before="0"/>
        <w:ind w:left="379" w:right="0" w:firstLine="0"/>
        <w:jc w:val="left"/>
        <w:rPr>
          <w:sz w:val="14"/>
        </w:rPr>
      </w:pPr>
      <w:r>
        <w:rPr>
          <w:color w:val="231F20"/>
          <w:sz w:val="14"/>
        </w:rPr>
        <w:t>Manufacturing</w:t>
        <w:tab/>
        <w:t>-0.1</w:t>
      </w:r>
    </w:p>
    <w:p>
      <w:pPr>
        <w:tabs>
          <w:tab w:pos="2307" w:val="left" w:leader="none"/>
        </w:tabs>
        <w:spacing w:line="150" w:lineRule="exact" w:before="0"/>
        <w:ind w:left="379" w:right="0" w:firstLine="0"/>
        <w:jc w:val="left"/>
        <w:rPr>
          <w:sz w:val="14"/>
        </w:rPr>
      </w:pPr>
      <w:r>
        <w:rPr>
          <w:color w:val="231F20"/>
          <w:sz w:val="14"/>
        </w:rPr>
        <w:t>Mining, oil, utilities</w:t>
        <w:tab/>
        <w:t>-1.0</w:t>
      </w:r>
    </w:p>
    <w:p>
      <w:pPr>
        <w:spacing w:before="119"/>
        <w:ind w:left="169" w:right="0" w:firstLine="0"/>
        <w:jc w:val="left"/>
        <w:rPr>
          <w:b/>
          <w:sz w:val="14"/>
        </w:rPr>
      </w:pPr>
      <w:r>
        <w:rPr>
          <w:b/>
          <w:color w:val="231F20"/>
          <w:sz w:val="14"/>
        </w:rPr>
        <w:t>By asset</w:t>
      </w:r>
    </w:p>
    <w:p>
      <w:pPr>
        <w:tabs>
          <w:tab w:pos="2528" w:val="right" w:leader="none"/>
        </w:tabs>
        <w:spacing w:line="150" w:lineRule="exact" w:before="119"/>
        <w:ind w:left="169" w:right="0" w:firstLine="0"/>
        <w:jc w:val="left"/>
        <w:rPr>
          <w:sz w:val="14"/>
        </w:rPr>
      </w:pPr>
      <w:r>
        <w:rPr>
          <w:color w:val="231F20"/>
          <w:sz w:val="14"/>
        </w:rPr>
        <w:t>Vehicles, ships and aircraft</w:t>
        <w:tab/>
        <w:t>0.2</w:t>
      </w:r>
    </w:p>
    <w:p>
      <w:pPr>
        <w:tabs>
          <w:tab w:pos="2528" w:val="right" w:leader="none"/>
        </w:tabs>
        <w:spacing w:line="140" w:lineRule="exact" w:before="0"/>
        <w:ind w:left="169" w:right="0" w:firstLine="0"/>
        <w:jc w:val="left"/>
        <w:rPr>
          <w:sz w:val="14"/>
        </w:rPr>
      </w:pPr>
      <w:r>
        <w:rPr>
          <w:color w:val="231F20"/>
          <w:sz w:val="14"/>
        </w:rPr>
        <w:t>Plant and machinery</w:t>
        <w:tab/>
        <w:t>0.1</w:t>
      </w:r>
    </w:p>
    <w:p>
      <w:pPr>
        <w:tabs>
          <w:tab w:pos="2307" w:val="left" w:leader="none"/>
        </w:tabs>
        <w:spacing w:line="140" w:lineRule="exact" w:before="0"/>
        <w:ind w:left="169" w:right="0" w:firstLine="0"/>
        <w:jc w:val="left"/>
        <w:rPr>
          <w:sz w:val="14"/>
        </w:rPr>
      </w:pPr>
      <w:r>
        <w:rPr>
          <w:color w:val="231F20"/>
          <w:sz w:val="14"/>
        </w:rPr>
        <w:t>Dwellings</w:t>
        <w:tab/>
        <w:t>-0.1</w:t>
      </w:r>
    </w:p>
    <w:p>
      <w:pPr>
        <w:tabs>
          <w:tab w:pos="2307" w:val="left" w:leader="none"/>
        </w:tabs>
        <w:spacing w:line="150" w:lineRule="exact" w:before="0"/>
        <w:ind w:left="169" w:right="0" w:firstLine="0"/>
        <w:jc w:val="left"/>
        <w:rPr>
          <w:sz w:val="14"/>
        </w:rPr>
      </w:pPr>
      <w:r>
        <w:rPr>
          <w:color w:val="231F20"/>
          <w:sz w:val="14"/>
        </w:rPr>
        <w:t>Other buildings and infrastructure</w:t>
        <w:tab/>
        <w:t>-0.7</w:t>
      </w:r>
    </w:p>
    <w:p>
      <w:pPr>
        <w:spacing w:line="208" w:lineRule="auto" w:before="132"/>
        <w:ind w:left="649" w:right="0" w:hanging="480"/>
        <w:jc w:val="left"/>
        <w:rPr>
          <w:sz w:val="12"/>
        </w:rPr>
      </w:pPr>
      <w:r>
        <w:rPr>
          <w:color w:val="231F20"/>
          <w:sz w:val="12"/>
        </w:rPr>
        <w:t>Source: Bank calculations based on annual data (constant prices). Figures may not sum because of rounding.</w:t>
      </w:r>
    </w:p>
    <w:p>
      <w:pPr>
        <w:pStyle w:val="ListParagraph"/>
        <w:numPr>
          <w:ilvl w:val="0"/>
          <w:numId w:val="15"/>
        </w:numPr>
        <w:tabs>
          <w:tab w:pos="409" w:val="left" w:leader="none"/>
        </w:tabs>
        <w:spacing w:line="129" w:lineRule="exact" w:before="106" w:after="0"/>
        <w:ind w:left="409" w:right="0" w:hanging="240"/>
        <w:jc w:val="left"/>
        <w:rPr>
          <w:sz w:val="12"/>
        </w:rPr>
      </w:pPr>
      <w:r>
        <w:rPr>
          <w:color w:val="231F20"/>
          <w:sz w:val="12"/>
        </w:rPr>
        <w:t>Includes purchases less sales of land and existing buildings.</w:t>
      </w:r>
    </w:p>
    <w:p>
      <w:pPr>
        <w:pStyle w:val="ListParagraph"/>
        <w:numPr>
          <w:ilvl w:val="0"/>
          <w:numId w:val="15"/>
        </w:numPr>
        <w:tabs>
          <w:tab w:pos="409" w:val="left" w:leader="none"/>
        </w:tabs>
        <w:spacing w:line="129" w:lineRule="exact" w:before="0" w:after="0"/>
        <w:ind w:left="409" w:right="0" w:hanging="240"/>
        <w:jc w:val="left"/>
        <w:rPr>
          <w:sz w:val="12"/>
        </w:rPr>
      </w:pPr>
      <w:r>
        <w:rPr>
          <w:color w:val="231F20"/>
          <w:sz w:val="12"/>
        </w:rPr>
        <w:t>Includes public corporations (except NHS trusts).</w:t>
      </w:r>
    </w:p>
    <w:p>
      <w:pPr>
        <w:pStyle w:val="BodyText"/>
        <w:rPr>
          <w:sz w:val="12"/>
        </w:rPr>
      </w:pPr>
    </w:p>
    <w:p>
      <w:pPr>
        <w:pStyle w:val="BodyText"/>
        <w:rPr>
          <w:sz w:val="12"/>
        </w:rPr>
      </w:pPr>
    </w:p>
    <w:p>
      <w:pPr>
        <w:pStyle w:val="BodyText"/>
        <w:rPr>
          <w:sz w:val="12"/>
        </w:rPr>
      </w:pPr>
    </w:p>
    <w:p>
      <w:pPr>
        <w:pStyle w:val="BodyText"/>
        <w:spacing w:before="9"/>
        <w:rPr>
          <w:sz w:val="16"/>
        </w:rPr>
      </w:pPr>
    </w:p>
    <w:p>
      <w:pPr>
        <w:pStyle w:val="Heading9"/>
        <w:spacing w:before="0"/>
        <w:ind w:left="174"/>
      </w:pPr>
      <w:r>
        <w:rPr>
          <w:color w:val="0093C1"/>
        </w:rPr>
        <w:t>Chart 3.5</w:t>
      </w:r>
    </w:p>
    <w:p>
      <w:pPr>
        <w:spacing w:line="249" w:lineRule="auto" w:before="10"/>
        <w:ind w:left="174" w:right="303" w:firstLine="0"/>
        <w:jc w:val="left"/>
        <w:rPr>
          <w:b/>
          <w:sz w:val="20"/>
        </w:rPr>
      </w:pPr>
      <w:r>
        <w:rPr>
          <w:b/>
          <w:color w:val="0093C1"/>
          <w:sz w:val="20"/>
        </w:rPr>
        <w:t>Regional house price inflation from 1996 Q3 to 1997 Q3</w:t>
      </w:r>
    </w:p>
    <w:p>
      <w:pPr>
        <w:spacing w:line="249" w:lineRule="auto" w:before="63"/>
        <w:ind w:left="1197" w:right="2498" w:firstLine="0"/>
        <w:jc w:val="left"/>
        <w:rPr>
          <w:sz w:val="12"/>
        </w:rPr>
      </w:pPr>
      <w:r>
        <w:rPr/>
        <w:drawing>
          <wp:anchor distT="0" distB="0" distL="0" distR="0" allowOverlap="1" layoutInCell="1" locked="0" behindDoc="0" simplePos="0" relativeHeight="15889920">
            <wp:simplePos x="0" y="0"/>
            <wp:positionH relativeFrom="page">
              <wp:posOffset>1040764</wp:posOffset>
            </wp:positionH>
            <wp:positionV relativeFrom="paragraph">
              <wp:posOffset>35973</wp:posOffset>
            </wp:positionV>
            <wp:extent cx="95250" cy="182029"/>
            <wp:effectExtent l="0" t="0" r="0" b="0"/>
            <wp:wrapNone/>
            <wp:docPr id="3" name="image21.png"/>
            <wp:cNvGraphicFramePr>
              <a:graphicFrameLocks noChangeAspect="1"/>
            </wp:cNvGraphicFramePr>
            <a:graphic>
              <a:graphicData uri="http://schemas.openxmlformats.org/drawingml/2006/picture">
                <pic:pic>
                  <pic:nvPicPr>
                    <pic:cNvPr id="4" name="image21.png"/>
                    <pic:cNvPicPr/>
                  </pic:nvPicPr>
                  <pic:blipFill>
                    <a:blip r:embed="rId53" cstate="print"/>
                    <a:stretch>
                      <a:fillRect/>
                    </a:stretch>
                  </pic:blipFill>
                  <pic:spPr>
                    <a:xfrm>
                      <a:off x="0" y="0"/>
                      <a:ext cx="95250" cy="182029"/>
                    </a:xfrm>
                    <a:prstGeom prst="rect">
                      <a:avLst/>
                    </a:prstGeom>
                  </pic:spPr>
                </pic:pic>
              </a:graphicData>
            </a:graphic>
          </wp:anchor>
        </w:drawing>
      </w:r>
      <w:r>
        <w:rPr>
          <w:sz w:val="12"/>
        </w:rPr>
        <w:t>Halifax Nationwide</w:t>
      </w:r>
    </w:p>
    <w:p>
      <w:pPr>
        <w:pStyle w:val="BodyText"/>
        <w:spacing w:before="10"/>
        <w:rPr>
          <w:sz w:val="11"/>
        </w:rPr>
      </w:pPr>
    </w:p>
    <w:p>
      <w:pPr>
        <w:spacing w:before="0"/>
        <w:ind w:left="0" w:right="3355" w:firstLine="0"/>
        <w:jc w:val="right"/>
        <w:rPr>
          <w:sz w:val="12"/>
        </w:rPr>
      </w:pPr>
      <w:r>
        <w:rPr/>
        <w:pict>
          <v:group style="position:absolute;margin-left:80.199997pt;margin-top:-2.902435pt;width:152.25pt;height:157.25pt;mso-position-horizontal-relative:page;mso-position-vertical-relative:paragraph;z-index:15889408" coordorigin="1604,-58" coordsize="3045,3145">
            <v:line style="position:absolute" from="1644,-58" to="1644,2962" stroked="true" strokeweight=".5pt" strokecolor="#000000">
              <v:stroke dashstyle="solid"/>
            </v:line>
            <v:rect style="position:absolute;left:1644;top:1;width:2740;height:80" filled="true" fillcolor="#ffe7bd" stroked="false">
              <v:fill type="solid"/>
            </v:rect>
            <v:rect style="position:absolute;left:1644;top:1;width:2740;height:80" filled="false" stroked="true" strokeweight=".5pt" strokecolor="#000000">
              <v:stroke dashstyle="solid"/>
            </v:rect>
            <v:rect style="position:absolute;left:1644;top:241;width:1940;height:80" filled="true" fillcolor="#ffe7bd" stroked="false">
              <v:fill type="solid"/>
            </v:rect>
            <v:rect style="position:absolute;left:1644;top:241;width:1940;height:80" filled="false" stroked="true" strokeweight=".5pt" strokecolor="#000000">
              <v:stroke dashstyle="solid"/>
            </v:rect>
            <v:rect style="position:absolute;left:1644;top:501;width:1560;height:80" filled="true" fillcolor="#ffe7bd" stroked="false">
              <v:fill type="solid"/>
            </v:rect>
            <v:rect style="position:absolute;left:1644;top:501;width:1560;height:80" filled="false" stroked="true" strokeweight=".5pt" strokecolor="#000000">
              <v:stroke dashstyle="solid"/>
            </v:rect>
            <v:rect style="position:absolute;left:1644;top:741;width:960;height:80" filled="true" fillcolor="#ffe7bd" stroked="false">
              <v:fill type="solid"/>
            </v:rect>
            <v:rect style="position:absolute;left:1644;top:741;width:960;height:80" filled="false" stroked="true" strokeweight=".5pt" strokecolor="#000000">
              <v:stroke dashstyle="solid"/>
            </v:rect>
            <v:rect style="position:absolute;left:1644;top:1001;width:1480;height:80" filled="true" fillcolor="#ffe7bd" stroked="false">
              <v:fill type="solid"/>
            </v:rect>
            <v:rect style="position:absolute;left:1644;top:1001;width:1480;height:80" filled="false" stroked="true" strokeweight=".5pt" strokecolor="#000000">
              <v:stroke dashstyle="solid"/>
            </v:rect>
            <v:rect style="position:absolute;left:1644;top:1241;width:980;height:80" filled="true" fillcolor="#ffe7bd" stroked="false">
              <v:fill type="solid"/>
            </v:rect>
            <v:rect style="position:absolute;left:1644;top:1241;width:980;height:80" filled="false" stroked="true" strokeweight=".5pt" strokecolor="#000000">
              <v:stroke dashstyle="solid"/>
            </v:rect>
            <v:rect style="position:absolute;left:1644;top:1501;width:600;height:80" filled="true" fillcolor="#ffe7bd" stroked="false">
              <v:fill type="solid"/>
            </v:rect>
            <v:rect style="position:absolute;left:1644;top:1501;width:600;height:80" filled="false" stroked="true" strokeweight=".5pt" strokecolor="#000000">
              <v:stroke dashstyle="solid"/>
            </v:rect>
            <v:rect style="position:absolute;left:1644;top:1741;width:920;height:100" filled="true" fillcolor="#ffe7bd" stroked="false">
              <v:fill type="solid"/>
            </v:rect>
            <v:rect style="position:absolute;left:1644;top:1741;width:920;height:100" filled="false" stroked="true" strokeweight=".5pt" strokecolor="#000000">
              <v:stroke dashstyle="solid"/>
            </v:rect>
            <v:rect style="position:absolute;left:1644;top:2001;width:860;height:80" filled="true" fillcolor="#ffe7bd" stroked="false">
              <v:fill type="solid"/>
            </v:rect>
            <v:rect style="position:absolute;left:1644;top:2001;width:860;height:80" filled="false" stroked="true" strokeweight=".5pt" strokecolor="#000000">
              <v:stroke dashstyle="solid"/>
            </v:rect>
            <v:rect style="position:absolute;left:1644;top:2241;width:880;height:80" filled="true" fillcolor="#ffe7bd" stroked="false">
              <v:fill type="solid"/>
            </v:rect>
            <v:rect style="position:absolute;left:1644;top:2241;width:880;height:80" filled="false" stroked="true" strokeweight=".5pt" strokecolor="#000000">
              <v:stroke dashstyle="solid"/>
            </v:rect>
            <v:line style="position:absolute" from="1644,2242" to="2524,2242" stroked="true" strokeweight=".5pt" strokecolor="#000000">
              <v:stroke dashstyle="solid"/>
            </v:line>
            <v:rect style="position:absolute;left:1644;top:2501;width:940;height:80" filled="true" fillcolor="#ffe7bd" stroked="false">
              <v:fill type="solid"/>
            </v:rect>
            <v:rect style="position:absolute;left:1644;top:2501;width:940;height:80" filled="false" stroked="true" strokeweight=".5pt" strokecolor="#000000">
              <v:stroke dashstyle="solid"/>
            </v:rect>
            <v:rect style="position:absolute;left:1644;top:2741;width:1500;height:100" filled="true" fillcolor="#ffe7bd" stroked="false">
              <v:fill type="solid"/>
            </v:rect>
            <v:rect style="position:absolute;left:1644;top:2741;width:1500;height:100" filled="false" stroked="true" strokeweight=".5pt" strokecolor="#000000">
              <v:stroke dashstyle="solid"/>
            </v:rect>
            <v:rect style="position:absolute;left:1644;top:81;width:2000;height:80" filled="true" fillcolor="#f7941d" stroked="false">
              <v:fill type="solid"/>
            </v:rect>
            <v:rect style="position:absolute;left:1644;top:81;width:2000;height:80" filled="false" stroked="true" strokeweight=".5pt" strokecolor="#000000">
              <v:stroke dashstyle="solid"/>
            </v:rect>
            <v:rect style="position:absolute;left:1644;top:321;width:1400;height:80" filled="true" fillcolor="#f7941d" stroked="false">
              <v:fill type="solid"/>
            </v:rect>
            <v:rect style="position:absolute;left:1644;top:321;width:1400;height:80" filled="false" stroked="true" strokeweight=".5pt" strokecolor="#000000">
              <v:stroke dashstyle="solid"/>
            </v:rect>
            <v:rect style="position:absolute;left:1644;top:581;width:900;height:80" filled="true" fillcolor="#f7941d" stroked="false">
              <v:fill type="solid"/>
            </v:rect>
            <v:rect style="position:absolute;left:1644;top:581;width:900;height:80" filled="false" stroked="true" strokeweight=".5pt" strokecolor="#000000">
              <v:stroke dashstyle="solid"/>
            </v:rect>
            <v:rect style="position:absolute;left:1644;top:821;width:860;height:100" filled="true" fillcolor="#f7941d" stroked="false">
              <v:fill type="solid"/>
            </v:rect>
            <v:rect style="position:absolute;left:1644;top:821;width:860;height:100" filled="false" stroked="true" strokeweight=".5pt" strokecolor="#000000">
              <v:stroke dashstyle="solid"/>
            </v:rect>
            <v:rect style="position:absolute;left:1644;top:1081;width:640;height:80" filled="true" fillcolor="#f7941d" stroked="false">
              <v:fill type="solid"/>
            </v:rect>
            <v:rect style="position:absolute;left:1644;top:1081;width:640;height:80" filled="false" stroked="true" strokeweight=".5pt" strokecolor="#000000">
              <v:stroke dashstyle="solid"/>
            </v:rect>
            <v:rect style="position:absolute;left:1644;top:1321;width:760;height:100" filled="true" fillcolor="#f7941d" stroked="false">
              <v:fill type="solid"/>
            </v:rect>
            <v:rect style="position:absolute;left:1644;top:1321;width:760;height:100" filled="false" stroked="true" strokeweight=".5pt" strokecolor="#000000">
              <v:stroke dashstyle="solid"/>
            </v:rect>
            <v:rect style="position:absolute;left:1644;top:1581;width:260;height:80" filled="true" fillcolor="#f7941d" stroked="false">
              <v:fill type="solid"/>
            </v:rect>
            <v:rect style="position:absolute;left:1644;top:1581;width:260;height:80" filled="false" stroked="true" strokeweight=".5pt" strokecolor="#000000">
              <v:stroke dashstyle="solid"/>
            </v:rect>
            <v:rect style="position:absolute;left:1644;top:1841;width:260;height:80" filled="true" fillcolor="#f7941d" stroked="false">
              <v:fill type="solid"/>
            </v:rect>
            <v:rect style="position:absolute;left:1644;top:1841;width:260;height:80" filled="false" stroked="true" strokeweight=".5pt" strokecolor="#000000">
              <v:stroke dashstyle="solid"/>
            </v:rect>
            <v:rect style="position:absolute;left:1644;top:2081;width:380;height:80" filled="true" fillcolor="#f7941d" stroked="false">
              <v:fill type="solid"/>
            </v:rect>
            <v:rect style="position:absolute;left:1644;top:2081;width:380;height:80" filled="false" stroked="true" strokeweight=".5pt" strokecolor="#000000">
              <v:stroke dashstyle="solid"/>
            </v:rect>
            <v:rect style="position:absolute;left:1644;top:2321;width:220;height:87" filled="true" fillcolor="#f7941d" stroked="false">
              <v:fill type="solid"/>
            </v:rect>
            <v:rect style="position:absolute;left:1644;top:2321;width:220;height:87" filled="false" stroked="true" strokeweight=".5pt" strokecolor="#000000">
              <v:stroke dashstyle="solid"/>
            </v:rect>
            <v:rect style="position:absolute;left:1644;top:2581;width:100;height:80" filled="true" fillcolor="#f7941d" stroked="false">
              <v:fill type="solid"/>
            </v:rect>
            <v:rect style="position:absolute;left:1644;top:2581;width:100;height:80" filled="false" stroked="true" strokeweight=".5pt" strokecolor="#000000">
              <v:stroke dashstyle="solid"/>
            </v:rect>
            <v:rect style="position:absolute;left:1644;top:2841;width:120;height:80" filled="true" fillcolor="#f7941d" stroked="false">
              <v:fill type="solid"/>
            </v:rect>
            <v:rect style="position:absolute;left:1644;top:2841;width:120;height:80" filled="false" stroked="true" strokeweight=".5pt" strokecolor="#000000">
              <v:stroke dashstyle="solid"/>
            </v:rect>
            <v:shape style="position:absolute;left:1604;top:81;width:3040;height:3000" coordorigin="1604,82" coordsize="3040,3000" path="m1644,82l1604,82m1644,322l1604,322m1644,582l1604,582m1644,822l1604,822m1644,1082l1604,1082m1644,1322l1604,1322m1644,1582l1604,1582m1644,1842l1604,1842m1644,2082l1604,2082m1644,2322l1604,2322m1644,2582l1604,2582m1644,2842l1604,2842m1644,3022l1644,3082m1944,3022l1944,3082m2244,3022l2244,3082m2544,3022l2544,3082m2844,3022l2844,3082m3144,3022l3144,3082m3444,3022l3444,3082m3744,3022l3744,3082m4044,3022l4044,3082m4344,3022l4344,3082m4644,3022l4644,3082m1644,3082l4644,3082e" filled="false" stroked="true" strokeweight=".5pt" strokecolor="#000000">
              <v:path arrowok="t"/>
              <v:stroke dashstyle="solid"/>
            </v:shape>
            <w10:wrap type="none"/>
          </v:group>
        </w:pict>
      </w:r>
      <w:r>
        <w:rPr>
          <w:sz w:val="12"/>
        </w:rPr>
        <w:t>Greater London</w:t>
      </w:r>
    </w:p>
    <w:p>
      <w:pPr>
        <w:spacing w:line="434" w:lineRule="auto" w:before="102"/>
        <w:ind w:left="187" w:right="3355" w:firstLine="213"/>
        <w:jc w:val="right"/>
        <w:rPr>
          <w:sz w:val="12"/>
        </w:rPr>
      </w:pPr>
      <w:r>
        <w:rPr>
          <w:sz w:val="12"/>
        </w:rPr>
        <w:t>South</w:t>
      </w:r>
      <w:r>
        <w:rPr>
          <w:spacing w:val="2"/>
          <w:sz w:val="12"/>
        </w:rPr>
        <w:t> </w:t>
      </w:r>
      <w:r>
        <w:rPr>
          <w:spacing w:val="-5"/>
          <w:sz w:val="12"/>
        </w:rPr>
        <w:t>East</w:t>
      </w:r>
      <w:r>
        <w:rPr>
          <w:sz w:val="12"/>
        </w:rPr>
        <w:t> East Anglia South West East Midlands West</w:t>
      </w:r>
      <w:r>
        <w:rPr>
          <w:spacing w:val="6"/>
          <w:sz w:val="12"/>
        </w:rPr>
        <w:t> </w:t>
      </w:r>
      <w:r>
        <w:rPr>
          <w:spacing w:val="-3"/>
          <w:sz w:val="12"/>
        </w:rPr>
        <w:t>Midlands</w:t>
      </w:r>
    </w:p>
    <w:p>
      <w:pPr>
        <w:spacing w:line="129" w:lineRule="exact" w:before="0"/>
        <w:ind w:left="0" w:right="3355" w:firstLine="0"/>
        <w:jc w:val="right"/>
        <w:rPr>
          <w:sz w:val="12"/>
        </w:rPr>
      </w:pPr>
      <w:r>
        <w:rPr>
          <w:sz w:val="12"/>
        </w:rPr>
        <w:t>Wales</w:t>
      </w:r>
    </w:p>
    <w:p>
      <w:pPr>
        <w:spacing w:line="208" w:lineRule="auto" w:before="90"/>
        <w:ind w:left="293" w:right="3339" w:hanging="60"/>
        <w:jc w:val="left"/>
        <w:rPr>
          <w:sz w:val="12"/>
        </w:rPr>
      </w:pPr>
      <w:r>
        <w:rPr>
          <w:sz w:val="12"/>
        </w:rPr>
        <w:t>Yorkshire </w:t>
      </w:r>
      <w:r>
        <w:rPr>
          <w:spacing w:val="-6"/>
          <w:sz w:val="12"/>
        </w:rPr>
        <w:t>and </w:t>
      </w:r>
      <w:r>
        <w:rPr>
          <w:sz w:val="12"/>
        </w:rPr>
        <w:t>Humberside</w:t>
      </w:r>
    </w:p>
    <w:p>
      <w:pPr>
        <w:spacing w:before="52"/>
        <w:ind w:left="360" w:right="0" w:firstLine="0"/>
        <w:jc w:val="left"/>
        <w:rPr>
          <w:sz w:val="12"/>
        </w:rPr>
      </w:pPr>
      <w:r>
        <w:rPr>
          <w:sz w:val="12"/>
        </w:rPr>
        <w:t>North West</w:t>
      </w:r>
    </w:p>
    <w:p>
      <w:pPr>
        <w:spacing w:line="451" w:lineRule="auto" w:before="102"/>
        <w:ind w:left="496" w:right="3339" w:firstLine="140"/>
        <w:jc w:val="left"/>
        <w:rPr>
          <w:sz w:val="12"/>
        </w:rPr>
      </w:pPr>
      <w:r>
        <w:rPr>
          <w:sz w:val="12"/>
        </w:rPr>
        <w:t>North Scotland</w:t>
      </w:r>
    </w:p>
    <w:p>
      <w:pPr>
        <w:spacing w:before="1"/>
        <w:ind w:left="430" w:right="0" w:firstLine="0"/>
        <w:jc w:val="left"/>
        <w:rPr>
          <w:sz w:val="12"/>
        </w:rPr>
      </w:pPr>
      <w:r>
        <w:rPr>
          <w:sz w:val="12"/>
        </w:rPr>
        <w:t>N. Ireland</w:t>
      </w:r>
    </w:p>
    <w:p>
      <w:pPr>
        <w:pStyle w:val="BodyText"/>
        <w:rPr>
          <w:sz w:val="12"/>
        </w:rPr>
      </w:pPr>
    </w:p>
    <w:p>
      <w:pPr>
        <w:spacing w:before="84"/>
        <w:ind w:left="1329" w:right="536" w:firstLine="0"/>
        <w:jc w:val="center"/>
        <w:rPr>
          <w:sz w:val="12"/>
        </w:rPr>
      </w:pPr>
      <w:r>
        <w:rPr>
          <w:sz w:val="12"/>
        </w:rPr>
        <w:t>0.0 2.5 5.0 7.5 10.0 12.5 15.0 17.5 20.0 22.5 25.0</w:t>
      </w:r>
    </w:p>
    <w:p>
      <w:pPr>
        <w:spacing w:before="76"/>
        <w:ind w:left="1329" w:right="520" w:firstLine="0"/>
        <w:jc w:val="center"/>
        <w:rPr>
          <w:sz w:val="12"/>
        </w:rPr>
      </w:pPr>
      <w:r>
        <w:rPr>
          <w:sz w:val="12"/>
        </w:rPr>
        <w:t>Per cent</w:t>
      </w:r>
    </w:p>
    <w:p>
      <w:pPr>
        <w:spacing w:before="92"/>
        <w:ind w:left="174" w:right="0" w:firstLine="0"/>
        <w:jc w:val="left"/>
        <w:rPr>
          <w:sz w:val="12"/>
        </w:rPr>
      </w:pPr>
      <w:r>
        <w:rPr>
          <w:color w:val="231F20"/>
          <w:sz w:val="12"/>
        </w:rPr>
        <w:t>Sources: Nationwide and Halifax.</w:t>
      </w:r>
    </w:p>
    <w:p>
      <w:pPr>
        <w:pStyle w:val="Heading5"/>
        <w:spacing w:line="242" w:lineRule="auto" w:before="227"/>
        <w:ind w:left="163" w:right="159"/>
      </w:pPr>
      <w:r>
        <w:rPr/>
        <w:br w:type="column"/>
      </w:r>
      <w:r>
        <w:rPr>
          <w:color w:val="231F20"/>
          <w:spacing w:val="-4"/>
        </w:rPr>
        <w:t>Table </w:t>
      </w:r>
      <w:r>
        <w:rPr>
          <w:color w:val="231F20"/>
        </w:rPr>
        <w:t>3.B examines in detail the change in investment as a share of GDP during the </w:t>
      </w:r>
      <w:r>
        <w:rPr>
          <w:color w:val="231F20"/>
          <w:spacing w:val="-3"/>
        </w:rPr>
        <w:t>recovery.  </w:t>
      </w:r>
      <w:r>
        <w:rPr>
          <w:color w:val="231F20"/>
        </w:rPr>
        <w:t>Much of the decline in the investment/GDP ratio has been due to reduced public sector investment. Business investment as a share of GDP changed little during the period, largely because stronger service sector investment was offset by declines in mining, oil and utilities investment. By asset, the fall in investment as a share of GDP has reflected weakness in non-dwelling construction </w:t>
      </w:r>
      <w:r>
        <w:rPr>
          <w:color w:val="231F20"/>
          <w:spacing w:val="-5"/>
        </w:rPr>
        <w:t>activity. </w:t>
      </w:r>
      <w:r>
        <w:rPr>
          <w:color w:val="231F20"/>
        </w:rPr>
        <w:t>But recent upward trends in new orders are likely to signal continued growth in construction investment. The </w:t>
      </w:r>
      <w:hyperlink w:history="true" w:anchor="_bookmark22">
        <w:r>
          <w:rPr>
            <w:color w:val="231F20"/>
          </w:rPr>
          <w:t>box</w:t>
        </w:r>
      </w:hyperlink>
      <w:r>
        <w:rPr>
          <w:color w:val="231F20"/>
        </w:rPr>
        <w:t> on page 23 explores the role of construction in economic </w:t>
      </w:r>
      <w:r>
        <w:rPr>
          <w:color w:val="231F20"/>
          <w:spacing w:val="-3"/>
        </w:rPr>
        <w:t>activity.</w:t>
      </w:r>
    </w:p>
    <w:p>
      <w:pPr>
        <w:pStyle w:val="BodyText"/>
        <w:spacing w:before="4"/>
        <w:rPr>
          <w:sz w:val="22"/>
        </w:rPr>
      </w:pPr>
    </w:p>
    <w:p>
      <w:pPr>
        <w:spacing w:line="242" w:lineRule="auto" w:before="1"/>
        <w:ind w:left="164" w:right="166" w:firstLine="0"/>
        <w:jc w:val="left"/>
        <w:rPr>
          <w:sz w:val="24"/>
        </w:rPr>
      </w:pPr>
      <w:r>
        <w:rPr>
          <w:color w:val="231F20"/>
          <w:sz w:val="24"/>
        </w:rPr>
        <w:t>Private residential investment rose by 4.1% in 1997 Q2 and was 8.3% higher than a year earlier. The major house price indices offer different impressions of the strength of </w:t>
      </w:r>
      <w:r>
        <w:rPr>
          <w:color w:val="231F20"/>
          <w:spacing w:val="-3"/>
          <w:sz w:val="24"/>
        </w:rPr>
        <w:t>activity. </w:t>
      </w:r>
      <w:r>
        <w:rPr>
          <w:color w:val="231F20"/>
          <w:sz w:val="24"/>
        </w:rPr>
        <w:t>The Halifax index increased by 0.4% in October, implying an annual rate of house price inflation of 5.4%. By contrast, the Nationwide index showed an annual rate of house price inflation of 12.2%. Chart 3.5 shows that the Nationwide measure is higher than the Halifax for all regions. A third measure, the Department of Environment (DoE) index, suggests that house price inflation was 9.4% in 1997 Q2, more in line with the Nationwide estimate. In all three cases, aggregate house prices </w:t>
      </w:r>
      <w:r>
        <w:rPr>
          <w:color w:val="231F20"/>
          <w:spacing w:val="-3"/>
          <w:sz w:val="24"/>
        </w:rPr>
        <w:t>have </w:t>
      </w:r>
      <w:r>
        <w:rPr>
          <w:color w:val="231F20"/>
          <w:sz w:val="24"/>
        </w:rPr>
        <w:t>risen faster than retail </w:t>
      </w:r>
      <w:r>
        <w:rPr>
          <w:color w:val="231F20"/>
          <w:spacing w:val="-3"/>
          <w:sz w:val="24"/>
        </w:rPr>
        <w:t>prices </w:t>
      </w:r>
      <w:r>
        <w:rPr>
          <w:color w:val="231F20"/>
          <w:sz w:val="24"/>
        </w:rPr>
        <w:t>and labour costs. This will probably encourage further residential</w:t>
      </w:r>
      <w:r>
        <w:rPr>
          <w:color w:val="231F20"/>
          <w:spacing w:val="-1"/>
          <w:sz w:val="24"/>
        </w:rPr>
        <w:t> </w:t>
      </w:r>
      <w:r>
        <w:rPr>
          <w:color w:val="231F20"/>
          <w:sz w:val="24"/>
        </w:rPr>
        <w:t>construction.</w:t>
      </w:r>
    </w:p>
    <w:p>
      <w:pPr>
        <w:pStyle w:val="BodyText"/>
        <w:spacing w:before="3"/>
        <w:rPr>
          <w:sz w:val="24"/>
        </w:rPr>
      </w:pPr>
    </w:p>
    <w:p>
      <w:pPr>
        <w:spacing w:line="242" w:lineRule="auto" w:before="1"/>
        <w:ind w:left="164" w:right="245" w:firstLine="1"/>
        <w:jc w:val="left"/>
        <w:rPr>
          <w:sz w:val="24"/>
        </w:rPr>
      </w:pPr>
      <w:r>
        <w:rPr>
          <w:color w:val="231F20"/>
          <w:sz w:val="24"/>
        </w:rPr>
        <w:t>A feature of this recovery has been the high level of corporate mergers and acquisitions, similar to that during the late 1980s. Chart 3.6 shows that the value of total and cash-financed mergers and acquisitions both rose to record levels in 1995 and remained strong in 1996. Part of this increase represents the first inclusion in the data of mergers and acquisitions in the financial sector. The average share of cash expenditure in total mergers and acquisitions expenditure has been around 71% since 1992, compared with an average of 57% during the period 1985–91. It is possible that firms may be using ‘excess’ money holdings to engage in merger </w:t>
      </w:r>
      <w:r>
        <w:rPr>
          <w:color w:val="231F20"/>
          <w:spacing w:val="-3"/>
          <w:sz w:val="24"/>
        </w:rPr>
        <w:t>activity, </w:t>
      </w:r>
      <w:r>
        <w:rPr>
          <w:color w:val="231F20"/>
          <w:sz w:val="24"/>
        </w:rPr>
        <w:t>bidding up asset prices and driving down the cost of capital.</w:t>
      </w:r>
      <w:r>
        <w:rPr>
          <w:color w:val="231F20"/>
          <w:position w:val="6"/>
          <w:sz w:val="16"/>
        </w:rPr>
        <w:t>(1) </w:t>
      </w:r>
      <w:r>
        <w:rPr>
          <w:color w:val="231F20"/>
          <w:sz w:val="24"/>
        </w:rPr>
        <w:t>This in turn may increase investment in the long</w:t>
      </w:r>
      <w:r>
        <w:rPr>
          <w:color w:val="231F20"/>
          <w:spacing w:val="-1"/>
          <w:sz w:val="24"/>
        </w:rPr>
        <w:t> </w:t>
      </w:r>
      <w:r>
        <w:rPr>
          <w:color w:val="231F20"/>
          <w:sz w:val="24"/>
        </w:rPr>
        <w:t>run.</w:t>
      </w:r>
    </w:p>
    <w:p>
      <w:pPr>
        <w:pStyle w:val="BodyText"/>
        <w:spacing w:before="3"/>
        <w:rPr>
          <w:sz w:val="22"/>
        </w:rPr>
      </w:pPr>
    </w:p>
    <w:p>
      <w:pPr>
        <w:spacing w:line="242" w:lineRule="auto" w:before="1"/>
        <w:ind w:left="164" w:right="272" w:firstLine="0"/>
        <w:jc w:val="left"/>
        <w:rPr>
          <w:sz w:val="24"/>
        </w:rPr>
      </w:pPr>
      <w:r>
        <w:rPr>
          <w:color w:val="231F20"/>
          <w:sz w:val="24"/>
        </w:rPr>
        <w:t>Recent </w:t>
      </w:r>
      <w:r>
        <w:rPr>
          <w:i/>
          <w:color w:val="231F20"/>
          <w:sz w:val="24"/>
        </w:rPr>
        <w:t>Reports </w:t>
      </w:r>
      <w:r>
        <w:rPr>
          <w:color w:val="231F20"/>
          <w:sz w:val="24"/>
        </w:rPr>
        <w:t>have set out other reasons to expect a stronger profile for business investment, which may also have contributed to the strength in investment in</w:t>
      </w:r>
    </w:p>
    <w:p>
      <w:pPr>
        <w:spacing w:before="4"/>
        <w:ind w:left="164" w:right="0" w:firstLine="0"/>
        <w:jc w:val="left"/>
        <w:rPr>
          <w:sz w:val="24"/>
        </w:rPr>
      </w:pPr>
      <w:r>
        <w:rPr>
          <w:color w:val="231F20"/>
          <w:sz w:val="24"/>
        </w:rPr>
        <w:t>1997 Q2. These include increasing capacity constraints,</w:t>
      </w:r>
    </w:p>
    <w:p>
      <w:pPr>
        <w:pStyle w:val="BodyText"/>
        <w:spacing w:before="5"/>
        <w:rPr>
          <w:sz w:val="9"/>
        </w:rPr>
      </w:pPr>
      <w:r>
        <w:rPr/>
        <w:pict>
          <v:shape style="position:absolute;margin-left:278.5pt;margin-top:7.491446pt;width:277.5pt;height:.1pt;mso-position-horizontal-relative:page;mso-position-vertical-relative:paragraph;z-index:-15568384;mso-wrap-distance-left:0;mso-wrap-distance-right:0" coordorigin="5570,150" coordsize="5550,0" path="m5570,150l11120,150e" filled="false" stroked="true" strokeweight=".125pt" strokecolor="#231f20">
            <v:path arrowok="t"/>
            <v:stroke dashstyle="solid"/>
            <w10:wrap type="topAndBottom"/>
          </v:shape>
        </w:pict>
      </w:r>
    </w:p>
    <w:p>
      <w:pPr>
        <w:spacing w:line="208" w:lineRule="auto" w:before="0"/>
        <w:ind w:left="394" w:right="919" w:hanging="240"/>
        <w:jc w:val="left"/>
        <w:rPr>
          <w:sz w:val="16"/>
        </w:rPr>
      </w:pPr>
      <w:r>
        <w:rPr>
          <w:color w:val="231F20"/>
          <w:sz w:val="16"/>
        </w:rPr>
        <w:t>(1) Thomas, R (1996), ‘Understanding broad money’, </w:t>
      </w:r>
      <w:r>
        <w:rPr>
          <w:i/>
          <w:color w:val="231F20"/>
          <w:sz w:val="16"/>
        </w:rPr>
        <w:t>Quarterly Bulletin</w:t>
      </w:r>
      <w:r>
        <w:rPr>
          <w:color w:val="231F20"/>
          <w:sz w:val="16"/>
        </w:rPr>
        <w:t>, May, pages 163–79.</w:t>
      </w:r>
    </w:p>
    <w:p>
      <w:pPr>
        <w:spacing w:after="0" w:line="208" w:lineRule="auto"/>
        <w:jc w:val="left"/>
        <w:rPr>
          <w:sz w:val="16"/>
        </w:rPr>
        <w:sectPr>
          <w:type w:val="continuous"/>
          <w:pgSz w:w="11900" w:h="16840"/>
          <w:pgMar w:top="1040" w:bottom="280" w:left="640" w:right="660"/>
          <w:cols w:num="2" w:equalWidth="0">
            <w:col w:w="4275" w:space="530"/>
            <w:col w:w="5795"/>
          </w:cols>
        </w:sectPr>
      </w:pPr>
    </w:p>
    <w:p>
      <w:pPr>
        <w:pStyle w:val="BodyText"/>
        <w:rPr>
          <w:sz w:val="20"/>
        </w:rPr>
      </w:pPr>
    </w:p>
    <w:p>
      <w:pPr>
        <w:pStyle w:val="Heading3"/>
        <w:spacing w:before="243"/>
        <w:ind w:right="1444"/>
        <w:jc w:val="center"/>
      </w:pPr>
      <w:bookmarkStart w:name="The UK construction industry" w:id="46"/>
      <w:bookmarkEnd w:id="46"/>
      <w:r>
        <w:rPr>
          <w:b w:val="0"/>
        </w:rPr>
      </w:r>
      <w:bookmarkStart w:name="_bookmark21" w:id="47"/>
      <w:bookmarkEnd w:id="47"/>
      <w:r>
        <w:rPr>
          <w:b w:val="0"/>
        </w:rPr>
      </w:r>
      <w:bookmarkStart w:name="_bookmark22" w:id="48"/>
      <w:bookmarkEnd w:id="48"/>
      <w:r>
        <w:rPr>
          <w:b w:val="0"/>
        </w:rPr>
      </w:r>
      <w:r>
        <w:rPr>
          <w:color w:val="009483"/>
        </w:rPr>
        <w:t>The UK construction industry</w:t>
      </w:r>
    </w:p>
    <w:p>
      <w:pPr>
        <w:pStyle w:val="BodyText"/>
        <w:rPr>
          <w:b/>
          <w:sz w:val="24"/>
        </w:rPr>
      </w:pPr>
    </w:p>
    <w:p>
      <w:pPr>
        <w:spacing w:after="0"/>
        <w:rPr>
          <w:sz w:val="24"/>
        </w:rPr>
        <w:sectPr>
          <w:pgSz w:w="11900" w:h="16840"/>
          <w:pgMar w:header="586" w:footer="617" w:top="780" w:bottom="800" w:left="640" w:right="660"/>
        </w:sectPr>
      </w:pPr>
    </w:p>
    <w:p>
      <w:pPr>
        <w:pStyle w:val="Heading8"/>
        <w:spacing w:line="247" w:lineRule="auto" w:before="91"/>
        <w:ind w:right="-5"/>
      </w:pPr>
      <w:r>
        <w:rPr>
          <w:color w:val="231F20"/>
        </w:rPr>
        <w:t>Construction output constitutes about 7% of GDP, and more than half of total investment is</w:t>
      </w:r>
    </w:p>
    <w:p>
      <w:pPr>
        <w:pStyle w:val="Heading9"/>
        <w:spacing w:before="105"/>
        <w:ind w:left="434"/>
      </w:pPr>
      <w:r>
        <w:rPr>
          <w:b w:val="0"/>
        </w:rPr>
        <w:br w:type="column"/>
      </w:r>
      <w:r>
        <w:rPr>
          <w:color w:val="0093C1"/>
        </w:rPr>
        <w:t>Chart B</w:t>
      </w:r>
    </w:p>
    <w:p>
      <w:pPr>
        <w:spacing w:before="10"/>
        <w:ind w:left="434" w:right="0" w:firstLine="0"/>
        <w:jc w:val="left"/>
        <w:rPr>
          <w:b/>
          <w:sz w:val="20"/>
        </w:rPr>
      </w:pPr>
      <w:r>
        <w:rPr>
          <w:b/>
          <w:color w:val="0093C1"/>
          <w:sz w:val="20"/>
        </w:rPr>
        <w:t>Capacity constraints in the construction industry</w:t>
      </w:r>
    </w:p>
    <w:p>
      <w:pPr>
        <w:spacing w:after="0"/>
        <w:jc w:val="left"/>
        <w:rPr>
          <w:sz w:val="20"/>
        </w:rPr>
        <w:sectPr>
          <w:type w:val="continuous"/>
          <w:pgSz w:w="11900" w:h="16840"/>
          <w:pgMar w:top="1040" w:bottom="280" w:left="640" w:right="660"/>
          <w:cols w:num="2" w:equalWidth="0">
            <w:col w:w="4880" w:space="230"/>
            <w:col w:w="5490"/>
          </w:cols>
        </w:sectPr>
      </w:pPr>
    </w:p>
    <w:p>
      <w:pPr>
        <w:spacing w:line="247" w:lineRule="auto" w:before="0"/>
        <w:ind w:left="434" w:right="0" w:hanging="1"/>
        <w:jc w:val="left"/>
        <w:rPr>
          <w:sz w:val="22"/>
        </w:rPr>
      </w:pPr>
      <w:r>
        <w:rPr>
          <w:color w:val="231F20"/>
          <w:sz w:val="22"/>
        </w:rPr>
        <w:t>construction-related. As Chart A illustrates, cycles in the construction industry are typically more</w:t>
      </w:r>
    </w:p>
    <w:p>
      <w:pPr>
        <w:spacing w:before="78"/>
        <w:ind w:left="434" w:right="0" w:firstLine="0"/>
        <w:jc w:val="left"/>
        <w:rPr>
          <w:sz w:val="12"/>
        </w:rPr>
      </w:pPr>
      <w:r>
        <w:rPr/>
        <w:br w:type="column"/>
      </w:r>
      <w:r>
        <w:rPr>
          <w:position w:val="-6"/>
          <w:sz w:val="12"/>
        </w:rPr>
        <w:t>90 </w:t>
      </w:r>
      <w:r>
        <w:rPr>
          <w:sz w:val="12"/>
        </w:rPr>
        <w:t>Per cent</w:t>
      </w:r>
    </w:p>
    <w:p>
      <w:pPr>
        <w:spacing w:line="348" w:lineRule="auto" w:before="78"/>
        <w:ind w:left="434" w:right="190" w:firstLine="706"/>
        <w:jc w:val="left"/>
        <w:rPr>
          <w:sz w:val="12"/>
        </w:rPr>
      </w:pPr>
      <w:r>
        <w:rPr/>
        <w:br w:type="column"/>
      </w:r>
      <w:r>
        <w:rPr>
          <w:sz w:val="12"/>
        </w:rPr>
        <w:t>Percentage changes on a year earlier </w:t>
      </w:r>
      <w:r>
        <w:rPr>
          <w:position w:val="-6"/>
          <w:sz w:val="12"/>
        </w:rPr>
        <w:t>30 </w:t>
      </w:r>
      <w:r>
        <w:rPr>
          <w:sz w:val="12"/>
        </w:rPr>
        <w:t>Firms experiencing</w:t>
      </w:r>
    </w:p>
    <w:p>
      <w:pPr>
        <w:spacing w:after="0" w:line="348" w:lineRule="auto"/>
        <w:jc w:val="left"/>
        <w:rPr>
          <w:sz w:val="12"/>
        </w:rPr>
        <w:sectPr>
          <w:type w:val="continuous"/>
          <w:pgSz w:w="11900" w:h="16840"/>
          <w:pgMar w:top="1040" w:bottom="280" w:left="640" w:right="660"/>
          <w:cols w:num="3" w:equalWidth="0">
            <w:col w:w="4968" w:space="142"/>
            <w:col w:w="1030" w:space="970"/>
            <w:col w:w="3490"/>
          </w:cols>
        </w:sectPr>
      </w:pPr>
    </w:p>
    <w:p>
      <w:pPr>
        <w:pStyle w:val="Heading8"/>
        <w:tabs>
          <w:tab w:pos="5664" w:val="right" w:leader="none"/>
        </w:tabs>
        <w:spacing w:line="224" w:lineRule="exact"/>
        <w:rPr>
          <w:sz w:val="12"/>
        </w:rPr>
      </w:pPr>
      <w:r>
        <w:rPr>
          <w:color w:val="231F20"/>
        </w:rPr>
        <w:t>pronounced than in the economy as a whole.</w:t>
        <w:tab/>
      </w:r>
      <w:r>
        <w:rPr>
          <w:position w:val="12"/>
          <w:sz w:val="12"/>
        </w:rPr>
        <w:t>80</w:t>
      </w:r>
    </w:p>
    <w:p>
      <w:pPr>
        <w:pStyle w:val="Heading8"/>
        <w:tabs>
          <w:tab w:pos="5664" w:val="right" w:leader="none"/>
        </w:tabs>
        <w:spacing w:before="7"/>
        <w:rPr>
          <w:sz w:val="12"/>
        </w:rPr>
      </w:pPr>
      <w:hyperlink w:history="true" w:anchor="_bookmark17">
        <w:r>
          <w:rPr>
            <w:color w:val="231F20"/>
          </w:rPr>
          <w:t>Section 3.1</w:t>
        </w:r>
      </w:hyperlink>
      <w:r>
        <w:rPr>
          <w:color w:val="231F20"/>
        </w:rPr>
        <w:t> noted that weakness</w:t>
      </w:r>
      <w:r>
        <w:rPr>
          <w:color w:val="231F20"/>
          <w:spacing w:val="-1"/>
        </w:rPr>
        <w:t> </w:t>
      </w:r>
      <w:r>
        <w:rPr>
          <w:color w:val="231F20"/>
        </w:rPr>
        <w:t>in construction</w:t>
        <w:tab/>
      </w:r>
      <w:r>
        <w:rPr>
          <w:position w:val="6"/>
          <w:sz w:val="12"/>
        </w:rPr>
        <w:t>70</w:t>
      </w:r>
    </w:p>
    <w:p>
      <w:pPr>
        <w:pStyle w:val="Heading8"/>
        <w:tabs>
          <w:tab w:pos="5664" w:val="right" w:leader="none"/>
        </w:tabs>
        <w:spacing w:before="3"/>
        <w:rPr>
          <w:sz w:val="12"/>
        </w:rPr>
      </w:pPr>
      <w:r>
        <w:rPr>
          <w:color w:val="231F20"/>
          <w:position w:val="2"/>
        </w:rPr>
        <w:t>investment has been a feature of</w:t>
      </w:r>
      <w:r>
        <w:rPr>
          <w:color w:val="231F20"/>
          <w:spacing w:val="-4"/>
          <w:position w:val="2"/>
        </w:rPr>
        <w:t> </w:t>
      </w:r>
      <w:r>
        <w:rPr>
          <w:color w:val="231F20"/>
          <w:position w:val="2"/>
        </w:rPr>
        <w:t>the present</w:t>
        <w:tab/>
      </w:r>
      <w:r>
        <w:rPr>
          <w:sz w:val="12"/>
        </w:rPr>
        <w:t>60</w:t>
      </w:r>
    </w:p>
    <w:p>
      <w:pPr>
        <w:pStyle w:val="Heading8"/>
        <w:spacing w:line="221" w:lineRule="exact" w:before="11"/>
      </w:pPr>
      <w:r>
        <w:rPr>
          <w:color w:val="231F20"/>
        </w:rPr>
        <w:t>recovery. Recently, however, there have been signs</w:t>
      </w:r>
    </w:p>
    <w:p>
      <w:pPr>
        <w:spacing w:line="73" w:lineRule="exact" w:before="0"/>
        <w:ind w:left="0" w:right="38" w:firstLine="0"/>
        <w:jc w:val="right"/>
        <w:rPr>
          <w:sz w:val="12"/>
        </w:rPr>
      </w:pPr>
      <w:r>
        <w:rPr>
          <w:sz w:val="12"/>
        </w:rPr>
        <w:t>50</w:t>
      </w:r>
    </w:p>
    <w:p>
      <w:pPr>
        <w:pStyle w:val="Heading8"/>
        <w:spacing w:line="219" w:lineRule="exact"/>
      </w:pPr>
      <w:r>
        <w:rPr>
          <w:color w:val="231F20"/>
        </w:rPr>
        <w:t>of a pick-up, with construction output rising 3.5%</w:t>
      </w:r>
    </w:p>
    <w:p>
      <w:pPr>
        <w:tabs>
          <w:tab w:pos="5664" w:val="right" w:leader="none"/>
        </w:tabs>
        <w:spacing w:before="0"/>
        <w:ind w:left="434" w:right="0" w:firstLine="0"/>
        <w:jc w:val="left"/>
        <w:rPr>
          <w:sz w:val="12"/>
        </w:rPr>
      </w:pPr>
      <w:r>
        <w:rPr>
          <w:color w:val="231F20"/>
          <w:sz w:val="22"/>
        </w:rPr>
        <w:t>on a year earlier in 1997 Q2, compared</w:t>
      </w:r>
      <w:r>
        <w:rPr>
          <w:color w:val="231F20"/>
          <w:spacing w:val="-1"/>
          <w:sz w:val="22"/>
        </w:rPr>
        <w:t> </w:t>
      </w:r>
      <w:r>
        <w:rPr>
          <w:color w:val="231F20"/>
          <w:sz w:val="22"/>
        </w:rPr>
        <w:t>with 2.7%</w:t>
        <w:tab/>
      </w:r>
      <w:r>
        <w:rPr>
          <w:position w:val="10"/>
          <w:sz w:val="12"/>
        </w:rPr>
        <w:t>40</w:t>
      </w:r>
    </w:p>
    <w:p>
      <w:pPr>
        <w:tabs>
          <w:tab w:pos="3134" w:val="right" w:leader="none"/>
        </w:tabs>
        <w:spacing w:line="69" w:lineRule="exact" w:before="0"/>
        <w:ind w:left="554" w:right="0" w:firstLine="0"/>
        <w:jc w:val="left"/>
        <w:rPr>
          <w:sz w:val="12"/>
        </w:rPr>
      </w:pPr>
      <w:r>
        <w:rPr/>
        <w:br w:type="column"/>
      </w:r>
      <w:r>
        <w:rPr>
          <w:sz w:val="12"/>
        </w:rPr>
        <w:t>difficulty securing</w:t>
        <w:tab/>
        <w:t>25</w:t>
      </w:r>
    </w:p>
    <w:p>
      <w:pPr>
        <w:spacing w:line="120" w:lineRule="exact" w:before="0"/>
        <w:ind w:left="554" w:right="0" w:firstLine="0"/>
        <w:jc w:val="left"/>
        <w:rPr>
          <w:sz w:val="12"/>
        </w:rPr>
      </w:pPr>
      <w:r>
        <w:rPr>
          <w:sz w:val="12"/>
        </w:rPr>
        <w:t>bricklayers</w:t>
      </w:r>
    </w:p>
    <w:p>
      <w:pPr>
        <w:tabs>
          <w:tab w:pos="3134" w:val="right" w:leader="none"/>
        </w:tabs>
        <w:spacing w:line="218" w:lineRule="auto" w:before="0"/>
        <w:ind w:left="554" w:right="0" w:firstLine="0"/>
        <w:jc w:val="left"/>
        <w:rPr>
          <w:sz w:val="12"/>
        </w:rPr>
      </w:pPr>
      <w:r>
        <w:rPr>
          <w:sz w:val="12"/>
        </w:rPr>
        <w:t>(left-hand scale)</w:t>
        <w:tab/>
      </w:r>
      <w:r>
        <w:rPr>
          <w:position w:val="-7"/>
          <w:sz w:val="12"/>
        </w:rPr>
        <w:t>20</w:t>
      </w:r>
    </w:p>
    <w:p>
      <w:pPr>
        <w:pStyle w:val="BodyText"/>
        <w:spacing w:before="8"/>
        <w:rPr>
          <w:sz w:val="17"/>
        </w:rPr>
      </w:pPr>
    </w:p>
    <w:p>
      <w:pPr>
        <w:spacing w:before="0"/>
        <w:ind w:left="3014" w:right="0" w:firstLine="0"/>
        <w:jc w:val="left"/>
        <w:rPr>
          <w:sz w:val="12"/>
        </w:rPr>
      </w:pPr>
      <w:r>
        <w:rPr>
          <w:sz w:val="12"/>
        </w:rPr>
        <w:t>15</w:t>
      </w:r>
    </w:p>
    <w:p>
      <w:pPr>
        <w:pStyle w:val="BodyText"/>
        <w:spacing w:before="7"/>
        <w:rPr>
          <w:sz w:val="17"/>
        </w:rPr>
      </w:pPr>
    </w:p>
    <w:p>
      <w:pPr>
        <w:spacing w:before="0"/>
        <w:ind w:left="3014" w:right="0" w:firstLine="0"/>
        <w:jc w:val="left"/>
        <w:rPr>
          <w:sz w:val="12"/>
        </w:rPr>
      </w:pPr>
      <w:r>
        <w:rPr>
          <w:sz w:val="12"/>
        </w:rPr>
        <w:t>10</w:t>
      </w:r>
    </w:p>
    <w:p>
      <w:pPr>
        <w:spacing w:line="129" w:lineRule="exact" w:before="2"/>
        <w:ind w:left="434" w:right="0" w:firstLine="0"/>
        <w:jc w:val="left"/>
        <w:rPr>
          <w:sz w:val="12"/>
        </w:rPr>
      </w:pPr>
      <w:r>
        <w:rPr>
          <w:sz w:val="12"/>
        </w:rPr>
        <w:t>Construction output</w:t>
      </w:r>
    </w:p>
    <w:p>
      <w:pPr>
        <w:tabs>
          <w:tab w:pos="3074" w:val="left" w:leader="none"/>
        </w:tabs>
        <w:spacing w:line="218" w:lineRule="auto" w:before="0"/>
        <w:ind w:left="527" w:right="0" w:firstLine="0"/>
        <w:jc w:val="left"/>
        <w:rPr>
          <w:sz w:val="12"/>
        </w:rPr>
      </w:pPr>
      <w:r>
        <w:rPr>
          <w:sz w:val="12"/>
        </w:rPr>
        <w:t>(right-hand scale)</w:t>
        <w:tab/>
      </w:r>
      <w:r>
        <w:rPr>
          <w:position w:val="-5"/>
          <w:sz w:val="12"/>
        </w:rPr>
        <w:t>5</w:t>
      </w:r>
    </w:p>
    <w:p>
      <w:pPr>
        <w:spacing w:line="98" w:lineRule="exact" w:before="46"/>
        <w:ind w:left="2974" w:right="0" w:firstLine="0"/>
        <w:jc w:val="left"/>
        <w:rPr>
          <w:sz w:val="16"/>
        </w:rPr>
      </w:pPr>
      <w:r>
        <w:rPr>
          <w:sz w:val="16"/>
        </w:rPr>
        <w:t>+</w:t>
      </w:r>
    </w:p>
    <w:p>
      <w:pPr>
        <w:spacing w:after="0" w:line="98" w:lineRule="exact"/>
        <w:jc w:val="left"/>
        <w:rPr>
          <w:sz w:val="16"/>
        </w:rPr>
        <w:sectPr>
          <w:type w:val="continuous"/>
          <w:pgSz w:w="11900" w:h="16840"/>
          <w:pgMar w:top="1040" w:bottom="280" w:left="640" w:right="660"/>
          <w:cols w:num="2" w:equalWidth="0">
            <w:col w:w="5705" w:space="1345"/>
            <w:col w:w="3550"/>
          </w:cols>
        </w:sectPr>
      </w:pPr>
    </w:p>
    <w:p>
      <w:pPr>
        <w:pStyle w:val="Heading8"/>
        <w:spacing w:line="244" w:lineRule="exact"/>
        <w:ind w:left="435"/>
      </w:pPr>
      <w:r>
        <w:rPr>
          <w:color w:val="231F20"/>
        </w:rPr>
        <w:t>on a year earlier in 1997 Q1.</w:t>
      </w:r>
    </w:p>
    <w:p>
      <w:pPr>
        <w:pStyle w:val="BodyText"/>
        <w:rPr>
          <w:sz w:val="27"/>
        </w:rPr>
      </w:pPr>
    </w:p>
    <w:p>
      <w:pPr>
        <w:pStyle w:val="Heading9"/>
        <w:spacing w:before="1"/>
        <w:ind w:left="434"/>
      </w:pPr>
      <w:r>
        <w:rPr>
          <w:color w:val="0093C1"/>
        </w:rPr>
        <w:t>Chart A</w:t>
      </w:r>
    </w:p>
    <w:p>
      <w:pPr>
        <w:spacing w:before="10"/>
        <w:ind w:left="434" w:right="0" w:firstLine="0"/>
        <w:jc w:val="left"/>
        <w:rPr>
          <w:b/>
          <w:sz w:val="20"/>
        </w:rPr>
      </w:pPr>
      <w:r>
        <w:rPr>
          <w:b/>
          <w:color w:val="0093C1"/>
          <w:sz w:val="20"/>
        </w:rPr>
        <w:t>Construction output and GDP growth</w:t>
      </w:r>
    </w:p>
    <w:p>
      <w:pPr>
        <w:spacing w:before="144"/>
        <w:ind w:left="2940" w:right="0" w:firstLine="0"/>
        <w:jc w:val="left"/>
        <w:rPr>
          <w:sz w:val="12"/>
        </w:rPr>
      </w:pPr>
      <w:r>
        <w:rPr>
          <w:sz w:val="12"/>
        </w:rPr>
        <w:t>Percentage changes on a year earlier </w:t>
      </w:r>
      <w:r>
        <w:rPr>
          <w:position w:val="-5"/>
          <w:sz w:val="12"/>
        </w:rPr>
        <w:t>20</w:t>
      </w:r>
    </w:p>
    <w:p>
      <w:pPr>
        <w:tabs>
          <w:tab w:pos="844" w:val="left" w:leader="none"/>
          <w:tab w:pos="4624" w:val="left" w:leader="none"/>
          <w:tab w:pos="5014" w:val="left" w:leader="none"/>
        </w:tabs>
        <w:spacing w:before="60"/>
        <w:ind w:left="434" w:right="0" w:firstLine="0"/>
        <w:jc w:val="left"/>
        <w:rPr>
          <w:sz w:val="12"/>
        </w:rPr>
      </w:pPr>
      <w:r>
        <w:rPr/>
        <w:br w:type="column"/>
      </w:r>
      <w:r>
        <w:rPr>
          <w:sz w:val="12"/>
        </w:rPr>
        <w:t>30</w:t>
        <w:tab/>
      </w:r>
      <w:r>
        <w:rPr>
          <w:sz w:val="12"/>
          <w:u w:val="single"/>
        </w:rPr>
        <w:t> </w:t>
        <w:tab/>
      </w:r>
      <w:r>
        <w:rPr>
          <w:sz w:val="12"/>
        </w:rPr>
        <w:tab/>
        <w:t>0</w:t>
      </w:r>
    </w:p>
    <w:p>
      <w:pPr>
        <w:spacing w:line="126" w:lineRule="exact" w:before="36"/>
        <w:ind w:left="1234" w:right="0" w:firstLine="0"/>
        <w:jc w:val="left"/>
        <w:rPr>
          <w:sz w:val="12"/>
        </w:rPr>
      </w:pPr>
      <w:r>
        <w:rPr/>
        <w:pict>
          <v:shape style="position:absolute;margin-left:533.219971pt;margin-top:-3.394336pt;width:4pt;height:8.9pt;mso-position-horizontal-relative:page;mso-position-vertical-relative:paragraph;z-index:-20847104" type="#_x0000_t202" filled="false" stroked="false">
            <v:textbox inset="0,0,0,0">
              <w:txbxContent>
                <w:p>
                  <w:pPr>
                    <w:spacing w:line="177" w:lineRule="exact" w:before="0"/>
                    <w:ind w:left="0" w:right="0" w:firstLine="0"/>
                    <w:jc w:val="left"/>
                    <w:rPr>
                      <w:sz w:val="16"/>
                    </w:rPr>
                  </w:pPr>
                  <w:r>
                    <w:rPr>
                      <w:sz w:val="16"/>
                    </w:rPr>
                    <w:t>_</w:t>
                  </w:r>
                </w:p>
              </w:txbxContent>
            </v:textbox>
            <w10:wrap type="none"/>
          </v:shape>
        </w:pict>
      </w:r>
      <w:r>
        <w:rPr>
          <w:sz w:val="12"/>
        </w:rPr>
        <w:t>Firms at full or</w:t>
      </w:r>
    </w:p>
    <w:p>
      <w:pPr>
        <w:tabs>
          <w:tab w:pos="1280" w:val="left" w:leader="none"/>
          <w:tab w:pos="5074" w:val="right" w:leader="none"/>
        </w:tabs>
        <w:spacing w:line="132" w:lineRule="auto" w:before="15"/>
        <w:ind w:left="434" w:right="0" w:firstLine="0"/>
        <w:jc w:val="left"/>
        <w:rPr>
          <w:sz w:val="12"/>
        </w:rPr>
      </w:pPr>
      <w:r>
        <w:rPr>
          <w:position w:val="-4"/>
          <w:sz w:val="12"/>
        </w:rPr>
        <w:t>20</w:t>
        <w:tab/>
      </w:r>
      <w:r>
        <w:rPr>
          <w:sz w:val="12"/>
        </w:rPr>
        <w:t>near-full capacity</w:t>
        <w:tab/>
      </w:r>
      <w:r>
        <w:rPr>
          <w:position w:val="-4"/>
          <w:sz w:val="12"/>
        </w:rPr>
        <w:t>5</w:t>
      </w:r>
    </w:p>
    <w:p>
      <w:pPr>
        <w:spacing w:line="104" w:lineRule="exact" w:before="0"/>
        <w:ind w:left="1281" w:right="0" w:firstLine="0"/>
        <w:jc w:val="left"/>
        <w:rPr>
          <w:sz w:val="12"/>
        </w:rPr>
      </w:pPr>
      <w:r>
        <w:rPr>
          <w:sz w:val="12"/>
        </w:rPr>
        <w:t>(left-hand scale)</w:t>
      </w:r>
    </w:p>
    <w:p>
      <w:pPr>
        <w:pStyle w:val="BodyText"/>
        <w:spacing w:before="9"/>
        <w:rPr>
          <w:sz w:val="11"/>
        </w:rPr>
      </w:pPr>
    </w:p>
    <w:p>
      <w:pPr>
        <w:tabs>
          <w:tab w:pos="4954" w:val="left" w:leader="none"/>
        </w:tabs>
        <w:spacing w:before="0"/>
        <w:ind w:left="434" w:right="0" w:firstLine="0"/>
        <w:jc w:val="left"/>
        <w:rPr>
          <w:sz w:val="12"/>
        </w:rPr>
      </w:pPr>
      <w:r>
        <w:rPr>
          <w:sz w:val="12"/>
        </w:rPr>
        <w:t>10</w:t>
        <w:tab/>
        <w:t>10</w:t>
      </w:r>
    </w:p>
    <w:p>
      <w:pPr>
        <w:pStyle w:val="BodyText"/>
        <w:spacing w:before="9"/>
        <w:rPr>
          <w:sz w:val="15"/>
        </w:rPr>
      </w:pPr>
    </w:p>
    <w:p>
      <w:pPr>
        <w:tabs>
          <w:tab w:pos="4954" w:val="left" w:leader="none"/>
        </w:tabs>
        <w:spacing w:before="1"/>
        <w:ind w:left="494" w:right="0" w:firstLine="0"/>
        <w:jc w:val="left"/>
        <w:rPr>
          <w:sz w:val="12"/>
        </w:rPr>
      </w:pPr>
      <w:r>
        <w:rPr>
          <w:sz w:val="12"/>
        </w:rPr>
        <w:t>0</w:t>
        <w:tab/>
        <w:t>15</w:t>
      </w:r>
    </w:p>
    <w:p>
      <w:pPr>
        <w:tabs>
          <w:tab w:pos="2254" w:val="left" w:leader="none"/>
          <w:tab w:pos="3874" w:val="left" w:leader="none"/>
        </w:tabs>
        <w:spacing w:before="82"/>
        <w:ind w:left="894" w:right="0" w:firstLine="0"/>
        <w:jc w:val="left"/>
        <w:rPr>
          <w:sz w:val="12"/>
        </w:rPr>
      </w:pPr>
      <w:r>
        <w:rPr>
          <w:sz w:val="12"/>
        </w:rPr>
        <w:t>1986</w:t>
        <w:tab/>
        <w:t>90</w:t>
        <w:tab/>
        <w:t>95</w:t>
      </w:r>
    </w:p>
    <w:p>
      <w:pPr>
        <w:spacing w:after="0"/>
        <w:jc w:val="left"/>
        <w:rPr>
          <w:sz w:val="12"/>
        </w:rPr>
        <w:sectPr>
          <w:type w:val="continuous"/>
          <w:pgSz w:w="11900" w:h="16840"/>
          <w:pgMar w:top="1040" w:bottom="280" w:left="640" w:right="660"/>
          <w:cols w:num="2" w:equalWidth="0">
            <w:col w:w="4975" w:space="135"/>
            <w:col w:w="5490"/>
          </w:cols>
        </w:sectPr>
      </w:pPr>
    </w:p>
    <w:p>
      <w:pPr>
        <w:pStyle w:val="BodyText"/>
        <w:rPr>
          <w:sz w:val="12"/>
        </w:rPr>
      </w:pPr>
    </w:p>
    <w:p>
      <w:pPr>
        <w:pStyle w:val="BodyText"/>
        <w:spacing w:before="11"/>
        <w:rPr>
          <w:sz w:val="15"/>
        </w:rPr>
      </w:pPr>
    </w:p>
    <w:p>
      <w:pPr>
        <w:spacing w:before="0"/>
        <w:ind w:left="2294" w:right="0" w:firstLine="0"/>
        <w:jc w:val="left"/>
        <w:rPr>
          <w:sz w:val="12"/>
        </w:rPr>
      </w:pPr>
      <w:r>
        <w:rPr>
          <w:sz w:val="12"/>
        </w:rPr>
        <w:t>Construction output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9"/>
        </w:rPr>
      </w:pPr>
    </w:p>
    <w:p>
      <w:pPr>
        <w:spacing w:line="124" w:lineRule="exact" w:before="0"/>
        <w:ind w:left="2274" w:right="0" w:firstLine="0"/>
        <w:jc w:val="left"/>
        <w:rPr>
          <w:sz w:val="12"/>
        </w:rPr>
      </w:pPr>
      <w:r>
        <w:rPr>
          <w:sz w:val="12"/>
        </w:rPr>
        <w:t>GDP</w:t>
      </w:r>
    </w:p>
    <w:p>
      <w:pPr>
        <w:spacing w:line="124" w:lineRule="exact" w:before="0"/>
        <w:ind w:left="2274" w:right="0" w:firstLine="0"/>
        <w:jc w:val="left"/>
        <w:rPr>
          <w:sz w:val="12"/>
        </w:rPr>
      </w:pPr>
      <w:r>
        <w:rPr>
          <w:sz w:val="12"/>
        </w:rPr>
        <w:t>growth</w:t>
      </w:r>
    </w:p>
    <w:p>
      <w:pPr>
        <w:pStyle w:val="BodyText"/>
        <w:spacing w:before="6"/>
        <w:rPr>
          <w:sz w:val="13"/>
        </w:rPr>
      </w:pPr>
      <w:r>
        <w:rPr/>
        <w:br w:type="column"/>
      </w:r>
      <w:r>
        <w:rPr>
          <w:sz w:val="13"/>
        </w:rPr>
      </w:r>
    </w:p>
    <w:p>
      <w:pPr>
        <w:spacing w:line="117" w:lineRule="exact" w:before="0"/>
        <w:ind w:left="2263" w:right="0" w:firstLine="0"/>
        <w:jc w:val="left"/>
        <w:rPr>
          <w:sz w:val="12"/>
        </w:rPr>
      </w:pPr>
      <w:r>
        <w:rPr>
          <w:color w:val="231F20"/>
          <w:sz w:val="12"/>
        </w:rPr>
        <w:t>Sources: </w:t>
      </w:r>
      <w:r>
        <w:rPr>
          <w:i/>
          <w:color w:val="231F20"/>
          <w:sz w:val="12"/>
        </w:rPr>
        <w:t>Construction Trends Survey</w:t>
      </w:r>
      <w:r>
        <w:rPr>
          <w:color w:val="231F20"/>
          <w:sz w:val="12"/>
        </w:rPr>
        <w:t>, Construction Confederation, October 1997 and ONS.</w:t>
      </w:r>
    </w:p>
    <w:p>
      <w:pPr>
        <w:tabs>
          <w:tab w:pos="2213" w:val="left" w:leader="none"/>
          <w:tab w:pos="6983" w:val="left" w:leader="none"/>
        </w:tabs>
        <w:spacing w:line="117" w:lineRule="exact" w:before="0"/>
        <w:ind w:left="1523" w:right="0" w:firstLine="0"/>
        <w:jc w:val="left"/>
        <w:rPr>
          <w:sz w:val="12"/>
        </w:rPr>
      </w:pPr>
      <w:r>
        <w:rPr>
          <w:sz w:val="12"/>
        </w:rPr>
        <w:t>15</w:t>
        <w:tab/>
      </w:r>
      <w:r>
        <w:rPr>
          <w:sz w:val="12"/>
          <w:u w:val="single" w:color="231F20"/>
        </w:rPr>
        <w:t> </w:t>
        <w:tab/>
      </w:r>
    </w:p>
    <w:p>
      <w:pPr>
        <w:pStyle w:val="BodyText"/>
        <w:rPr>
          <w:sz w:val="12"/>
        </w:rPr>
      </w:pPr>
    </w:p>
    <w:p>
      <w:pPr>
        <w:pStyle w:val="BodyText"/>
        <w:spacing w:before="9"/>
        <w:rPr>
          <w:sz w:val="17"/>
        </w:rPr>
      </w:pPr>
    </w:p>
    <w:p>
      <w:pPr>
        <w:pStyle w:val="Heading8"/>
        <w:ind w:left="2263"/>
      </w:pPr>
      <w:r>
        <w:rPr/>
        <w:pict>
          <v:shape style="position:absolute;margin-left:272.720001pt;margin-top:-2.772156pt;width:6pt;height:6.65pt;mso-position-horizontal-relative:page;mso-position-vertical-relative:paragraph;z-index:15891456" type="#_x0000_t202" filled="false" stroked="false">
            <v:textbox inset="0,0,0,0">
              <w:txbxContent>
                <w:p>
                  <w:pPr>
                    <w:spacing w:line="133" w:lineRule="exact" w:before="0"/>
                    <w:ind w:left="0" w:right="0" w:firstLine="0"/>
                    <w:jc w:val="left"/>
                    <w:rPr>
                      <w:sz w:val="12"/>
                    </w:rPr>
                  </w:pPr>
                  <w:r>
                    <w:rPr>
                      <w:sz w:val="12"/>
                    </w:rPr>
                    <w:t>10</w:t>
                  </w:r>
                </w:p>
              </w:txbxContent>
            </v:textbox>
            <w10:wrap type="none"/>
          </v:shape>
        </w:pict>
      </w:r>
      <w:r>
        <w:rPr>
          <w:color w:val="231F20"/>
        </w:rPr>
        <w:t>Chart B notes that capacity utilisation in the</w:t>
      </w:r>
    </w:p>
    <w:p>
      <w:pPr>
        <w:tabs>
          <w:tab w:pos="679" w:val="left" w:leader="none"/>
        </w:tabs>
        <w:spacing w:line="261" w:lineRule="exact" w:before="7"/>
        <w:ind w:left="0" w:right="633" w:firstLine="0"/>
        <w:jc w:val="right"/>
        <w:rPr>
          <w:sz w:val="22"/>
        </w:rPr>
      </w:pPr>
      <w:r>
        <w:rPr>
          <w:position w:val="-2"/>
          <w:sz w:val="12"/>
        </w:rPr>
        <w:t>5</w:t>
        <w:tab/>
      </w:r>
      <w:r>
        <w:rPr>
          <w:color w:val="231F20"/>
          <w:sz w:val="22"/>
        </w:rPr>
        <w:t>industry has already increased, and there are</w:t>
      </w:r>
      <w:r>
        <w:rPr>
          <w:color w:val="231F20"/>
          <w:spacing w:val="-3"/>
          <w:sz w:val="22"/>
        </w:rPr>
        <w:t> </w:t>
      </w:r>
      <w:r>
        <w:rPr>
          <w:color w:val="231F20"/>
          <w:sz w:val="22"/>
        </w:rPr>
        <w:t>signs</w:t>
      </w:r>
    </w:p>
    <w:p>
      <w:pPr>
        <w:tabs>
          <w:tab w:pos="839" w:val="left" w:leader="none"/>
        </w:tabs>
        <w:spacing w:line="269" w:lineRule="exact" w:before="0"/>
        <w:ind w:left="0" w:right="541" w:firstLine="0"/>
        <w:jc w:val="right"/>
        <w:rPr>
          <w:sz w:val="22"/>
        </w:rPr>
      </w:pPr>
      <w:r>
        <w:rPr>
          <w:position w:val="-6"/>
          <w:sz w:val="16"/>
        </w:rPr>
        <w:t>+</w:t>
        <w:tab/>
      </w:r>
      <w:r>
        <w:rPr>
          <w:color w:val="231F20"/>
          <w:sz w:val="22"/>
        </w:rPr>
        <w:t>that shortages of some types of labour, for</w:t>
      </w:r>
      <w:r>
        <w:rPr>
          <w:color w:val="231F20"/>
          <w:spacing w:val="-14"/>
          <w:sz w:val="22"/>
        </w:rPr>
        <w:t> </w:t>
      </w:r>
      <w:r>
        <w:rPr>
          <w:color w:val="231F20"/>
          <w:sz w:val="22"/>
        </w:rPr>
        <w:t>example</w:t>
      </w:r>
    </w:p>
    <w:p>
      <w:pPr>
        <w:spacing w:after="0" w:line="269" w:lineRule="exact"/>
        <w:jc w:val="right"/>
        <w:rPr>
          <w:sz w:val="22"/>
        </w:rPr>
        <w:sectPr>
          <w:type w:val="continuous"/>
          <w:pgSz w:w="11900" w:h="16840"/>
          <w:pgMar w:top="1040" w:bottom="280" w:left="640" w:right="660"/>
          <w:cols w:num="2" w:equalWidth="0">
            <w:col w:w="3252" w:space="40"/>
            <w:col w:w="7308"/>
          </w:cols>
        </w:sectPr>
      </w:pPr>
    </w:p>
    <w:p>
      <w:pPr>
        <w:spacing w:before="10"/>
        <w:ind w:left="0" w:right="104" w:firstLine="0"/>
        <w:jc w:val="right"/>
        <w:rPr>
          <w:sz w:val="12"/>
        </w:rPr>
      </w:pPr>
      <w:r>
        <w:rPr>
          <w:position w:val="-9"/>
          <w:sz w:val="16"/>
        </w:rPr>
        <w:t>_  </w:t>
      </w:r>
      <w:r>
        <w:rPr>
          <w:sz w:val="12"/>
        </w:rPr>
        <w:t>0</w:t>
      </w:r>
    </w:p>
    <w:p>
      <w:pPr>
        <w:spacing w:before="194"/>
        <w:ind w:left="4874" w:right="0" w:firstLine="0"/>
        <w:jc w:val="left"/>
        <w:rPr>
          <w:sz w:val="12"/>
        </w:rPr>
      </w:pPr>
      <w:r>
        <w:rPr>
          <w:sz w:val="12"/>
        </w:rPr>
        <w:t>5</w:t>
      </w:r>
    </w:p>
    <w:p>
      <w:pPr>
        <w:pStyle w:val="BodyText"/>
        <w:rPr>
          <w:sz w:val="12"/>
        </w:rPr>
      </w:pPr>
    </w:p>
    <w:p>
      <w:pPr>
        <w:pStyle w:val="BodyText"/>
        <w:spacing w:before="6"/>
        <w:rPr>
          <w:sz w:val="12"/>
        </w:rPr>
      </w:pPr>
    </w:p>
    <w:p>
      <w:pPr>
        <w:spacing w:before="0"/>
        <w:ind w:left="4814" w:right="0" w:firstLine="0"/>
        <w:jc w:val="left"/>
        <w:rPr>
          <w:sz w:val="12"/>
        </w:rPr>
      </w:pPr>
      <w:r>
        <w:rPr>
          <w:sz w:val="12"/>
        </w:rPr>
        <w:t>10</w:t>
      </w:r>
    </w:p>
    <w:p>
      <w:pPr>
        <w:pStyle w:val="BodyText"/>
        <w:rPr>
          <w:sz w:val="12"/>
        </w:rPr>
      </w:pPr>
    </w:p>
    <w:p>
      <w:pPr>
        <w:pStyle w:val="BodyText"/>
        <w:spacing w:before="3"/>
        <w:rPr>
          <w:sz w:val="14"/>
        </w:rPr>
      </w:pPr>
    </w:p>
    <w:p>
      <w:pPr>
        <w:spacing w:line="119" w:lineRule="exact" w:before="0"/>
        <w:ind w:left="4814" w:right="0" w:firstLine="0"/>
        <w:jc w:val="left"/>
        <w:rPr>
          <w:sz w:val="12"/>
        </w:rPr>
      </w:pPr>
      <w:r>
        <w:rPr>
          <w:sz w:val="12"/>
        </w:rPr>
        <w:t>15</w:t>
      </w:r>
    </w:p>
    <w:p>
      <w:pPr>
        <w:tabs>
          <w:tab w:pos="1834" w:val="left" w:leader="none"/>
          <w:tab w:pos="2914" w:val="left" w:leader="none"/>
          <w:tab w:pos="4014" w:val="left" w:leader="none"/>
        </w:tabs>
        <w:spacing w:line="119" w:lineRule="exact" w:before="0"/>
        <w:ind w:left="674" w:right="0" w:firstLine="0"/>
        <w:jc w:val="left"/>
        <w:rPr>
          <w:sz w:val="12"/>
        </w:rPr>
      </w:pPr>
      <w:r>
        <w:rPr>
          <w:sz w:val="12"/>
        </w:rPr>
        <w:t>1980</w:t>
        <w:tab/>
        <w:t>85</w:t>
        <w:tab/>
        <w:t>90</w:t>
        <w:tab/>
        <w:t>95</w:t>
      </w:r>
    </w:p>
    <w:p>
      <w:pPr>
        <w:pStyle w:val="BodyText"/>
        <w:rPr>
          <w:sz w:val="12"/>
        </w:rPr>
      </w:pPr>
    </w:p>
    <w:p>
      <w:pPr>
        <w:pStyle w:val="BodyText"/>
        <w:rPr>
          <w:sz w:val="12"/>
        </w:rPr>
      </w:pPr>
    </w:p>
    <w:p>
      <w:pPr>
        <w:pStyle w:val="BodyText"/>
        <w:spacing w:before="6"/>
        <w:rPr>
          <w:sz w:val="14"/>
        </w:rPr>
      </w:pPr>
    </w:p>
    <w:p>
      <w:pPr>
        <w:pStyle w:val="Heading8"/>
        <w:spacing w:line="247" w:lineRule="auto"/>
      </w:pPr>
      <w:r>
        <w:rPr>
          <w:color w:val="231F20"/>
        </w:rPr>
        <w:t>The weakness of construction activity was mainly accounted for by a weak housing market, low levels of business investment in new buildings and weak public sector demand. The low level of private sector investment was partly due to the build-up of</w:t>
      </w:r>
      <w:r>
        <w:rPr>
          <w:color w:val="231F20"/>
          <w:spacing w:val="-21"/>
        </w:rPr>
        <w:t> </w:t>
      </w:r>
      <w:r>
        <w:rPr>
          <w:color w:val="231F20"/>
          <w:spacing w:val="-17"/>
        </w:rPr>
        <w:t>a </w:t>
      </w:r>
      <w:r>
        <w:rPr>
          <w:color w:val="231F20"/>
        </w:rPr>
        <w:t>large stock of commercial and industrial property during the late 1980s. The fall in demand in the early 1990s led to a marked rise in spare capacity, and was reflected in falling rental values (price paid per square foot) during much of this </w:t>
      </w:r>
      <w:r>
        <w:rPr>
          <w:color w:val="231F20"/>
          <w:spacing w:val="-3"/>
        </w:rPr>
        <w:t>recovery.</w:t>
      </w:r>
    </w:p>
    <w:p>
      <w:pPr>
        <w:pStyle w:val="BodyText"/>
        <w:spacing w:before="7"/>
        <w:rPr>
          <w:sz w:val="25"/>
        </w:rPr>
      </w:pPr>
    </w:p>
    <w:p>
      <w:pPr>
        <w:spacing w:line="247" w:lineRule="auto" w:before="0"/>
        <w:ind w:left="433" w:right="61" w:firstLine="0"/>
        <w:jc w:val="left"/>
        <w:rPr>
          <w:sz w:val="22"/>
        </w:rPr>
      </w:pPr>
      <w:r>
        <w:rPr>
          <w:color w:val="231F20"/>
          <w:sz w:val="22"/>
        </w:rPr>
        <w:t>But rental values </w:t>
      </w:r>
      <w:r>
        <w:rPr>
          <w:color w:val="231F20"/>
          <w:spacing w:val="-3"/>
          <w:sz w:val="22"/>
        </w:rPr>
        <w:t>have </w:t>
      </w:r>
      <w:r>
        <w:rPr>
          <w:color w:val="231F20"/>
          <w:sz w:val="22"/>
        </w:rPr>
        <w:t>now begun to pick up in all sectors, and construction output is growing </w:t>
      </w:r>
      <w:r>
        <w:rPr>
          <w:color w:val="231F20"/>
          <w:spacing w:val="-4"/>
          <w:sz w:val="22"/>
        </w:rPr>
        <w:t>quickly. </w:t>
      </w:r>
      <w:r>
        <w:rPr>
          <w:color w:val="231F20"/>
          <w:sz w:val="22"/>
        </w:rPr>
        <w:t>For instance, in 1997 Q3, office rental values increased by 9.7% on a year earlier,</w:t>
      </w:r>
      <w:r>
        <w:rPr>
          <w:color w:val="231F20"/>
          <w:spacing w:val="-6"/>
          <w:sz w:val="22"/>
        </w:rPr>
        <w:t> </w:t>
      </w:r>
      <w:r>
        <w:rPr>
          <w:color w:val="231F20"/>
          <w:sz w:val="22"/>
        </w:rPr>
        <w:t>compared</w:t>
      </w:r>
    </w:p>
    <w:p>
      <w:pPr>
        <w:spacing w:line="247" w:lineRule="auto" w:before="0"/>
        <w:ind w:left="434" w:right="160" w:hanging="1"/>
        <w:jc w:val="left"/>
        <w:rPr>
          <w:sz w:val="22"/>
        </w:rPr>
      </w:pPr>
      <w:r>
        <w:rPr>
          <w:color w:val="231F20"/>
          <w:sz w:val="22"/>
        </w:rPr>
        <w:t>with 6.9% in 1997 Q2.</w:t>
      </w:r>
      <w:r>
        <w:rPr>
          <w:color w:val="231F20"/>
          <w:position w:val="4"/>
          <w:sz w:val="12"/>
        </w:rPr>
        <w:t>(1) </w:t>
      </w:r>
      <w:r>
        <w:rPr>
          <w:color w:val="231F20"/>
          <w:sz w:val="22"/>
        </w:rPr>
        <w:t>And the recovery in the housing market (though uneven across the country) should also spur further residential construction.</w:t>
      </w:r>
    </w:p>
    <w:p>
      <w:pPr>
        <w:spacing w:line="247" w:lineRule="auto" w:before="0"/>
        <w:ind w:left="433" w:right="435" w:hanging="1"/>
        <w:jc w:val="left"/>
        <w:rPr>
          <w:sz w:val="22"/>
        </w:rPr>
      </w:pPr>
      <w:r>
        <w:rPr/>
        <w:br w:type="column"/>
      </w:r>
      <w:r>
        <w:rPr>
          <w:color w:val="231F20"/>
          <w:sz w:val="22"/>
        </w:rPr>
        <w:t>bricklayers, are emerging.</w:t>
      </w:r>
      <w:r>
        <w:rPr>
          <w:color w:val="231F20"/>
          <w:position w:val="4"/>
          <w:sz w:val="12"/>
        </w:rPr>
        <w:t>(2) </w:t>
      </w:r>
      <w:r>
        <w:rPr>
          <w:color w:val="231F20"/>
          <w:sz w:val="22"/>
        </w:rPr>
        <w:t>Wages are also picking up. Average earnings in the construction sector increased by 4% in 1997 Q2 compared with a year earlier. And a recent wage settlement, covering almost two thirds of the industry, increased basic pay from August this year and allows for further large pa</w:t>
      </w:r>
      <w:hyperlink w:history="true" w:anchor="_bookmark29">
        <w:r>
          <w:rPr>
            <w:color w:val="231F20"/>
            <w:sz w:val="22"/>
          </w:rPr>
          <w:t>y increases in 1998 and 1999. Section 4</w:t>
        </w:r>
      </w:hyperlink>
      <w:r>
        <w:rPr>
          <w:color w:val="231F20"/>
          <w:sz w:val="22"/>
        </w:rPr>
        <w:t> examines the implications of this wage rise in the context of growing skills shortages.</w:t>
      </w:r>
    </w:p>
    <w:p>
      <w:pPr>
        <w:pStyle w:val="BodyText"/>
        <w:spacing w:before="7"/>
        <w:rPr>
          <w:sz w:val="19"/>
        </w:rPr>
      </w:pPr>
    </w:p>
    <w:p>
      <w:pPr>
        <w:spacing w:line="247" w:lineRule="auto" w:before="1"/>
        <w:ind w:left="434" w:right="418" w:firstLine="0"/>
        <w:jc w:val="left"/>
        <w:rPr>
          <w:sz w:val="22"/>
        </w:rPr>
      </w:pPr>
      <w:r>
        <w:rPr>
          <w:color w:val="231F20"/>
          <w:sz w:val="22"/>
        </w:rPr>
        <w:t>On past evidence, the construction sector is likely to be more sensitive than most other sectors to interest rate c</w:t>
      </w:r>
      <w:hyperlink w:history="true" w:anchor="_bookmark27">
        <w:r>
          <w:rPr>
            <w:color w:val="231F20"/>
            <w:sz w:val="22"/>
          </w:rPr>
          <w:t>hanges. Chart 3.10</w:t>
        </w:r>
      </w:hyperlink>
      <w:r>
        <w:rPr>
          <w:color w:val="231F20"/>
          <w:sz w:val="22"/>
        </w:rPr>
        <w:t> on page 28 suggests that the largest absolute response to an unexpected monetary policy tightening occurs in the construction industry. But survey evidence and the recent high wage settlement suggest that firms in </w:t>
      </w:r>
      <w:r>
        <w:rPr>
          <w:color w:val="231F20"/>
          <w:spacing w:val="-5"/>
          <w:sz w:val="22"/>
        </w:rPr>
        <w:t>the </w:t>
      </w:r>
      <w:r>
        <w:rPr>
          <w:color w:val="231F20"/>
          <w:sz w:val="22"/>
        </w:rPr>
        <w:t>sector appear confident about future developments in demand.</w:t>
      </w:r>
    </w:p>
    <w:p>
      <w:pPr>
        <w:pStyle w:val="BodyText"/>
        <w:spacing w:before="5"/>
        <w:rPr>
          <w:sz w:val="20"/>
        </w:rPr>
      </w:pPr>
    </w:p>
    <w:p>
      <w:pPr>
        <w:spacing w:line="247" w:lineRule="auto" w:before="0"/>
        <w:ind w:left="433" w:right="435" w:firstLine="1"/>
        <w:jc w:val="left"/>
        <w:rPr>
          <w:sz w:val="22"/>
        </w:rPr>
      </w:pPr>
      <w:r>
        <w:rPr>
          <w:color w:val="231F20"/>
          <w:sz w:val="22"/>
        </w:rPr>
        <w:t>Factors that are not cyclically sensitive, such as the Private Finance Initiative (PFI) and Millenium projects,</w:t>
      </w:r>
      <w:r>
        <w:rPr>
          <w:color w:val="231F20"/>
          <w:position w:val="4"/>
          <w:sz w:val="12"/>
        </w:rPr>
        <w:t>(3) </w:t>
      </w:r>
      <w:r>
        <w:rPr>
          <w:color w:val="231F20"/>
          <w:sz w:val="22"/>
        </w:rPr>
        <w:t>will also support the sector in the coming years. The future release of local authority capital receipts from the sale of council houses, announced in the July Budget, will also encourage activity in construction.</w:t>
      </w:r>
    </w:p>
    <w:p>
      <w:pPr>
        <w:spacing w:after="0" w:line="247" w:lineRule="auto"/>
        <w:jc w:val="left"/>
        <w:rPr>
          <w:sz w:val="22"/>
        </w:rPr>
        <w:sectPr>
          <w:type w:val="continuous"/>
          <w:pgSz w:w="11900" w:h="16840"/>
          <w:pgMar w:top="1040" w:bottom="280" w:left="640" w:right="660"/>
          <w:cols w:num="2" w:equalWidth="0">
            <w:col w:w="5041" w:space="79"/>
            <w:col w:w="5480"/>
          </w:cols>
        </w:sectPr>
      </w:pPr>
    </w:p>
    <w:p>
      <w:pPr>
        <w:pStyle w:val="BodyText"/>
        <w:spacing w:before="10"/>
        <w:rPr>
          <w:sz w:val="15"/>
        </w:rPr>
      </w:pPr>
      <w:r>
        <w:rPr/>
        <w:pict>
          <v:group style="position:absolute;margin-left:39.880001pt;margin-top:39.389999pt;width:516.7pt;height:742.75pt;mso-position-horizontal-relative:page;mso-position-vertical-relative:page;z-index:-20847616" coordorigin="798,788" coordsize="10334,14855">
            <v:shape style="position:absolute;left:817;top:807;width:10294;height:14815" coordorigin="818,808" coordsize="10294,14815" path="m11111,808l5978,808,5951,808,818,808,818,8186,818,8244,818,15622,5951,15622,5978,15622,11111,15622,11111,808xe" filled="true" fillcolor="#c3e0dc" stroked="false">
              <v:path arrowok="t"/>
              <v:fill type="solid"/>
            </v:shape>
            <v:shape style="position:absolute;left:896;top:930;width:10135;height:14569" coordorigin="897,931" coordsize="10135,14569" path="m5964,931l897,8215,5964,15499,11032,8215,5964,931xe" filled="true" fillcolor="#c4e1dd" stroked="false">
              <v:path arrowok="t"/>
              <v:fill type="solid"/>
            </v:shape>
            <v:shape style="position:absolute;left:996;top:1073;width:9937;height:14283" coordorigin="996,1074" coordsize="9937,14283" path="m5964,1074l996,8215,5964,15357,10933,8215,5964,1074xe" filled="true" fillcolor="#c5e1dd" stroked="false">
              <v:path arrowok="t"/>
              <v:fill type="solid"/>
            </v:shape>
            <v:shape style="position:absolute;left:1095;top:1216;width:9738;height:13998" coordorigin="1096,1217" coordsize="9738,13998" path="m5964,1217l1096,8215,5964,15214,10833,8215,5964,1217xe" filled="true" fillcolor="#c6e2de" stroked="false">
              <v:path arrowok="t"/>
              <v:fill type="solid"/>
            </v:shape>
            <v:shape style="position:absolute;left:1195;top:1359;width:9539;height:13712" coordorigin="1195,1359" coordsize="9539,13712" path="m5964,1359l1195,8215,5964,15071,10734,8215,5964,1359xe" filled="true" fillcolor="#c7e2df" stroked="false">
              <v:path arrowok="t"/>
              <v:fill type="solid"/>
            </v:shape>
            <v:shape style="position:absolute;left:1294;top:1502;width:9341;height:13426" coordorigin="1294,1502" coordsize="9341,13426" path="m5964,1502l1294,8215,5964,14928,10634,8215,5964,1502xe" filled="true" fillcolor="#c8e3df" stroked="false">
              <v:path arrowok="t"/>
              <v:fill type="solid"/>
            </v:shape>
            <v:shape style="position:absolute;left:1393;top:1645;width:9142;height:13141" coordorigin="1394,1645" coordsize="9142,13141" path="m5964,1645l1394,8215,5964,14785,10535,8215,5964,1645xe" filled="true" fillcolor="#c9e3e0" stroked="false">
              <v:path arrowok="t"/>
              <v:fill type="solid"/>
            </v:shape>
            <v:shape style="position:absolute;left:1493;top:1787;width:8943;height:12855" coordorigin="1493,1788" coordsize="8943,12855" path="m5964,1788l1493,8215,5964,14642,10436,8215,5964,1788xe" filled="true" fillcolor="#cae4e0" stroked="false">
              <v:path arrowok="t"/>
              <v:fill type="solid"/>
            </v:shape>
            <v:shape style="position:absolute;left:1592;top:1930;width:8744;height:12569" coordorigin="1592,1931" coordsize="8744,12569" path="m5964,1931l1592,8215,5964,14500,10336,8215,5964,1931xe" filled="true" fillcolor="#cbe4e1" stroked="false">
              <v:path arrowok="t"/>
              <v:fill type="solid"/>
            </v:shape>
            <v:shape style="position:absolute;left:1691;top:2073;width:8546;height:12284" coordorigin="1692,2074" coordsize="8546,12284" path="m5964,2074l1692,8215,5964,14357,10237,8215,5964,2074xe" filled="true" fillcolor="#cce5e1" stroked="false">
              <v:path arrowok="t"/>
              <v:fill type="solid"/>
            </v:shape>
            <v:shape style="position:absolute;left:1791;top:2216;width:8347;height:11998" coordorigin="1791,2216" coordsize="8347,11998" path="m5964,2216l1791,8215,5964,14214,10138,8215,5964,2216xe" filled="true" fillcolor="#cde5e2" stroked="false">
              <v:path arrowok="t"/>
              <v:fill type="solid"/>
            </v:shape>
            <v:shape style="position:absolute;left:1890;top:2359;width:8148;height:11712" coordorigin="1891,2359" coordsize="8148,11712" path="m5964,2359l1891,8215,5964,14071,10038,8215,5964,2359xe" filled="true" fillcolor="#cee6e3" stroked="false">
              <v:path arrowok="t"/>
              <v:fill type="solid"/>
            </v:shape>
            <v:shape style="position:absolute;left:1989;top:2501;width:7949;height:11427" coordorigin="1990,2502" coordsize="7949,11427" path="m5964,2502l1990,8215,5964,13928,9939,8215,5964,2502xe" filled="true" fillcolor="#cfe6e3" stroked="false">
              <v:path arrowok="t"/>
              <v:fill type="solid"/>
            </v:shape>
            <v:shape style="position:absolute;left:2089;top:2644;width:7751;height:11141" coordorigin="2089,2645" coordsize="7751,11141" path="m5964,2645l2089,8215,5964,13785,9840,8215,5964,2645xe" filled="true" fillcolor="#d0e7e4" stroked="false">
              <v:path arrowok="t"/>
              <v:fill type="solid"/>
            </v:shape>
            <v:shape style="position:absolute;left:2188;top:2787;width:7552;height:10855" coordorigin="2189,2788" coordsize="7552,10855" path="m5964,2788l2189,8215,5964,13643,9740,8215,5964,2788xe" filled="true" fillcolor="#d1e7e4" stroked="false">
              <v:path arrowok="t"/>
              <v:fill type="solid"/>
            </v:shape>
            <v:shape style="position:absolute;left:2288;top:2930;width:7353;height:10570" coordorigin="2288,2930" coordsize="7353,10570" path="m5964,2930l2288,8215,5964,13500,9641,8215,5964,2930xe" filled="true" fillcolor="#d3e8e5" stroked="false">
              <v:path arrowok="t"/>
              <v:fill type="solid"/>
            </v:shape>
            <v:shape style="position:absolute;left:2387;top:3073;width:7155;height:10284" coordorigin="2387,3073" coordsize="7155,10284" path="m5964,3073l2387,8215,5964,13357,9541,8215,5964,3073xe" filled="true" fillcolor="#d4e8e5" stroked="false">
              <v:path arrowok="t"/>
              <v:fill type="solid"/>
            </v:shape>
            <v:shape style="position:absolute;left:2486;top:3216;width:6956;height:9998" coordorigin="2487,3216" coordsize="6956,9998" path="m5964,3216l2487,8215,5964,13214,9442,8215,5964,3216xe" filled="true" fillcolor="#d5e9e6" stroked="false">
              <v:path arrowok="t"/>
              <v:fill type="solid"/>
            </v:shape>
            <v:shape style="position:absolute;left:2586;top:3358;width:6757;height:9713" coordorigin="2586,3359" coordsize="6757,9713" path="m5964,3359l2586,8215,5964,13071,9343,8215,5964,3359xe" filled="true" fillcolor="#d6eae7" stroked="false">
              <v:path arrowok="t"/>
              <v:fill type="solid"/>
            </v:shape>
            <v:shape style="position:absolute;left:2685;top:3501;width:6558;height:9427" coordorigin="2685,3502" coordsize="6558,9427" path="m5964,3502l2685,8215,5964,12928,9243,8215,5964,3502xe" filled="true" fillcolor="#d7eae7" stroked="false">
              <v:path arrowok="t"/>
              <v:fill type="solid"/>
            </v:shape>
            <v:shape style="position:absolute;left:2784;top:3644;width:6360;height:9141" coordorigin="2785,3645" coordsize="6360,9141" path="m5964,3645l2785,8215,5964,12786,9144,8215,5964,3645xe" filled="true" fillcolor="#d8ebe8" stroked="false">
              <v:path arrowok="t"/>
              <v:fill type="solid"/>
            </v:shape>
            <v:shape style="position:absolute;left:2884;top:3787;width:6161;height:8856" coordorigin="2884,3787" coordsize="6161,8856" path="m5964,3787l2884,8215,5964,12643,9045,8215,5964,3787xe" filled="true" fillcolor="#d9ebe8" stroked="false">
              <v:path arrowok="t"/>
              <v:fill type="solid"/>
            </v:shape>
            <v:shape style="position:absolute;left:2983;top:3930;width:5962;height:8570" coordorigin="2984,3930" coordsize="5962,8570" path="m5964,3930l2984,8215,5964,12500,8945,8215,5964,3930xe" filled="true" fillcolor="#daece9" stroked="false">
              <v:path arrowok="t"/>
              <v:fill type="solid"/>
            </v:shape>
            <v:shape style="position:absolute;left:3082;top:4073;width:5764;height:8285" coordorigin="3083,4073" coordsize="5764,8285" path="m5964,4073l3083,8215,5964,12357,8846,8215,5964,4073xe" filled="true" fillcolor="#dbece9" stroked="false">
              <v:path arrowok="t"/>
              <v:fill type="solid"/>
            </v:shape>
            <v:shape style="position:absolute;left:3182;top:4215;width:5565;height:7999" coordorigin="3182,4216" coordsize="5565,7999" path="m5964,4216l3182,8215,5964,12214,8747,8215,5964,4216xe" filled="true" fillcolor="#dcedea" stroked="false">
              <v:path arrowok="t"/>
              <v:fill type="solid"/>
            </v:shape>
            <v:shape style="position:absolute;left:3281;top:4358;width:5366;height:7713" coordorigin="3282,4359" coordsize="5366,7713" path="m5964,4359l3282,8215,5964,12071,8647,8215,5964,4359xe" filled="true" fillcolor="#ddedeb" stroked="false">
              <v:path arrowok="t"/>
              <v:fill type="solid"/>
            </v:shape>
            <v:shape style="position:absolute;left:3381;top:4501;width:5167;height:7428" coordorigin="3381,4502" coordsize="5167,7428" path="m5964,4502l3381,8215,5964,11929,8548,8215,5964,4502xe" filled="true" fillcolor="#deeeeb" stroked="false">
              <v:path arrowok="t"/>
              <v:fill type="solid"/>
            </v:shape>
            <v:shape style="position:absolute;left:3480;top:4644;width:4969;height:7142" coordorigin="3480,4644" coordsize="4969,7142" path="m5964,4644l3480,8215,5964,11786,8448,8215,5964,4644xe" filled="true" fillcolor="#e0efec" stroked="false">
              <v:path arrowok="t"/>
              <v:fill type="solid"/>
            </v:shape>
            <v:shape style="position:absolute;left:3579;top:4787;width:4770;height:6856" coordorigin="3580,4787" coordsize="4770,6856" path="m5964,4787l3580,8215,5964,11643,8349,8215,5964,4787xe" filled="true" fillcolor="#e1efec" stroked="false">
              <v:path arrowok="t"/>
              <v:fill type="solid"/>
            </v:shape>
            <v:shape style="position:absolute;left:3679;top:4930;width:4571;height:6571" coordorigin="3679,4930" coordsize="4571,6571" path="m5964,4930l3679,8215,5964,11500,8250,8215,5964,4930xe" filled="true" fillcolor="#e2f0ed" stroked="false">
              <v:path arrowok="t"/>
              <v:fill type="solid"/>
            </v:shape>
            <v:shape style="position:absolute;left:3778;top:5072;width:4372;height:6285" coordorigin="3778,5073" coordsize="4372,6285" path="m5964,5073l3778,8215,5964,11357,8150,8215,5964,5073xe" filled="true" fillcolor="#e3f0ee" stroked="false">
              <v:path arrowok="t"/>
              <v:fill type="solid"/>
            </v:shape>
            <v:shape style="position:absolute;left:3877;top:5215;width:4174;height:5999" coordorigin="3878,5216" coordsize="4174,5999" path="m5964,5216l3878,8215,5964,11214,8051,8215,5964,5216xe" filled="true" fillcolor="#e4f1ee" stroked="false">
              <v:path arrowok="t"/>
              <v:fill type="solid"/>
            </v:shape>
            <v:shape style="position:absolute;left:3977;top:5358;width:3975;height:5714" coordorigin="3977,5359" coordsize="3975,5714" path="m5964,5359l3977,8215,5964,11072,7952,8215,5964,5359xe" filled="true" fillcolor="#e5f1ef" stroked="false">
              <v:path arrowok="t"/>
              <v:fill type="solid"/>
            </v:shape>
            <v:shape style="position:absolute;left:4076;top:5501;width:3776;height:5428" coordorigin="4077,5501" coordsize="3776,5428" path="m5964,5501l4077,8215,5964,10929,7852,8215,5964,5501xe" filled="true" fillcolor="#e6f2ef" stroked="false">
              <v:path arrowok="t"/>
              <v:fill type="solid"/>
            </v:shape>
            <v:shape style="position:absolute;left:4175;top:5644;width:3578;height:5142" coordorigin="4176,5644" coordsize="3578,5142" path="m5964,5644l4176,8215,5964,10786,7753,8215,5964,5644xe" filled="true" fillcolor="#e7f3f0" stroked="false">
              <v:path arrowok="t"/>
              <v:fill type="solid"/>
            </v:shape>
            <v:shape style="position:absolute;left:4275;top:5787;width:3379;height:4857" coordorigin="4275,5787" coordsize="3379,4857" path="m5964,5787l4275,8215,5964,10643,7654,8215,5964,5787xe" filled="true" fillcolor="#e9f3f1" stroked="false">
              <v:path arrowok="t"/>
              <v:fill type="solid"/>
            </v:shape>
            <v:shape style="position:absolute;left:4374;top:5929;width:3180;height:4571" coordorigin="4375,5930" coordsize="3180,4571" path="m5964,5930l4375,8215,5964,10500,7554,8215,5964,5930xe" filled="true" fillcolor="#eaf4f2" stroked="false">
              <v:path arrowok="t"/>
              <v:fill type="solid"/>
            </v:shape>
            <v:shape style="position:absolute;left:4473;top:6072;width:2981;height:4285" coordorigin="4474,6073" coordsize="2981,4285" path="m5964,6073l4474,8215,5964,10358,7455,8215,5964,6073xe" filled="true" fillcolor="#ebf4f2" stroked="false">
              <v:path arrowok="t"/>
              <v:fill type="solid"/>
            </v:shape>
            <v:shape style="position:absolute;left:4573;top:6215;width:2783;height:4000" coordorigin="4573,6216" coordsize="2783,4000" path="m5964,6216l4573,8215,5964,10215,7355,8215,5964,6216xe" filled="true" fillcolor="#ecf5f3" stroked="false">
              <v:path arrowok="t"/>
              <v:fill type="solid"/>
            </v:shape>
            <v:shape style="position:absolute;left:4672;top:6358;width:2584;height:3714" coordorigin="4673,6358" coordsize="2584,3714" path="m5964,6358l4673,8215,5964,10072,7256,8215,5964,6358xe" filled="true" fillcolor="#edf6f4" stroked="false">
              <v:path arrowok="t"/>
              <v:fill type="solid"/>
            </v:shape>
            <v:shape style="position:absolute;left:4772;top:6501;width:2385;height:3428" coordorigin="4772,6501" coordsize="2385,3428" path="m5964,6501l4772,8215,5964,9929,7157,8215,5964,6501xe" filled="true" fillcolor="#eff7f5" stroked="false">
              <v:path arrowok="t"/>
              <v:fill type="solid"/>
            </v:shape>
            <v:shape style="position:absolute;left:4871;top:6644;width:2186;height:3143" coordorigin="4871,6644" coordsize="2186,3143" path="m5964,6644l4871,8215,5964,9786,7057,8215,5964,6644xe" filled="true" fillcolor="#f0f7f5" stroked="false">
              <v:path arrowok="t"/>
              <v:fill type="solid"/>
            </v:shape>
            <v:shape style="position:absolute;left:4970;top:6786;width:1988;height:2857" coordorigin="4971,6787" coordsize="1988,2857" path="m5964,6787l4971,8215,5964,9643,6958,8215,5964,6787xe" filled="true" fillcolor="#f1f8f6" stroked="false">
              <v:path arrowok="t"/>
              <v:fill type="solid"/>
            </v:shape>
            <v:shape style="position:absolute;left:5070;top:6929;width:1789;height:2571" coordorigin="5070,6930" coordsize="1789,2571" path="m5964,6930l5070,8215,5964,9501,6859,8215,5964,6930xe" filled="true" fillcolor="#f2f8f7" stroked="false">
              <v:path arrowok="t"/>
              <v:fill type="solid"/>
            </v:shape>
            <v:shape style="position:absolute;left:5169;top:7072;width:1590;height:2286" coordorigin="5170,7072" coordsize="1590,2286" path="m5964,7072l5170,8215,5964,9358,6759,8215,5964,7072xe" filled="true" fillcolor="#f3f9f8" stroked="false">
              <v:path arrowok="t"/>
              <v:fill type="solid"/>
            </v:shape>
            <v:shape style="position:absolute;left:5268;top:7215;width:1392;height:2000" coordorigin="5269,7215" coordsize="1392,2000" path="m5964,7215l5269,8215,5964,9215,6660,8215,5964,7215xe" filled="true" fillcolor="#f5f9f8" stroked="false">
              <v:path arrowok="t"/>
              <v:fill type="solid"/>
            </v:shape>
            <v:shape style="position:absolute;left:5368;top:7358;width:1193;height:1714" coordorigin="5368,7358" coordsize="1193,1714" path="m5964,7358l5368,8215,5964,9072,6561,8215,5964,7358xe" filled="true" fillcolor="#f6faf9" stroked="false">
              <v:path arrowok="t"/>
              <v:fill type="solid"/>
            </v:shape>
            <v:shape style="position:absolute;left:5467;top:7500;width:994;height:1429" coordorigin="5468,7501" coordsize="994,1429" path="m5964,7501l5468,8215,5964,8929,6461,8215,5964,7501xe" filled="true" fillcolor="#f8fbfa" stroked="false">
              <v:path arrowok="t"/>
              <v:fill type="solid"/>
            </v:shape>
            <v:shape style="position:absolute;left:5566;top:7643;width:795;height:1143" coordorigin="5567,7644" coordsize="795,1143" path="m5964,7644l5567,8215,5964,8786,6362,8215,5964,7644xe" filled="true" fillcolor="#f9fcfc" stroked="false">
              <v:path arrowok="t"/>
              <v:fill type="solid"/>
            </v:shape>
            <v:shape style="position:absolute;left:5666;top:7786;width:597;height:857" coordorigin="5666,7787" coordsize="597,857" path="m5964,7787l5666,8215,5964,8644,6262,8215,5964,7787xe" filled="true" fillcolor="#fbfdfd" stroked="false">
              <v:path arrowok="t"/>
              <v:fill type="solid"/>
            </v:shape>
            <v:shape style="position:absolute;left:5765;top:7929;width:398;height:572" coordorigin="5766,7929" coordsize="398,572" path="m5964,7929l5766,8215,5964,8501,6163,8215,5964,7929xe" filled="true" fillcolor="#fdfefe" stroked="false">
              <v:path arrowok="t"/>
              <v:fill type="solid"/>
            </v:shape>
            <v:shape style="position:absolute;left:5865;top:8072;width:199;height:286" coordorigin="5865,8072" coordsize="199,286" path="m5964,8072l5865,8215,5964,8358,6064,8215,5964,8072xe" filled="true" fillcolor="#ffffff" stroked="false">
              <v:path arrowok="t"/>
              <v:fill type="solid"/>
            </v:shape>
            <v:rect style="position:absolute;left:807;top:797;width:10314;height:14835" filled="false" stroked="true" strokeweight="1pt" strokecolor="#009483">
              <v:stroke dashstyle="solid"/>
            </v:rect>
            <v:shape style="position:absolute;left:1054;top:5140;width:4680;height:4040" coordorigin="1054,5140" coordsize="4680,4040" path="m5734,5140l1054,5140,1054,5720,1054,9180,5714,9180,5714,5720,5734,5720,5734,5140xe" filled="true" fillcolor="#ffffff" stroked="false">
              <v:path arrowok="t"/>
              <v:fill type="solid"/>
            </v:shape>
            <v:shape style="position:absolute;left:1064;top:5890;width:4260;height:3000" coordorigin="1064,5890" coordsize="4260,3000" path="m1324,7610l5084,7610m1184,8030l1064,8030m1184,8470l1064,8470m1184,8890l1064,8890m1184,7610l1064,7610m1184,7170l1064,7170m1184,6750l1064,6750m1184,6310l1064,6310m1184,5890l1064,5890m1324,8890l5084,8890m1324,8890l1324,8850m1544,8890l1544,8850m1764,8890l1764,8850m1984,8890l1984,8850m2204,8890l2204,8850m2424,8890l2424,8850m2644,8890l2644,8850m2864,8890l2864,8850m3064,8890l3064,8850m3284,8890l3284,8850m3504,8890l3504,8850m3724,8890l3724,8850m3944,8890l3944,8850m4164,8890l4164,8850m4384,8890l4384,8850m4604,8890l4604,8850m4824,8890l4824,8850m5044,8890l5044,8850m1324,8890l1324,8810m2424,8890l2424,8810m3504,8890l3504,8810m4604,8890l4604,8810m5324,8030l5204,8030m5324,8470l5204,8470m5324,8890l5204,8890m5324,7610l5204,7610m5324,7170l5204,7170m5324,6750l5204,6750m5324,6310l5204,6310m5324,5890l5204,5890e" filled="false" stroked="true" strokeweight=".5pt" strokecolor="#000000">
              <v:path arrowok="t"/>
              <v:stroke dashstyle="solid"/>
            </v:shape>
            <v:shape style="position:absolute;left:1324;top:6230;width:3780;height:2520" coordorigin="1324,6230" coordsize="3780,2520" path="m1324,7270l1384,8050,1444,8190,1504,8750,1544,8430,1604,8430,1664,8230,1704,7950,1764,7430,1824,6990,1884,6930,1924,6330,1984,6910,2044,7170,2084,7030,2144,7110,2204,7170,2264,6950,2304,7230,2364,7430m2364,7430l2424,7410,2464,7590,2524,7790,2584,7510,2644,7990,2684,7270,2744,6870,2804,6850,2864,6230,2904,6850,2964,6670,3024,6630,3084,6630,3124,6670,3184,7030,3244,7110,3304,7090,3344,7010,3404,7110m3404,7110l3464,7210,3504,7170,3624,7450,3684,7670,3724,8190,3784,8370,3844,8310,3884,8310,3944,8070,4004,8010,4064,7930,4104,7890,4224,7730,4284,7690,4324,7470,4384,7330,4444,7230m4444,7230l4504,7250,4544,7310,4604,7510,4664,7670,4704,7710,4764,7750,4824,7630,4884,7550,4924,7450,4984,7370,5044,7370,5104,7290e" filled="false" stroked="true" strokeweight="1pt" strokecolor="#ed1b2d">
              <v:path arrowok="t"/>
              <v:stroke dashstyle="solid"/>
            </v:shape>
            <v:shape style="position:absolute;left:1324;top:7110;width:3780;height:900" coordorigin="1324,7110" coordsize="3780,900" path="m1324,7410l1384,7850,1444,7850,1504,8010,1544,7930,1604,7790,1664,7610,1704,7450,1764,7450,1824,7410,1884,7490,1924,7470,1984,7290,2044,7350,2084,7270,2144,7230,2204,7310,2304,7510,2364,7490m2364,7490l2424,7430,2464,7170,2524,7190,2584,7230,2644,7310,2684,7330,2744,7230,2804,7170,2864,7210,2904,7230,2964,7170,3024,7210,3084,7110,3124,7190,3244,7230,3304,7330,3344,7350,3404,7470m3404,7470l3464,7490,3564,7490,3624,7590,3684,7670,3724,7770,3784,7850,3884,7750,3944,7730,4004,7690,4064,7610,4104,7570,4164,7450,4284,7410,4324,7370,4444,7210m4444,7210l4504,7170,4544,7170,4604,7270,4664,7350,4704,7430,4824,7430,4884,7390,4924,7390,4984,7370,5044,7330,5104,7310e" filled="false" stroked="true" strokeweight="1pt" strokecolor="#df6f1d">
              <v:path arrowok="t"/>
              <v:stroke dashstyle="solid"/>
            </v:shape>
            <v:shape style="position:absolute;left:6164;top:1990;width:4720;height:4150" coordorigin="6164,1990" coordsize="4720,4150" path="m10884,1990l6164,1990,6164,2530,6164,2540,6164,6140,10884,6140,10884,2540,10884,2530,10884,1990xe" filled="true" fillcolor="#ffffff" stroked="false">
              <v:path arrowok="t"/>
              <v:fill type="solid"/>
            </v:shape>
            <v:shape style="position:absolute;left:6354;top:2720;width:4280;height:3100" coordorigin="6354,2720" coordsize="4280,3100" path="m6474,5740l6354,5740m6474,5400l6354,5400m6474,5060l6354,5060m6474,4740l6354,4740m6474,4400l6354,4400m6474,4060l6354,4060m6474,3720l6354,3720m6474,3400l6354,3400m6474,3060l6354,3060m6474,2720l6354,2720m10514,5060l10634,5060m10514,5400l10634,5400m10514,5740l10634,5740m10514,4740l10634,4740m10514,4400l10634,4400m10514,4060l10634,4060m10514,3720l10634,3720m10514,3400l10634,3400m10514,3060l10634,3060m10514,2720l10634,2720m6934,5820l6934,5780m7254,5820l7254,5780m7594,5820l7594,5780m7914,5820l7914,5780m8254,5820l8254,5780m8574,5820l8574,5780m8894,5820l8894,5780m9214,5820l9214,5780m9554,5820l9554,5780m9874,5820l9874,5780m10194,5820l10194,5780m7914,5820l7914,5740m9554,5820l9554,5740m6594,5820l10374,5820m6934,5820l6934,5780m7254,5820l7254,5780m7594,5820l7594,5780m7914,5820l7914,5780m8254,5820l8254,5780m8574,5820l8574,5780m8894,5820l8894,5780m9214,5820l9214,5780m9554,5820l9554,5780m9874,5820l9874,5780m10194,5820l10194,5780m7914,5820l7914,5740m9554,5820l9554,5740e" filled="false" stroked="true" strokeweight=".5pt" strokecolor="#000000">
              <v:path arrowok="t"/>
              <v:stroke dashstyle="solid"/>
            </v:shape>
            <v:shape style="position:absolute;left:6614;top:2820;width:3760;height:2920" coordorigin="6614,2820" coordsize="3760,2920" path="m6614,4160l6694,3800,6774,3660,6854,3920,6934,3360,7014,3200,7094,2960,7174,3100,7254,3060,7334,2860,7434,3100,7514,2820,7594,2920,7674,3220,7754,3700,7834,4020,7914,4820,7994,4700,8074,5260,8174,5240m8174,5240l8254,5560,8314,5640,8414,5700,8494,5740,8574,5500,8654,5560,8734,5660,8814,5640,8894,5260,8974,5520,9054,5400,9154,5340,9234,4820,9314,3660,9394,3220,9474,4600,9554,4160,9634,4740,9714,4620m9714,4620l9794,5200,9894,5060,9974,5240,10054,4620,10134,4320,10214,3620,10294,3160,10374,3120e" filled="false" stroked="true" strokeweight="1pt" strokecolor="#f89f6d">
              <v:path arrowok="t"/>
              <v:stroke dashstyle="solid"/>
            </v:shape>
            <v:shape style="position:absolute;left:6614;top:3300;width:3760;height:2300" coordorigin="6614,3300" coordsize="3760,2300" path="m6614,4500l6694,4360,6774,4160,6854,4360,6934,4160,7014,3920,7174,3480,7254,3420,7334,3480,7434,3300,7514,3460,7594,3360,7674,3480,7754,3660,7834,4300,7914,4420,7994,4800,8074,4960,8174,5020m8174,5020l8254,5340,8314,5300,8414,5500,8494,5600,8574,5560,8654,5400,8734,5520,8814,5520,8894,5560,8974,5560,9054,5500,9154,5500,9234,5160,9314,4520,9394,4800,9474,4900,9554,5260,9634,4960,9714,4820m9714,4820l9794,4900,9894,5020,9974,4760,10054,4220,10134,4560,10214,4620,10294,4360,10374,4160e" filled="false" stroked="true" strokeweight="1pt" strokecolor="#f7a08b">
              <v:path arrowok="t"/>
              <v:stroke dashstyle="solid"/>
            </v:shape>
            <v:shape style="position:absolute;left:6614;top:3660;width:3680;height:1660" coordorigin="6614,3660" coordsize="3680,1660" path="m6614,5020l6694,4460,6774,4160,6854,4140,6934,3660,7014,4140,7094,4000,7174,3960,7254,3960,7334,4000,7434,4280,7514,4340,7594,4320,7674,4260,7834,4420,7914,4400,8074,4600,8174,4760m8174,4760l8254,5200,8314,5320,8414,5280,8494,5260,8574,5100,8734,4980,8814,4960,8894,4900,8974,4820,9054,4780,9154,4620,9234,4520,9314,4440,9394,4440,9474,4500,9554,4660,9634,4780,9714,4800m9714,4800l9794,4840,9894,4740,9974,4700,10034,4600,10134,4540,10214,4560,10294,4500e" filled="false" stroked="true" strokeweight="1pt" strokecolor="#ed1b2d">
              <v:path arrowok="t"/>
              <v:stroke dashstyle="solid"/>
            </v:shape>
            <v:shape style="position:absolute;left:6974;top:4326;width:274;height:460" coordorigin="6974,4327" coordsize="274,460" path="m6974,4327l7248,4787e" filled="true" fillcolor="#000000" stroked="false">
              <v:path arrowok="t"/>
              <v:fill type="solid"/>
            </v:shape>
            <v:line style="position:absolute" from="7248,4787" to="6974,4327" stroked="true" strokeweight=".5pt" strokecolor="#000000">
              <v:stroke dashstyle="solid"/>
            </v:line>
            <v:shape style="position:absolute;left:6938;top:4269;width:67;height:86" coordorigin="6938,4269" coordsize="67,86" path="m7005,4327l6952,4284,6938,4269,6942,4277,6962,4354,7005,4327xe" filled="true" fillcolor="#000000" stroked="false">
              <v:path arrowok="t"/>
              <v:fill type="solid"/>
            </v:shape>
            <v:line style="position:absolute" from="8768,3360" to="9221,3713" stroked="true" strokeweight=".5pt" strokecolor="#000000">
              <v:stroke dashstyle="solid"/>
            </v:line>
            <v:shape style="position:absolute;left:9192;top:3682;width:84;height:71" coordorigin="9193,3683" coordsize="84,71" path="m9222,3683l9193,3724,9209,3728,9221,3731,9276,3753,9270,3747,9262,3739,9254,3730,9246,3719,9239,3709,9222,3683xe" filled="true" fillcolor="#000000" stroked="false">
              <v:path arrowok="t"/>
              <v:fill type="solid"/>
            </v:shape>
            <v:shape style="position:absolute;left:8842;top:4348;width:280;height:280" type="#_x0000_t75" stroked="false">
              <v:imagedata r:id="rId54" o:title=""/>
            </v:shape>
            <v:shape style="position:absolute;left:1025;top:5120;width:9850;height:9600" coordorigin="1025,5120" coordsize="9850,9600" path="m1075,14720l10875,14720m1025,5120l5705,5120m1025,9180l5725,9180e" filled="false" stroked="true" strokeweight=".125pt" strokecolor="#231f20">
              <v:path arrowok="t"/>
              <v:stroke dashstyle="solid"/>
            </v:shape>
            <w10:wrap type="none"/>
          </v:group>
        </w:pict>
      </w:r>
    </w:p>
    <w:p>
      <w:pPr>
        <w:pStyle w:val="ListParagraph"/>
        <w:numPr>
          <w:ilvl w:val="0"/>
          <w:numId w:val="16"/>
        </w:numPr>
        <w:tabs>
          <w:tab w:pos="675" w:val="left" w:leader="none"/>
        </w:tabs>
        <w:spacing w:line="129" w:lineRule="exact" w:before="95" w:after="0"/>
        <w:ind w:left="674" w:right="0" w:hanging="241"/>
        <w:jc w:val="left"/>
        <w:rPr>
          <w:sz w:val="12"/>
        </w:rPr>
      </w:pPr>
      <w:r>
        <w:rPr>
          <w:color w:val="231F20"/>
          <w:sz w:val="12"/>
        </w:rPr>
        <w:t>Source: Richard Ellis (property consultants).</w:t>
      </w:r>
    </w:p>
    <w:p>
      <w:pPr>
        <w:pStyle w:val="ListParagraph"/>
        <w:numPr>
          <w:ilvl w:val="0"/>
          <w:numId w:val="16"/>
        </w:numPr>
        <w:tabs>
          <w:tab w:pos="675" w:val="left" w:leader="none"/>
        </w:tabs>
        <w:spacing w:line="120" w:lineRule="exact" w:before="0" w:after="0"/>
        <w:ind w:left="674" w:right="0" w:hanging="241"/>
        <w:jc w:val="left"/>
        <w:rPr>
          <w:sz w:val="12"/>
        </w:rPr>
      </w:pPr>
      <w:r>
        <w:rPr>
          <w:color w:val="231F20"/>
          <w:sz w:val="12"/>
        </w:rPr>
        <w:t>See </w:t>
      </w:r>
      <w:r>
        <w:rPr>
          <w:i/>
          <w:color w:val="231F20"/>
          <w:sz w:val="12"/>
        </w:rPr>
        <w:t>Construction Trends Survey</w:t>
      </w:r>
      <w:r>
        <w:rPr>
          <w:color w:val="231F20"/>
          <w:sz w:val="12"/>
        </w:rPr>
        <w:t>, Construction Confederation, October</w:t>
      </w:r>
      <w:r>
        <w:rPr>
          <w:color w:val="231F20"/>
          <w:spacing w:val="-1"/>
          <w:sz w:val="12"/>
        </w:rPr>
        <w:t> </w:t>
      </w:r>
      <w:r>
        <w:rPr>
          <w:color w:val="231F20"/>
          <w:sz w:val="12"/>
        </w:rPr>
        <w:t>1997.</w:t>
      </w:r>
    </w:p>
    <w:p>
      <w:pPr>
        <w:pStyle w:val="ListParagraph"/>
        <w:numPr>
          <w:ilvl w:val="0"/>
          <w:numId w:val="16"/>
        </w:numPr>
        <w:tabs>
          <w:tab w:pos="675" w:val="left" w:leader="none"/>
        </w:tabs>
        <w:spacing w:line="129" w:lineRule="exact" w:before="0" w:after="0"/>
        <w:ind w:left="674" w:right="0" w:hanging="241"/>
        <w:jc w:val="left"/>
        <w:rPr>
          <w:sz w:val="12"/>
        </w:rPr>
      </w:pPr>
      <w:r>
        <w:rPr>
          <w:color w:val="231F20"/>
          <w:sz w:val="12"/>
        </w:rPr>
        <w:t>These include the Greenwich Dome and Lottery-financed projects such as the Cardiff Millennium Stadium.</w:t>
      </w:r>
    </w:p>
    <w:p>
      <w:pPr>
        <w:spacing w:after="0" w:line="129" w:lineRule="exact"/>
        <w:jc w:val="left"/>
        <w:rPr>
          <w:sz w:val="12"/>
        </w:rPr>
        <w:sectPr>
          <w:type w:val="continuous"/>
          <w:pgSz w:w="11900" w:h="16840"/>
          <w:pgMar w:top="1040" w:bottom="280" w:left="640" w:right="660"/>
        </w:sectPr>
      </w:pPr>
    </w:p>
    <w:p>
      <w:pPr>
        <w:pStyle w:val="BodyText"/>
        <w:rPr>
          <w:sz w:val="20"/>
        </w:rPr>
      </w:pPr>
    </w:p>
    <w:p>
      <w:pPr>
        <w:spacing w:after="0"/>
        <w:rPr>
          <w:sz w:val="20"/>
        </w:rPr>
        <w:sectPr>
          <w:pgSz w:w="11900" w:h="16840"/>
          <w:pgMar w:header="586" w:footer="597" w:top="780" w:bottom="780" w:left="640" w:right="660"/>
        </w:sectPr>
      </w:pPr>
    </w:p>
    <w:p>
      <w:pPr>
        <w:pStyle w:val="BodyText"/>
        <w:spacing w:before="6"/>
        <w:rPr>
          <w:sz w:val="20"/>
        </w:rPr>
      </w:pPr>
    </w:p>
    <w:p>
      <w:pPr>
        <w:pStyle w:val="Heading9"/>
        <w:spacing w:before="0"/>
        <w:ind w:left="168"/>
      </w:pPr>
      <w:bookmarkStart w:name="Stockbuilding" w:id="49"/>
      <w:bookmarkEnd w:id="49"/>
      <w:r>
        <w:rPr>
          <w:b w:val="0"/>
        </w:rPr>
      </w:r>
      <w:bookmarkStart w:name="_bookmark23" w:id="50"/>
      <w:bookmarkEnd w:id="50"/>
      <w:r>
        <w:rPr>
          <w:b w:val="0"/>
        </w:rPr>
      </w:r>
      <w:r>
        <w:rPr>
          <w:color w:val="0093C1"/>
        </w:rPr>
        <w:t>Chart 3.6</w:t>
      </w:r>
    </w:p>
    <w:p>
      <w:pPr>
        <w:spacing w:line="249" w:lineRule="auto" w:before="10"/>
        <w:ind w:left="168" w:right="20" w:firstLine="0"/>
        <w:jc w:val="left"/>
        <w:rPr>
          <w:sz w:val="12"/>
        </w:rPr>
      </w:pPr>
      <w:r>
        <w:rPr>
          <w:b/>
          <w:color w:val="0093C1"/>
          <w:sz w:val="20"/>
        </w:rPr>
        <w:t>Value of mergers and acquisitions activity in the corporate sector</w:t>
      </w:r>
      <w:r>
        <w:rPr>
          <w:color w:val="231F20"/>
          <w:position w:val="4"/>
          <w:sz w:val="12"/>
        </w:rPr>
        <w:t>(a)</w:t>
      </w:r>
    </w:p>
    <w:p>
      <w:pPr>
        <w:spacing w:line="66" w:lineRule="exact" w:before="37"/>
        <w:ind w:left="348" w:right="0" w:firstLine="0"/>
        <w:jc w:val="left"/>
        <w:rPr>
          <w:sz w:val="12"/>
        </w:rPr>
      </w:pPr>
      <w:r>
        <w:rPr/>
        <w:pict>
          <v:group style="position:absolute;margin-left:39.669998pt;margin-top:2.133563pt;width:6.5pt;height:16.6pt;mso-position-horizontal-relative:page;mso-position-vertical-relative:paragraph;z-index:15896064" coordorigin="793,43" coordsize="130,332">
            <v:line style="position:absolute" from="878,369" to="798,369" stroked="true" strokeweight=".5pt" strokecolor="#000000">
              <v:stroke dashstyle="solid"/>
            </v:line>
            <v:shape style="position:absolute;left:793;top:42;width:130;height:253" type="#_x0000_t75" stroked="false">
              <v:imagedata r:id="rId55" o:title=""/>
            </v:shape>
            <w10:wrap type="none"/>
          </v:group>
        </w:pict>
      </w:r>
      <w:r>
        <w:rPr>
          <w:sz w:val="12"/>
        </w:rPr>
        <w:t>Total expenditure (b)</w:t>
      </w:r>
    </w:p>
    <w:p>
      <w:pPr>
        <w:spacing w:line="242" w:lineRule="auto" w:before="207"/>
        <w:ind w:left="168" w:right="0" w:firstLine="0"/>
        <w:jc w:val="left"/>
        <w:rPr>
          <w:sz w:val="24"/>
        </w:rPr>
      </w:pPr>
      <w:r>
        <w:rPr/>
        <w:br w:type="column"/>
      </w:r>
      <w:r>
        <w:rPr>
          <w:color w:val="231F20"/>
          <w:sz w:val="24"/>
        </w:rPr>
        <w:t>a lower burden of taxation on the corporate sector than in the 1980s, the ready availability of internal and external finance, and the fall in the relative price of investment</w:t>
      </w:r>
    </w:p>
    <w:p>
      <w:pPr>
        <w:spacing w:after="0" w:line="242" w:lineRule="auto"/>
        <w:jc w:val="left"/>
        <w:rPr>
          <w:sz w:val="24"/>
        </w:rPr>
        <w:sectPr>
          <w:type w:val="continuous"/>
          <w:pgSz w:w="11900" w:h="16840"/>
          <w:pgMar w:top="1040" w:bottom="280" w:left="640" w:right="660"/>
          <w:cols w:num="2" w:equalWidth="0">
            <w:col w:w="3792" w:space="1003"/>
            <w:col w:w="5805"/>
          </w:cols>
        </w:sectPr>
      </w:pPr>
    </w:p>
    <w:p>
      <w:pPr>
        <w:spacing w:before="54"/>
        <w:ind w:left="348" w:right="0" w:firstLine="0"/>
        <w:jc w:val="left"/>
        <w:rPr>
          <w:sz w:val="12"/>
        </w:rPr>
      </w:pPr>
      <w:r>
        <w:rPr>
          <w:sz w:val="12"/>
        </w:rPr>
        <w:t>Cash-financed</w:t>
      </w:r>
    </w:p>
    <w:p>
      <w:pPr>
        <w:pStyle w:val="BodyText"/>
        <w:rPr>
          <w:sz w:val="20"/>
        </w:rPr>
      </w:pPr>
    </w:p>
    <w:p>
      <w:pPr>
        <w:pStyle w:val="BodyText"/>
        <w:spacing w:before="10"/>
        <w:rPr>
          <w:sz w:val="20"/>
        </w:rPr>
      </w:pPr>
      <w:r>
        <w:rPr/>
        <w:pict>
          <v:shape style="position:absolute;margin-left:39.919998pt;margin-top:14.205852pt;width:4pt;height:.1pt;mso-position-horizontal-relative:page;mso-position-vertical-relative:paragraph;z-index:-15565312;mso-wrap-distance-left:0;mso-wrap-distance-right:0" coordorigin="798,284" coordsize="80,0" path="m878,284l798,284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39.919998pt;margin-top:8.800977pt;width:4pt;height:.1pt;mso-position-horizontal-relative:page;mso-position-vertical-relative:paragraph;z-index:-15564800;mso-wrap-distance-left:0;mso-wrap-distance-right:0" coordorigin="798,176" coordsize="80,0" path="m878,176l798,176e" filled="false" stroked="true" strokeweight=".5pt" strokecolor="#000000">
            <v:path arrowok="t"/>
            <v:stroke dashstyle="solid"/>
            <w10:wrap type="topAndBottom"/>
          </v:shape>
        </w:pict>
      </w:r>
      <w:r>
        <w:rPr/>
        <w:pict>
          <v:shape style="position:absolute;margin-left:39.919998pt;margin-top:29.800976pt;width:4pt;height:.1pt;mso-position-horizontal-relative:page;mso-position-vertical-relative:paragraph;z-index:-15564288;mso-wrap-distance-left:0;mso-wrap-distance-right:0" coordorigin="798,596" coordsize="80,0" path="m878,596l798,596e" filled="false" stroked="true" strokeweight=".5pt" strokecolor="#000000">
            <v:path arrowok="t"/>
            <v:stroke dashstyle="solid"/>
            <w10:wrap type="topAndBottom"/>
          </v:shape>
        </w:pict>
      </w:r>
      <w:r>
        <w:rPr/>
        <w:pict>
          <v:shape style="position:absolute;margin-left:39.919998pt;margin-top:50.800976pt;width:4pt;height:.1pt;mso-position-horizontal-relative:page;mso-position-vertical-relative:paragraph;z-index:-15563776;mso-wrap-distance-left:0;mso-wrap-distance-right:0" coordorigin="798,1016" coordsize="80,0" path="m878,1016l798,1016e" filled="false" stroked="true" strokeweight=".5pt" strokecolor="#000000">
            <v:path arrowok="t"/>
            <v:stroke dashstyle="solid"/>
            <w10:wrap type="topAndBottom"/>
          </v:shape>
        </w:pict>
      </w:r>
    </w:p>
    <w:p>
      <w:pPr>
        <w:pStyle w:val="BodyText"/>
        <w:spacing w:before="8"/>
        <w:rPr>
          <w:sz w:val="29"/>
        </w:rPr>
      </w:pPr>
    </w:p>
    <w:p>
      <w:pPr>
        <w:pStyle w:val="BodyText"/>
        <w:spacing w:before="8"/>
        <w:rPr>
          <w:sz w:val="29"/>
        </w:rPr>
      </w:pPr>
    </w:p>
    <w:p>
      <w:pPr>
        <w:pStyle w:val="BodyText"/>
        <w:rPr>
          <w:sz w:val="20"/>
        </w:rPr>
      </w:pPr>
    </w:p>
    <w:p>
      <w:pPr>
        <w:pStyle w:val="BodyText"/>
        <w:spacing w:before="5"/>
        <w:rPr>
          <w:sz w:val="11"/>
        </w:rPr>
      </w:pPr>
      <w:r>
        <w:rPr/>
        <w:pict>
          <v:shape style="position:absolute;margin-left:39.919998pt;margin-top:8.800977pt;width:4pt;height:.1pt;mso-position-horizontal-relative:page;mso-position-vertical-relative:paragraph;z-index:-15563264;mso-wrap-distance-left:0;mso-wrap-distance-right:0" coordorigin="798,176" coordsize="80,0" path="m878,176l798,176e" filled="false" stroked="true" strokeweight=".5pt" strokecolor="#000000">
            <v:path arrowok="t"/>
            <v:stroke dashstyle="solid"/>
            <w10:wrap type="topAndBottom"/>
          </v:shape>
        </w:pict>
      </w:r>
      <w:r>
        <w:rPr/>
        <w:pict>
          <v:shape style="position:absolute;margin-left:39.919998pt;margin-top:29.800976pt;width:4pt;height:.1pt;mso-position-horizontal-relative:page;mso-position-vertical-relative:paragraph;z-index:-15562752;mso-wrap-distance-left:0;mso-wrap-distance-right:0" coordorigin="798,596" coordsize="80,0" path="m878,596l798,596e" filled="false" stroked="true" strokeweight=".5pt" strokecolor="#000000">
            <v:path arrowok="t"/>
            <v:stroke dashstyle="solid"/>
            <w10:wrap type="topAndBottom"/>
          </v:shape>
        </w:pict>
      </w:r>
    </w:p>
    <w:p>
      <w:pPr>
        <w:pStyle w:val="BodyText"/>
        <w:spacing w:before="8"/>
        <w:rPr>
          <w:sz w:val="29"/>
        </w:rPr>
      </w:pPr>
    </w:p>
    <w:p>
      <w:pPr>
        <w:pStyle w:val="BodyText"/>
        <w:rPr>
          <w:sz w:val="20"/>
        </w:rPr>
      </w:pPr>
    </w:p>
    <w:p>
      <w:pPr>
        <w:pStyle w:val="BodyText"/>
        <w:spacing w:before="5"/>
        <w:rPr>
          <w:sz w:val="11"/>
        </w:rPr>
      </w:pPr>
      <w:r>
        <w:rPr/>
        <w:pict>
          <v:shape style="position:absolute;margin-left:39.919998pt;margin-top:8.800977pt;width:4pt;height:.1pt;mso-position-horizontal-relative:page;mso-position-vertical-relative:paragraph;z-index:-15562240;mso-wrap-distance-left:0;mso-wrap-distance-right:0" coordorigin="798,176" coordsize="80,0" path="m878,176l798,176e" filled="false" stroked="true" strokeweight=".5pt" strokecolor="#000000">
            <v:path arrowok="t"/>
            <v:stroke dashstyle="solid"/>
            <w10:wrap type="topAndBottom"/>
          </v:shape>
        </w:pict>
      </w:r>
    </w:p>
    <w:p>
      <w:pPr>
        <w:spacing w:line="134" w:lineRule="exact" w:before="54"/>
        <w:ind w:left="348" w:right="0" w:firstLine="0"/>
        <w:jc w:val="left"/>
        <w:rPr>
          <w:sz w:val="12"/>
        </w:rPr>
      </w:pPr>
      <w:r>
        <w:rPr/>
        <w:br w:type="column"/>
      </w:r>
      <w:r>
        <w:rPr>
          <w:sz w:val="12"/>
        </w:rPr>
        <w:t>£ billions</w:t>
      </w:r>
    </w:p>
    <w:p>
      <w:pPr>
        <w:spacing w:line="134" w:lineRule="exact" w:before="0"/>
        <w:ind w:left="863" w:right="0" w:firstLine="0"/>
        <w:jc w:val="left"/>
        <w:rPr>
          <w:sz w:val="12"/>
        </w:rPr>
      </w:pPr>
      <w:r>
        <w:rPr/>
        <w:pict>
          <v:line style="position:absolute;mso-position-horizontal-relative:page;mso-position-vertical-relative:paragraph;z-index:15900672" from="209.919998pt,3.901855pt" to="204.919998pt,3.901855pt" stroked="true" strokeweight=".5pt" strokecolor="#000000">
            <v:stroke dashstyle="solid"/>
            <w10:wrap type="none"/>
          </v:line>
        </w:pict>
      </w:r>
      <w:r>
        <w:rPr>
          <w:sz w:val="12"/>
        </w:rPr>
        <w:t>35</w:t>
      </w:r>
    </w:p>
    <w:p>
      <w:pPr>
        <w:pStyle w:val="BodyText"/>
        <w:rPr>
          <w:sz w:val="12"/>
        </w:rPr>
      </w:pPr>
    </w:p>
    <w:p>
      <w:pPr>
        <w:pStyle w:val="BodyText"/>
        <w:spacing w:before="6"/>
        <w:rPr>
          <w:sz w:val="12"/>
        </w:rPr>
      </w:pPr>
    </w:p>
    <w:p>
      <w:pPr>
        <w:spacing w:before="0"/>
        <w:ind w:left="0" w:right="38" w:firstLine="0"/>
        <w:jc w:val="right"/>
        <w:rPr>
          <w:sz w:val="12"/>
        </w:rPr>
      </w:pPr>
      <w:r>
        <w:rPr/>
        <w:pict>
          <v:group style="position:absolute;margin-left:49.919998pt;margin-top:-6.148438pt;width:150pt;height:145.25pt;mso-position-horizontal-relative:page;mso-position-vertical-relative:paragraph;z-index:15896576" coordorigin="998,-123" coordsize="3000,2905">
            <v:shape style="position:absolute;left:998;top:2679;width:3000;height:5" coordorigin="998,2680" coordsize="3000,5" path="m998,2680l3998,2680m998,2685l3998,2685e" filled="false" stroked="true" strokeweight=".25pt" strokecolor="#000000">
              <v:path arrowok="t"/>
              <v:stroke dashstyle="solid"/>
            </v:shape>
            <v:rect style="position:absolute;left:1018;top:2582;width:60;height:100" filled="true" fillcolor="#008256" stroked="false">
              <v:fill type="solid"/>
            </v:rect>
            <v:rect style="position:absolute;left:1018;top:2582;width:60;height:100" filled="false" stroked="true" strokeweight=".5pt" strokecolor="#000000">
              <v:stroke dashstyle="solid"/>
            </v:rect>
            <v:rect style="position:absolute;left:1218;top:2482;width:60;height:200" filled="true" fillcolor="#008256" stroked="false">
              <v:fill type="solid"/>
            </v:rect>
            <v:rect style="position:absolute;left:1218;top:2482;width:60;height:200" filled="false" stroked="true" strokeweight=".5pt" strokecolor="#000000">
              <v:stroke dashstyle="solid"/>
            </v:rect>
            <v:rect style="position:absolute;left:1398;top:2482;width:60;height:200" filled="true" fillcolor="#008256" stroked="false">
              <v:fill type="solid"/>
            </v:rect>
            <v:rect style="position:absolute;left:1398;top:2482;width:60;height:200" filled="false" stroked="true" strokeweight=".5pt" strokecolor="#000000">
              <v:stroke dashstyle="solid"/>
            </v:rect>
            <v:rect style="position:absolute;left:1578;top:2202;width:60;height:480" filled="true" fillcolor="#008256" stroked="false">
              <v:fill type="solid"/>
            </v:rect>
            <v:rect style="position:absolute;left:1578;top:2202;width:60;height:480" filled="false" stroked="true" strokeweight=".5pt" strokecolor="#000000">
              <v:stroke dashstyle="solid"/>
            </v:rect>
            <v:rect style="position:absolute;left:1778;top:2062;width:60;height:620" filled="true" fillcolor="#008256" stroked="false">
              <v:fill type="solid"/>
            </v:rect>
            <v:rect style="position:absolute;left:1778;top:2062;width:60;height:620" filled="false" stroked="true" strokeweight=".5pt" strokecolor="#000000">
              <v:stroke dashstyle="solid"/>
            </v:rect>
            <v:rect style="position:absolute;left:1958;top:1362;width:60;height:1320" filled="true" fillcolor="#008256" stroked="false">
              <v:fill type="solid"/>
            </v:rect>
            <v:rect style="position:absolute;left:1958;top:1362;width:60;height:1320" filled="false" stroked="true" strokeweight=".5pt" strokecolor="#000000">
              <v:stroke dashstyle="solid"/>
            </v:rect>
            <v:rect style="position:absolute;left:2158;top:1262;width:60;height:1420" filled="true" fillcolor="#008256" stroked="false">
              <v:fill type="solid"/>
            </v:rect>
            <v:rect style="position:absolute;left:2158;top:1262;width:60;height:1420" filled="false" stroked="true" strokeweight=".5pt" strokecolor="#000000">
              <v:stroke dashstyle="solid"/>
            </v:rect>
            <v:rect style="position:absolute;left:2338;top:722;width:60;height:1960" filled="true" fillcolor="#008256" stroked="false">
              <v:fill type="solid"/>
            </v:rect>
            <v:rect style="position:absolute;left:2338;top:722;width:60;height:1960" filled="false" stroked="true" strokeweight=".5pt" strokecolor="#000000">
              <v:stroke dashstyle="solid"/>
            </v:rect>
            <v:rect style="position:absolute;left:2518;top:342;width:80;height:2340" filled="true" fillcolor="#008256" stroked="false">
              <v:fill type="solid"/>
            </v:rect>
            <v:rect style="position:absolute;left:2518;top:342;width:80;height:2340" filled="false" stroked="true" strokeweight=".5pt" strokecolor="#000000">
              <v:stroke dashstyle="solid"/>
            </v:rect>
            <v:rect style="position:absolute;left:2718;top:1962;width:60;height:720" filled="true" fillcolor="#008256" stroked="false">
              <v:fill type="solid"/>
            </v:rect>
            <v:rect style="position:absolute;left:2718;top:1962;width:60;height:720" filled="false" stroked="true" strokeweight=".5pt" strokecolor="#000000">
              <v:stroke dashstyle="solid"/>
            </v:rect>
            <v:rect style="position:absolute;left:2898;top:1782;width:60;height:900" filled="true" fillcolor="#008256" stroked="false">
              <v:fill type="solid"/>
            </v:rect>
            <v:rect style="position:absolute;left:2898;top:1782;width:60;height:900" filled="false" stroked="true" strokeweight=".5pt" strokecolor="#000000">
              <v:stroke dashstyle="solid"/>
            </v:rect>
            <v:rect style="position:absolute;left:3098;top:2162;width:60;height:520" filled="true" fillcolor="#008256" stroked="false">
              <v:fill type="solid"/>
            </v:rect>
            <v:rect style="position:absolute;left:3098;top:2162;width:60;height:520" filled="false" stroked="true" strokeweight=".5pt" strokecolor="#000000">
              <v:stroke dashstyle="solid"/>
            </v:rect>
            <v:rect style="position:absolute;left:3278;top:2062;width:60;height:620" filled="true" fillcolor="#008256" stroked="false">
              <v:fill type="solid"/>
            </v:rect>
            <v:rect style="position:absolute;left:3278;top:2062;width:60;height:620" filled="false" stroked="true" strokeweight=".5pt" strokecolor="#000000">
              <v:stroke dashstyle="solid"/>
            </v:rect>
            <v:rect style="position:absolute;left:3458;top:1962;width:80;height:720" filled="true" fillcolor="#008256" stroked="false">
              <v:fill type="solid"/>
            </v:rect>
            <v:rect style="position:absolute;left:3458;top:1962;width:80;height:720" filled="false" stroked="true" strokeweight=".5pt" strokecolor="#000000">
              <v:stroke dashstyle="solid"/>
            </v:rect>
            <v:rect style="position:absolute;left:3658;top:-118;width:60;height:2800" filled="true" fillcolor="#008256" stroked="false">
              <v:fill type="solid"/>
            </v:rect>
            <v:rect style="position:absolute;left:3658;top:-118;width:60;height:2800" filled="false" stroked="true" strokeweight=".5pt" strokecolor="#000000">
              <v:stroke dashstyle="solid"/>
            </v:rect>
            <v:rect style="position:absolute;left:3831;top:62;width:74;height:2620" filled="true" fillcolor="#008256" stroked="false">
              <v:fill type="solid"/>
            </v:rect>
            <v:rect style="position:absolute;left:3831;top:62;width:74;height:2620" filled="false" stroked="true" strokeweight=".5pt" strokecolor="#000000">
              <v:stroke dashstyle="solid"/>
            </v:rect>
            <v:rect style="position:absolute;left:1078;top:2602;width:74;height:80" filled="true" fillcolor="#e1eecd" stroked="false">
              <v:fill type="solid"/>
            </v:rect>
            <v:rect style="position:absolute;left:1078;top:2602;width:74;height:80" filled="false" stroked="true" strokeweight=".5pt" strokecolor="#000000">
              <v:stroke dashstyle="solid"/>
            </v:rect>
            <v:rect style="position:absolute;left:1278;top:2562;width:60;height:120" filled="true" fillcolor="#e1eecd" stroked="false">
              <v:fill type="solid"/>
            </v:rect>
            <v:rect style="position:absolute;left:1278;top:2562;width:60;height:120" filled="false" stroked="true" strokeweight=".5pt" strokecolor="#000000">
              <v:stroke dashstyle="solid"/>
            </v:rect>
            <v:rect style="position:absolute;left:1458;top:2582;width:60;height:100" filled="true" fillcolor="#e1eecd" stroked="false">
              <v:fill type="solid"/>
            </v:rect>
            <v:rect style="position:absolute;left:1458;top:2582;width:60;height:100" filled="false" stroked="true" strokeweight=".5pt" strokecolor="#000000">
              <v:stroke dashstyle="solid"/>
            </v:rect>
            <v:rect style="position:absolute;left:1638;top:2422;width:80;height:260" filled="true" fillcolor="#e1eecd" stroked="false">
              <v:fill type="solid"/>
            </v:rect>
            <v:rect style="position:absolute;left:1638;top:2422;width:80;height:260" filled="false" stroked="true" strokeweight=".5pt" strokecolor="#000000">
              <v:stroke dashstyle="solid"/>
            </v:rect>
            <v:rect style="position:absolute;left:1838;top:2442;width:60;height:240" filled="true" fillcolor="#e1eecd" stroked="false">
              <v:fill type="solid"/>
            </v:rect>
            <v:rect style="position:absolute;left:1838;top:2442;width:60;height:240" filled="false" stroked="true" strokeweight=".5pt" strokecolor="#000000">
              <v:stroke dashstyle="solid"/>
            </v:rect>
            <v:rect style="position:absolute;left:2018;top:2322;width:60;height:360" filled="true" fillcolor="#e1eecd" stroked="false">
              <v:fill type="solid"/>
            </v:rect>
            <v:rect style="position:absolute;left:2018;top:2322;width:60;height:360" filled="false" stroked="true" strokeweight=".5pt" strokecolor="#000000">
              <v:stroke dashstyle="solid"/>
            </v:rect>
            <v:rect style="position:absolute;left:2218;top:2182;width:60;height:500" filled="true" fillcolor="#e1eecd" stroked="false">
              <v:fill type="solid"/>
            </v:rect>
            <v:rect style="position:absolute;left:2218;top:2182;width:60;height:500" filled="false" stroked="true" strokeweight=".5pt" strokecolor="#000000">
              <v:stroke dashstyle="solid"/>
            </v:rect>
            <v:rect style="position:absolute;left:2398;top:1302;width:60;height:1380" filled="true" fillcolor="#e1eecd" stroked="false">
              <v:fill type="solid"/>
            </v:rect>
            <v:rect style="position:absolute;left:2398;top:1302;width:60;height:1380" filled="false" stroked="true" strokeweight=".5pt" strokecolor="#000000">
              <v:stroke dashstyle="solid"/>
            </v:rect>
            <v:rect style="position:absolute;left:2598;top:762;width:80;height:1920" filled="true" fillcolor="#e1eecd" stroked="false">
              <v:fill type="solid"/>
            </v:rect>
            <v:rect style="position:absolute;left:2598;top:762;width:80;height:1920" filled="false" stroked="true" strokeweight=".5pt" strokecolor="#000000">
              <v:stroke dashstyle="solid"/>
            </v:rect>
            <v:rect style="position:absolute;left:2778;top:2122;width:60;height:560" filled="true" fillcolor="#e1eecd" stroked="false">
              <v:fill type="solid"/>
            </v:rect>
            <v:rect style="position:absolute;left:2778;top:2122;width:60;height:560" filled="false" stroked="true" strokeweight=".5pt" strokecolor="#000000">
              <v:stroke dashstyle="solid"/>
            </v:rect>
            <v:rect style="position:absolute;left:2958;top:2062;width:80;height:620" filled="true" fillcolor="#e1eecd" stroked="false">
              <v:fill type="solid"/>
            </v:rect>
            <v:rect style="position:absolute;left:2958;top:2062;width:80;height:620" filled="false" stroked="true" strokeweight=".5pt" strokecolor="#000000">
              <v:stroke dashstyle="solid"/>
            </v:rect>
            <v:rect style="position:absolute;left:3158;top:2362;width:60;height:320" filled="true" fillcolor="#e1eecd" stroked="false">
              <v:fill type="solid"/>
            </v:rect>
            <v:rect style="position:absolute;left:3158;top:2362;width:60;height:320" filled="false" stroked="true" strokeweight=".5pt" strokecolor="#000000">
              <v:stroke dashstyle="solid"/>
            </v:rect>
            <v:rect style="position:absolute;left:3338;top:2202;width:60;height:480" filled="true" fillcolor="#e1eecd" stroked="false">
              <v:fill type="solid"/>
            </v:rect>
            <v:rect style="position:absolute;left:3338;top:2202;width:60;height:480" filled="false" stroked="true" strokeweight=".5pt" strokecolor="#000000">
              <v:stroke dashstyle="solid"/>
            </v:rect>
            <v:rect style="position:absolute;left:3538;top:2222;width:60;height:460" filled="true" fillcolor="#e1eecd" stroked="false">
              <v:fill type="solid"/>
            </v:rect>
            <v:rect style="position:absolute;left:3538;top:2222;width:60;height:460" filled="false" stroked="true" strokeweight=".5pt" strokecolor="#000000">
              <v:stroke dashstyle="solid"/>
            </v:rect>
            <v:rect style="position:absolute;left:3718;top:482;width:60;height:2200" filled="true" fillcolor="#e1eecd" stroked="false">
              <v:fill type="solid"/>
            </v:rect>
            <v:rect style="position:absolute;left:3718;top:482;width:60;height:2200" filled="false" stroked="true" strokeweight=".5pt" strokecolor="#000000">
              <v:stroke dashstyle="solid"/>
            </v:rect>
            <v:rect style="position:absolute;left:3898;top:1022;width:80;height:1660" filled="true" fillcolor="#e1eecd" stroked="false">
              <v:fill type="solid"/>
            </v:rect>
            <v:rect style="position:absolute;left:3898;top:1022;width:80;height:1660" filled="false" stroked="true" strokeweight=".5pt" strokecolor="#000000">
              <v:stroke dashstyle="solid"/>
            </v:rect>
            <v:shape style="position:absolute;left:1078;top:2682;width:2820;height:100" coordorigin="1078,2682" coordsize="2820,100" path="m1078,2682l1078,2722m1278,2682l1278,2722m1458,2682l1458,2722m1658,2682l1658,2722m1838,2682l1838,2722m2018,2682l2018,2722m2218,2682l2218,2722m2398,2682l2398,2722m2598,2682l2598,2722m2778,2682l2778,2722m2958,2682l2958,2722m3158,2682l3158,2722m3338,2682l3338,2722m3538,2682l3538,2722m3718,2682l3718,2722m3898,2682l3898,2722m1838,2682l1838,2782m2778,2682l2778,2782m3718,2682l3718,2782e" filled="false" stroked="true" strokeweight=".5pt" strokecolor="#000000">
              <v:path arrowok="t"/>
              <v:stroke dashstyle="solid"/>
            </v:shape>
            <w10:wrap type="none"/>
          </v:group>
        </w:pict>
      </w:r>
      <w:r>
        <w:rPr/>
        <w:pict>
          <v:line style="position:absolute;mso-position-horizontal-relative:page;mso-position-vertical-relative:paragraph;z-index:15900160" from="209.919998pt,5.101563pt" to="204.919998pt,5.101563pt" stroked="true" strokeweight=".5pt" strokecolor="#000000">
            <v:stroke dashstyle="solid"/>
            <w10:wrap type="none"/>
          </v:line>
        </w:pict>
      </w:r>
      <w:r>
        <w:rPr>
          <w:sz w:val="12"/>
        </w:rPr>
        <w:t>30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99648" from="209.919998pt,5.101563pt" to="204.919998pt,5.101563pt" stroked="true" strokeweight=".5pt" strokecolor="#000000">
            <v:stroke dashstyle="solid"/>
            <w10:wrap type="none"/>
          </v:line>
        </w:pict>
      </w:r>
      <w:r>
        <w:rPr>
          <w:sz w:val="12"/>
        </w:rPr>
        <w:t>25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99136" from="209.919998pt,5.101563pt" to="204.919998pt,5.101563pt" stroked="true" strokeweight=".5pt" strokecolor="#000000">
            <v:stroke dashstyle="solid"/>
            <w10:wrap type="none"/>
          </v:line>
        </w:pict>
      </w:r>
      <w:r>
        <w:rPr>
          <w:sz w:val="12"/>
        </w:rPr>
        <w:t>20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98624" from="209.919998pt,4.101563pt" to="204.919998pt,4.101563pt" stroked="true" strokeweight=".5pt" strokecolor="#000000">
            <v:stroke dashstyle="solid"/>
            <w10:wrap type="none"/>
          </v:line>
        </w:pict>
      </w:r>
      <w:r>
        <w:rPr>
          <w:sz w:val="12"/>
        </w:rPr>
        <w:t>15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98112" from="209.919998pt,5.101563pt" to="204.919998pt,5.101563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97600" from="209.919998pt,4.101563pt" to="204.919998pt,4.101563pt" stroked="true" strokeweight=".5pt" strokecolor="#000000">
            <v:stroke dashstyle="solid"/>
            <w10:wrap type="none"/>
          </v:line>
        </w:pict>
      </w:r>
      <w:r>
        <w:rPr>
          <w:sz w:val="12"/>
        </w:rPr>
        <w:t>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97088" from="209.919998pt,5.101563pt" to="204.919998pt,5.101563pt" stroked="true" strokeweight=".5pt" strokecolor="#000000">
            <v:stroke dashstyle="solid"/>
            <w10:wrap type="none"/>
          </v:line>
        </w:pict>
      </w:r>
      <w:r>
        <w:rPr>
          <w:sz w:val="12"/>
        </w:rPr>
        <w:t>0</w:t>
      </w:r>
    </w:p>
    <w:p>
      <w:pPr>
        <w:pStyle w:val="Heading5"/>
        <w:spacing w:line="242" w:lineRule="auto"/>
        <w:ind w:left="348" w:right="185"/>
      </w:pPr>
      <w:r>
        <w:rPr/>
        <w:br w:type="column"/>
      </w:r>
      <w:r>
        <w:rPr>
          <w:color w:val="231F20"/>
        </w:rPr>
        <w:t>goods since 1990. The lower relative price of capital, which largely reflects falling machinery and electrical equipment prices, should have acted as an incentive to invest and accumulate capital. Recent survey evidence from both the British Chambers of Commerce (BCC) and the CBI is consistent with this. They report that the balance of manufacturers planning investment in plant and machinery remains positive, despite moderating in October. And the BCC Survey observes that the balance of service sector firms investing in plant and machinery has risen to its highest level since the survey began.</w:t>
      </w:r>
    </w:p>
    <w:p>
      <w:pPr>
        <w:spacing w:after="0" w:line="242" w:lineRule="auto"/>
        <w:sectPr>
          <w:type w:val="continuous"/>
          <w:pgSz w:w="11900" w:h="16840"/>
          <w:pgMar w:top="1040" w:bottom="280" w:left="640" w:right="660"/>
          <w:cols w:num="3" w:equalWidth="0">
            <w:col w:w="1082" w:space="1683"/>
            <w:col w:w="1024" w:space="825"/>
            <w:col w:w="5986"/>
          </w:cols>
        </w:sectPr>
      </w:pPr>
    </w:p>
    <w:p>
      <w:pPr>
        <w:tabs>
          <w:tab w:pos="1148" w:val="left" w:leader="none"/>
          <w:tab w:pos="2068" w:val="left" w:leader="none"/>
          <w:tab w:pos="3008" w:val="left" w:leader="none"/>
        </w:tabs>
        <w:spacing w:before="62"/>
        <w:ind w:left="328" w:right="0" w:firstLine="0"/>
        <w:jc w:val="left"/>
        <w:rPr>
          <w:sz w:val="12"/>
        </w:rPr>
      </w:pPr>
      <w:r>
        <w:rPr>
          <w:sz w:val="12"/>
        </w:rPr>
        <w:t>1981</w:t>
        <w:tab/>
        <w:t>85</w:t>
        <w:tab/>
        <w:t>90</w:t>
        <w:tab/>
        <w:t>95</w:t>
      </w:r>
    </w:p>
    <w:p>
      <w:pPr>
        <w:pStyle w:val="ListParagraph"/>
        <w:numPr>
          <w:ilvl w:val="0"/>
          <w:numId w:val="17"/>
        </w:numPr>
        <w:tabs>
          <w:tab w:pos="409" w:val="left" w:leader="none"/>
        </w:tabs>
        <w:spacing w:line="129" w:lineRule="exact" w:before="106" w:after="0"/>
        <w:ind w:left="408" w:right="0" w:hanging="241"/>
        <w:jc w:val="left"/>
        <w:rPr>
          <w:sz w:val="12"/>
        </w:rPr>
      </w:pPr>
      <w:r>
        <w:rPr>
          <w:color w:val="231F20"/>
          <w:sz w:val="12"/>
        </w:rPr>
        <w:t>1995 includes financial institutions.</w:t>
      </w:r>
    </w:p>
    <w:p>
      <w:pPr>
        <w:pStyle w:val="ListParagraph"/>
        <w:numPr>
          <w:ilvl w:val="0"/>
          <w:numId w:val="17"/>
        </w:numPr>
        <w:tabs>
          <w:tab w:pos="409" w:val="left" w:leader="none"/>
        </w:tabs>
        <w:spacing w:line="129" w:lineRule="exact" w:before="0" w:after="0"/>
        <w:ind w:left="408" w:right="0" w:hanging="241"/>
        <w:jc w:val="left"/>
        <w:rPr>
          <w:sz w:val="12"/>
        </w:rPr>
      </w:pPr>
      <w:r>
        <w:rPr>
          <w:color w:val="231F20"/>
          <w:sz w:val="12"/>
        </w:rPr>
        <w:t>Includes deferred payments.</w:t>
      </w:r>
    </w:p>
    <w:p>
      <w:pPr>
        <w:pStyle w:val="Heading5"/>
        <w:spacing w:line="242" w:lineRule="auto" w:before="69"/>
        <w:ind w:left="169" w:right="180"/>
      </w:pPr>
      <w:r>
        <w:rPr/>
        <w:br w:type="column"/>
      </w:r>
      <w:r>
        <w:rPr>
          <w:color w:val="231F20"/>
        </w:rPr>
        <w:t>An alternative approach to analysing investment behaviour is to examine whether returns from the marginal investment exceed its cost. A proxy for this measure is the valuation ratio, the market valuation of a firm’s productive assets relative to the replacement cost of its tangible assets. This ratio suggests that the incentives to invest have increased in recent quarters.</w:t>
      </w:r>
    </w:p>
    <w:p>
      <w:pPr>
        <w:spacing w:line="242" w:lineRule="auto" w:before="9"/>
        <w:ind w:left="168" w:right="180" w:firstLine="0"/>
        <w:jc w:val="left"/>
        <w:rPr>
          <w:sz w:val="16"/>
        </w:rPr>
      </w:pPr>
      <w:r>
        <w:rPr>
          <w:color w:val="231F20"/>
          <w:sz w:val="24"/>
        </w:rPr>
        <w:t>But factors such as the degree of market power and the growing importance of human capital in firms’ production decisions means that the measure might exaggerate the extent to which firms </w:t>
      </w:r>
      <w:r>
        <w:rPr>
          <w:color w:val="231F20"/>
          <w:spacing w:val="-3"/>
          <w:sz w:val="24"/>
        </w:rPr>
        <w:t>have </w:t>
      </w:r>
      <w:r>
        <w:rPr>
          <w:color w:val="231F20"/>
          <w:sz w:val="24"/>
        </w:rPr>
        <w:t>an incentive</w:t>
      </w:r>
      <w:r>
        <w:rPr>
          <w:color w:val="231F20"/>
          <w:spacing w:val="-19"/>
          <w:sz w:val="24"/>
        </w:rPr>
        <w:t> </w:t>
      </w:r>
      <w:r>
        <w:rPr>
          <w:color w:val="231F20"/>
          <w:spacing w:val="-6"/>
          <w:sz w:val="24"/>
        </w:rPr>
        <w:t>to </w:t>
      </w:r>
      <w:r>
        <w:rPr>
          <w:color w:val="231F20"/>
          <w:spacing w:val="-3"/>
          <w:sz w:val="24"/>
        </w:rPr>
        <w:t>invest </w:t>
      </w:r>
      <w:r>
        <w:rPr>
          <w:color w:val="231F20"/>
          <w:sz w:val="24"/>
        </w:rPr>
        <w:t>in physical capital. If a rising proportion of the market value of a firm is accounted for by intangible assets such as specialised skills, patents and brand </w:t>
      </w:r>
      <w:r>
        <w:rPr>
          <w:color w:val="231F20"/>
          <w:spacing w:val="-3"/>
          <w:sz w:val="24"/>
        </w:rPr>
        <w:t>loyalty, </w:t>
      </w:r>
      <w:r>
        <w:rPr>
          <w:color w:val="231F20"/>
          <w:sz w:val="24"/>
        </w:rPr>
        <w:t>the valuation ratio will be an increasingly biased estimate of the incentive to </w:t>
      </w:r>
      <w:r>
        <w:rPr>
          <w:color w:val="231F20"/>
          <w:spacing w:val="-3"/>
          <w:sz w:val="24"/>
        </w:rPr>
        <w:t>invest </w:t>
      </w:r>
      <w:r>
        <w:rPr>
          <w:color w:val="231F20"/>
          <w:sz w:val="24"/>
        </w:rPr>
        <w:t>in tangible assets. </w:t>
      </w:r>
      <w:r>
        <w:rPr>
          <w:color w:val="231F20"/>
          <w:spacing w:val="-2"/>
          <w:sz w:val="24"/>
        </w:rPr>
        <w:t>For </w:t>
      </w:r>
      <w:r>
        <w:rPr>
          <w:color w:val="231F20"/>
          <w:sz w:val="24"/>
        </w:rPr>
        <w:t>example, valuation ratios for companies such as Microsoft and Zeneca far exceed typical economy-wide measures of the valuation ratio. Estimates based on company accounts suggest that in the United States, the approximate value of the ratio for Microsoft was in excess of 15 at the end of 1996, compared with an aggregate US ratio of 1.5. Likewise, in the United Kingdom, the valuation ratio for Zeneca at the end of 1996 was approximately 6, compared with an aggregate ratio of 1.3.</w:t>
      </w:r>
      <w:r>
        <w:rPr>
          <w:color w:val="231F20"/>
          <w:position w:val="6"/>
          <w:sz w:val="16"/>
        </w:rPr>
        <w:t>(1)</w:t>
      </w:r>
    </w:p>
    <w:p>
      <w:pPr>
        <w:pStyle w:val="BodyText"/>
        <w:spacing w:before="3"/>
        <w:rPr>
          <w:sz w:val="33"/>
        </w:rPr>
      </w:pPr>
    </w:p>
    <w:p>
      <w:pPr>
        <w:pStyle w:val="Heading6"/>
        <w:ind w:left="170"/>
        <w:rPr>
          <w:i/>
        </w:rPr>
      </w:pPr>
      <w:r>
        <w:rPr>
          <w:i/>
          <w:color w:val="009483"/>
        </w:rPr>
        <w:t>Stockbuilding</w:t>
      </w:r>
    </w:p>
    <w:p>
      <w:pPr>
        <w:spacing w:line="242" w:lineRule="auto" w:before="204"/>
        <w:ind w:left="170" w:right="180" w:firstLine="0"/>
        <w:jc w:val="left"/>
        <w:rPr>
          <w:sz w:val="24"/>
        </w:rPr>
      </w:pPr>
      <w:r>
        <w:rPr>
          <w:color w:val="231F20"/>
          <w:sz w:val="24"/>
        </w:rPr>
        <w:t>Stocks, excluding the alignment adjustment, reduced GDP growth by 0.3 percentage points in 1997 Q2, compared with a quarterly average positive contribution</w:t>
      </w:r>
    </w:p>
    <w:p>
      <w:pPr>
        <w:spacing w:after="0" w:line="242" w:lineRule="auto"/>
        <w:jc w:val="left"/>
        <w:rPr>
          <w:sz w:val="24"/>
        </w:rPr>
        <w:sectPr>
          <w:type w:val="continuous"/>
          <w:pgSz w:w="11900" w:h="16840"/>
          <w:pgMar w:top="1040" w:bottom="280" w:left="640" w:right="660"/>
          <w:cols w:num="2" w:equalWidth="0">
            <w:col w:w="3169" w:space="1624"/>
            <w:col w:w="5807"/>
          </w:cols>
        </w:sectPr>
      </w:pPr>
    </w:p>
    <w:p>
      <w:pPr>
        <w:pStyle w:val="BodyText"/>
        <w:spacing w:before="3"/>
        <w:rPr>
          <w:sz w:val="17"/>
        </w:rPr>
      </w:pPr>
    </w:p>
    <w:p>
      <w:pPr>
        <w:pStyle w:val="BodyText"/>
        <w:spacing w:line="20" w:lineRule="exact"/>
        <w:ind w:left="4940"/>
        <w:rPr>
          <w:sz w:val="2"/>
        </w:rPr>
      </w:pPr>
      <w:r>
        <w:rPr>
          <w:sz w:val="2"/>
        </w:rPr>
        <w:pict>
          <v:group style="width:275pt;height:.15pt;mso-position-horizontal-relative:char;mso-position-vertical-relative:line" coordorigin="0,0" coordsize="5500,3">
            <v:line style="position:absolute" from="0,1" to="5500,1" stroked="true" strokeweight=".125pt" strokecolor="#231f20">
              <v:stroke dashstyle="solid"/>
            </v:line>
          </v:group>
        </w:pict>
      </w:r>
      <w:r>
        <w:rPr>
          <w:sz w:val="2"/>
        </w:rPr>
      </w:r>
    </w:p>
    <w:p>
      <w:pPr>
        <w:pStyle w:val="ListParagraph"/>
        <w:numPr>
          <w:ilvl w:val="1"/>
          <w:numId w:val="17"/>
        </w:numPr>
        <w:tabs>
          <w:tab w:pos="5204" w:val="left" w:leader="none"/>
        </w:tabs>
        <w:spacing w:line="208" w:lineRule="auto" w:before="24" w:after="0"/>
        <w:ind w:left="5203" w:right="622" w:hanging="240"/>
        <w:jc w:val="left"/>
        <w:rPr>
          <w:sz w:val="16"/>
        </w:rPr>
      </w:pPr>
      <w:r>
        <w:rPr>
          <w:color w:val="231F20"/>
          <w:sz w:val="16"/>
        </w:rPr>
        <w:t>See also Poterba, J and Samwick, A (1995), ‘Stock Ownership Patterns, Stock Market Fluctuations and Consumption’, </w:t>
      </w:r>
      <w:r>
        <w:rPr>
          <w:i/>
          <w:color w:val="231F20"/>
          <w:sz w:val="16"/>
        </w:rPr>
        <w:t>Brookings Papers on </w:t>
      </w:r>
      <w:r>
        <w:rPr>
          <w:i/>
          <w:color w:val="231F20"/>
          <w:sz w:val="16"/>
        </w:rPr>
        <w:t>Economic Activity</w:t>
      </w:r>
      <w:r>
        <w:rPr>
          <w:color w:val="231F20"/>
          <w:sz w:val="16"/>
        </w:rPr>
        <w:t>, Vol 2, pages 295–371, who cite estimates of the ratio for a number of American high-technology stocks in the 1980s. Valuation ratios for Compaq, Intel and Coca Cola were in excess of 2.5, compared with an economy-wide estimate of 0.57 at the end of 1987.</w:t>
      </w:r>
    </w:p>
    <w:p>
      <w:pPr>
        <w:spacing w:after="0" w:line="208" w:lineRule="auto"/>
        <w:jc w:val="left"/>
        <w:rPr>
          <w:sz w:val="16"/>
        </w:rPr>
        <w:sectPr>
          <w:type w:val="continuous"/>
          <w:pgSz w:w="11900" w:h="16840"/>
          <w:pgMar w:top="1040" w:bottom="280" w:left="640" w:right="660"/>
        </w:sectPr>
      </w:pPr>
    </w:p>
    <w:p>
      <w:pPr>
        <w:pStyle w:val="BodyText"/>
        <w:rPr>
          <w:sz w:val="20"/>
        </w:rPr>
      </w:pPr>
    </w:p>
    <w:p>
      <w:pPr>
        <w:pStyle w:val="Heading5"/>
        <w:spacing w:line="242" w:lineRule="auto" w:before="227"/>
        <w:ind w:left="4973" w:right="151"/>
      </w:pPr>
      <w:bookmarkStart w:name="Public sector demand" w:id="51"/>
      <w:bookmarkEnd w:id="51"/>
      <w:r>
        <w:rPr/>
      </w:r>
      <w:bookmarkStart w:name="Net external demand" w:id="52"/>
      <w:bookmarkEnd w:id="52"/>
      <w:r>
        <w:rPr/>
      </w:r>
      <w:bookmarkStart w:name="_bookmark24" w:id="53"/>
      <w:bookmarkEnd w:id="53"/>
      <w:r>
        <w:rPr/>
      </w:r>
      <w:r>
        <w:rPr>
          <w:color w:val="231F20"/>
        </w:rPr>
        <w:t>of 0.1 percentage points since the beginning of the </w:t>
      </w:r>
      <w:r>
        <w:rPr>
          <w:color w:val="231F20"/>
          <w:spacing w:val="-3"/>
        </w:rPr>
        <w:t>recovery. </w:t>
      </w:r>
      <w:r>
        <w:rPr>
          <w:color w:val="231F20"/>
        </w:rPr>
        <w:t>In 1990 prices, stocks (excluding the alignment adjustment) rose by £900 million in 1997 Q2, compared with a rise of £440 million in 1996 Q2. As noted in the August </w:t>
      </w:r>
      <w:r>
        <w:rPr>
          <w:i/>
          <w:color w:val="231F20"/>
        </w:rPr>
        <w:t>Report</w:t>
      </w:r>
      <w:r>
        <w:rPr>
          <w:color w:val="231F20"/>
        </w:rPr>
        <w:t>, retail stocks may </w:t>
      </w:r>
      <w:r>
        <w:rPr>
          <w:color w:val="231F20"/>
          <w:spacing w:val="-3"/>
        </w:rPr>
        <w:t>have </w:t>
      </w:r>
      <w:r>
        <w:rPr>
          <w:color w:val="231F20"/>
        </w:rPr>
        <w:t>been built up involuntarily since the start of the </w:t>
      </w:r>
      <w:r>
        <w:rPr>
          <w:color w:val="231F20"/>
          <w:spacing w:val="-3"/>
        </w:rPr>
        <w:t>year. </w:t>
      </w:r>
      <w:r>
        <w:rPr>
          <w:color w:val="231F20"/>
        </w:rPr>
        <w:t>The fall in retail sales in September following the death of </w:t>
      </w:r>
      <w:r>
        <w:rPr>
          <w:color w:val="231F20"/>
          <w:spacing w:val="-3"/>
        </w:rPr>
        <w:t>Diana, </w:t>
      </w:r>
      <w:r>
        <w:rPr>
          <w:color w:val="231F20"/>
        </w:rPr>
        <w:t>Princess of </w:t>
      </w:r>
      <w:r>
        <w:rPr>
          <w:color w:val="231F20"/>
          <w:spacing w:val="-4"/>
        </w:rPr>
        <w:t>Wales </w:t>
      </w:r>
      <w:r>
        <w:rPr>
          <w:color w:val="231F20"/>
        </w:rPr>
        <w:t>may </w:t>
      </w:r>
      <w:r>
        <w:rPr>
          <w:color w:val="231F20"/>
          <w:spacing w:val="-3"/>
        </w:rPr>
        <w:t>have </w:t>
      </w:r>
      <w:r>
        <w:rPr>
          <w:color w:val="231F20"/>
        </w:rPr>
        <w:t>led to a further, unintended, increase in retail stocks. But this is likely to be temporary and retail stock positions should</w:t>
      </w:r>
      <w:r>
        <w:rPr>
          <w:color w:val="231F20"/>
          <w:spacing w:val="-1"/>
        </w:rPr>
        <w:t> </w:t>
      </w:r>
      <w:r>
        <w:rPr>
          <w:color w:val="231F20"/>
        </w:rPr>
        <w:t>unwind.</w:t>
      </w:r>
    </w:p>
    <w:p>
      <w:pPr>
        <w:pStyle w:val="BodyText"/>
        <w:spacing w:before="6"/>
        <w:rPr>
          <w:sz w:val="25"/>
        </w:rPr>
      </w:pPr>
    </w:p>
    <w:p>
      <w:pPr>
        <w:pStyle w:val="Heading6"/>
        <w:ind w:left="4974"/>
        <w:rPr>
          <w:i/>
        </w:rPr>
      </w:pPr>
      <w:r>
        <w:rPr>
          <w:i/>
          <w:color w:val="009483"/>
        </w:rPr>
        <w:t>Public sector demand</w:t>
      </w:r>
    </w:p>
    <w:p>
      <w:pPr>
        <w:spacing w:line="242" w:lineRule="auto" w:before="204"/>
        <w:ind w:left="4974" w:right="120" w:firstLine="0"/>
        <w:jc w:val="left"/>
        <w:rPr>
          <w:sz w:val="24"/>
        </w:rPr>
      </w:pPr>
      <w:r>
        <w:rPr>
          <w:color w:val="231F20"/>
          <w:sz w:val="24"/>
        </w:rPr>
        <w:t>The Public Sector Borrowing Requirement (PSBR) for the first six months of 1997/98 was £8.6 billion, compared with £15.7 billion in 1996/97. Since the Budget in July, aggregate borrowing has been lower than average City expectations. The timing of receipts has been affected by announcements in the July Budget. Tax receipts were boosted by levies on tobacco and ACT;</w:t>
      </w:r>
    </w:p>
    <w:p>
      <w:pPr>
        <w:spacing w:line="242" w:lineRule="auto" w:before="9"/>
        <w:ind w:left="4973" w:right="162" w:firstLine="0"/>
        <w:jc w:val="left"/>
        <w:rPr>
          <w:sz w:val="24"/>
        </w:rPr>
      </w:pPr>
      <w:r>
        <w:rPr>
          <w:color w:val="231F20"/>
          <w:sz w:val="24"/>
        </w:rPr>
        <w:t>tax receipts from ACT probably reflect special dividend payments made in anticipation of Budget measures. Net departmental outlays have also been weak. So far this year, outlays have fallen by 1.0% from a year earlier, compared with Budget projections of a rise of 1.8% in the year as a whole. These falls in outlays are likely to reflect special factors such as the sale of MoD married quarters and timing effects, which should unwind.</w:t>
      </w:r>
    </w:p>
    <w:p>
      <w:pPr>
        <w:spacing w:line="242" w:lineRule="auto" w:before="11"/>
        <w:ind w:left="4974" w:right="162" w:hanging="1"/>
        <w:jc w:val="left"/>
        <w:rPr>
          <w:sz w:val="24"/>
        </w:rPr>
      </w:pPr>
      <w:r>
        <w:rPr>
          <w:color w:val="231F20"/>
          <w:sz w:val="24"/>
        </w:rPr>
        <w:t>Nevertheless, the overall stance of fiscal policy remains tight, which will help to restrain the future pressure of private sector domestic demand.</w:t>
      </w:r>
    </w:p>
    <w:p>
      <w:pPr>
        <w:pStyle w:val="BodyText"/>
        <w:rPr>
          <w:sz w:val="20"/>
        </w:rPr>
      </w:pPr>
    </w:p>
    <w:p>
      <w:pPr>
        <w:spacing w:after="0"/>
        <w:rPr>
          <w:sz w:val="20"/>
        </w:rPr>
        <w:sectPr>
          <w:headerReference w:type="default" r:id="rId56"/>
          <w:headerReference w:type="even" r:id="rId57"/>
          <w:footerReference w:type="default" r:id="rId58"/>
          <w:footerReference w:type="even" r:id="rId59"/>
          <w:pgSz w:w="11900" w:h="16840"/>
          <w:pgMar w:header="586" w:footer="617" w:top="780" w:bottom="800" w:left="640" w:right="660"/>
          <w:pgNumType w:start="25"/>
        </w:sectPr>
      </w:pPr>
    </w:p>
    <w:p>
      <w:pPr>
        <w:pStyle w:val="BodyText"/>
        <w:rPr>
          <w:sz w:val="22"/>
        </w:rPr>
      </w:pPr>
    </w:p>
    <w:p>
      <w:pPr>
        <w:pStyle w:val="BodyText"/>
        <w:rPr>
          <w:sz w:val="22"/>
        </w:rPr>
      </w:pPr>
    </w:p>
    <w:p>
      <w:pPr>
        <w:pStyle w:val="BodyText"/>
        <w:spacing w:before="7"/>
        <w:rPr>
          <w:sz w:val="32"/>
        </w:rPr>
      </w:pPr>
    </w:p>
    <w:p>
      <w:pPr>
        <w:pStyle w:val="Heading9"/>
        <w:spacing w:before="0"/>
        <w:ind w:left="184"/>
      </w:pPr>
      <w:r>
        <w:rPr>
          <w:color w:val="0093C1"/>
        </w:rPr>
        <w:t>Chart 3.7</w:t>
      </w:r>
    </w:p>
    <w:p>
      <w:pPr>
        <w:spacing w:line="249" w:lineRule="auto" w:before="10"/>
        <w:ind w:left="184" w:right="224" w:firstLine="0"/>
        <w:jc w:val="left"/>
        <w:rPr>
          <w:b/>
          <w:sz w:val="20"/>
        </w:rPr>
      </w:pPr>
      <w:r>
        <w:rPr>
          <w:b/>
          <w:color w:val="0093C1"/>
          <w:sz w:val="20"/>
        </w:rPr>
        <w:t>Contributions of net trade to quarterly GDP growth</w:t>
      </w:r>
    </w:p>
    <w:p>
      <w:pPr>
        <w:spacing w:line="124" w:lineRule="exact" w:before="65"/>
        <w:ind w:left="2664" w:right="0" w:firstLine="0"/>
        <w:jc w:val="left"/>
        <w:rPr>
          <w:sz w:val="12"/>
        </w:rPr>
      </w:pPr>
      <w:r>
        <w:rPr>
          <w:sz w:val="12"/>
        </w:rPr>
        <w:t>Percentage points</w:t>
      </w:r>
    </w:p>
    <w:p>
      <w:pPr>
        <w:spacing w:line="124" w:lineRule="exact" w:before="0"/>
        <w:ind w:left="3554" w:right="0" w:firstLine="0"/>
        <w:jc w:val="left"/>
        <w:rPr>
          <w:sz w:val="12"/>
        </w:rPr>
      </w:pPr>
      <w:r>
        <w:rPr/>
        <w:pict>
          <v:line style="position:absolute;mso-position-horizontal-relative:page;mso-position-vertical-relative:paragraph;z-index:15905792" from="44.220001pt,2.900857pt" to="40.220001pt,2.900857pt" stroked="true" strokeweight=".5pt" strokecolor="#000000">
            <v:stroke dashstyle="solid"/>
            <w10:wrap type="none"/>
          </v:line>
        </w:pict>
      </w:r>
      <w:r>
        <w:rPr/>
        <w:pict>
          <v:line style="position:absolute;mso-position-horizontal-relative:page;mso-position-vertical-relative:paragraph;z-index:15911424" from="207.220001pt,2.900857pt" to="202.220001pt,2.900857pt" stroked="true" strokeweight=".5pt" strokecolor="#000000">
            <v:stroke dashstyle="solid"/>
            <w10:wrap type="none"/>
          </v:line>
        </w:pict>
      </w:r>
      <w:r>
        <w:rPr>
          <w:sz w:val="12"/>
        </w:rPr>
        <w:t>0.8</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05280" from="44.220001pt,3.601563pt" to="40.220001pt,3.601563pt" stroked="true" strokeweight=".5pt" strokecolor="#000000">
            <v:stroke dashstyle="solid"/>
            <w10:wrap type="none"/>
          </v:line>
        </w:pict>
      </w:r>
      <w:r>
        <w:rPr/>
        <w:pict>
          <v:group style="position:absolute;margin-left:48.220001pt;margin-top:-2.648437pt;width:150pt;height:124.5pt;mso-position-horizontal-relative:page;mso-position-vertical-relative:paragraph;z-index:15906304" coordorigin="964,-53" coordsize="3000,2490">
            <v:shape style="position:absolute;left:964;top:1069;width:3000;height:5" coordorigin="964,1070" coordsize="3000,5" path="m964,1075l2364,1075m964,1070l1924,1070m2564,1075l2784,1075m3004,1075l3644,1075m2144,1070l3224,1070m3864,1075l3964,1075m3424,1070l3964,1070e" filled="false" stroked="true" strokeweight=".25pt" strokecolor="#000000">
              <v:path arrowok="t"/>
              <v:stroke dashstyle="solid"/>
            </v:shape>
            <v:rect style="position:absolute;left:1064;top:1032;width:220;height:40" filled="true" fillcolor="#e1eecd" stroked="false">
              <v:fill type="solid"/>
            </v:rect>
            <v:rect style="position:absolute;left:1064;top:1032;width:220;height:40" filled="false" stroked="true" strokeweight=".5pt" strokecolor="#000000">
              <v:stroke dashstyle="solid"/>
            </v:rect>
            <v:rect style="position:absolute;left:1504;top:1072;width:200;height:1360" filled="true" fillcolor="#e1eecd" stroked="false">
              <v:fill type="solid"/>
            </v:rect>
            <v:rect style="position:absolute;left:1504;top:1072;width:200;height:1360" filled="false" stroked="true" strokeweight=".5pt" strokecolor="#000000">
              <v:stroke dashstyle="solid"/>
            </v:rect>
            <v:rect style="position:absolute;left:1924;top:-48;width:220;height:1120" filled="true" fillcolor="#e1eecd" stroked="false">
              <v:fill type="solid"/>
            </v:rect>
            <v:rect style="position:absolute;left:1924;top:-48;width:220;height:1120" filled="false" stroked="true" strokeweight=".5pt" strokecolor="#000000">
              <v:stroke dashstyle="solid"/>
            </v:rect>
            <v:rect style="position:absolute;left:2364;top:1072;width:200;height:360" filled="true" fillcolor="#e1eecd" stroked="false">
              <v:fill type="solid"/>
            </v:rect>
            <v:rect style="position:absolute;left:2364;top:1072;width:200;height:360" filled="false" stroked="true" strokeweight=".5pt" strokecolor="#000000">
              <v:stroke dashstyle="solid"/>
            </v:rect>
            <v:rect style="position:absolute;left:2784;top:1072;width:220;height:120" filled="true" fillcolor="#e1eecd" stroked="false">
              <v:fill type="solid"/>
            </v:rect>
            <v:rect style="position:absolute;left:2784;top:1072;width:220;height:120" filled="false" stroked="true" strokeweight=".5pt" strokecolor="#000000">
              <v:stroke dashstyle="solid"/>
            </v:rect>
            <v:rect style="position:absolute;left:3224;top:712;width:200;height:360" filled="true" fillcolor="#e1eecd" stroked="false">
              <v:fill type="solid"/>
            </v:rect>
            <v:rect style="position:absolute;left:3224;top:712;width:200;height:360" filled="false" stroked="true" strokeweight=".5pt" strokecolor="#000000">
              <v:stroke dashstyle="solid"/>
            </v:rect>
            <v:rect style="position:absolute;left:3644;top:1072;width:220;height:840" filled="true" fillcolor="#e1eecd" stroked="false">
              <v:fill type="solid"/>
            </v:rect>
            <v:rect style="position:absolute;left:3644;top:1072;width:220;height:840" filled="false" stroked="true" strokeweight=".5pt" strokecolor="#000000">
              <v:stroke dashstyle="solid"/>
            </v:rect>
            <w10:wrap type="none"/>
          </v:group>
        </w:pict>
      </w:r>
      <w:r>
        <w:rPr/>
        <w:pict>
          <v:line style="position:absolute;mso-position-horizontal-relative:page;mso-position-vertical-relative:paragraph;z-index:15910912" from="207.220001pt,3.601563pt" to="202.220001pt,3.601563pt" stroked="true" strokeweight=".5pt" strokecolor="#000000">
            <v:stroke dashstyle="solid"/>
            <w10:wrap type="none"/>
          </v:line>
        </w:pict>
      </w:r>
      <w:r>
        <w:rPr>
          <w:sz w:val="12"/>
        </w:rPr>
        <w:t>0.6</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5904768" from="44.220001pt,4.599564pt" to="40.220001pt,4.599564pt" stroked="true" strokeweight=".5pt" strokecolor="#000000">
            <v:stroke dashstyle="solid"/>
            <w10:wrap type="none"/>
          </v:line>
        </w:pict>
      </w:r>
      <w:r>
        <w:rPr/>
        <w:pict>
          <v:line style="position:absolute;mso-position-horizontal-relative:page;mso-position-vertical-relative:paragraph;z-index:15910400" from="207.220001pt,4.599564pt" to="202.220001pt,4.599564pt" stroked="true" strokeweight=".5pt" strokecolor="#000000">
            <v:stroke dashstyle="solid"/>
            <w10:wrap type="none"/>
          </v:line>
        </w:pict>
      </w:r>
      <w:r>
        <w:rPr>
          <w:sz w:val="12"/>
        </w:rPr>
        <w:t>0.4</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04256" from="44.220001pt,3.601563pt" to="40.220001pt,3.601563pt" stroked="true" strokeweight=".5pt" strokecolor="#000000">
            <v:stroke dashstyle="solid"/>
            <w10:wrap type="none"/>
          </v:line>
        </w:pict>
      </w:r>
      <w:r>
        <w:rPr/>
        <w:pict>
          <v:line style="position:absolute;mso-position-horizontal-relative:page;mso-position-vertical-relative:paragraph;z-index:15909888" from="207.220001pt,3.601563pt" to="202.220001pt,3.601563pt" stroked="true" strokeweight=".5pt" strokecolor="#000000">
            <v:stroke dashstyle="solid"/>
            <w10:wrap type="none"/>
          </v:line>
        </w:pict>
      </w:r>
      <w:r>
        <w:rPr>
          <w:sz w:val="12"/>
        </w:rPr>
        <w:t>0.2</w:t>
      </w:r>
    </w:p>
    <w:p>
      <w:pPr>
        <w:spacing w:line="181" w:lineRule="exact" w:before="25"/>
        <w:ind w:left="3504" w:right="0" w:firstLine="0"/>
        <w:jc w:val="left"/>
        <w:rPr>
          <w:sz w:val="16"/>
        </w:rPr>
      </w:pPr>
      <w:r>
        <w:rPr>
          <w:sz w:val="16"/>
        </w:rPr>
        <w:t>+</w:t>
      </w:r>
    </w:p>
    <w:p>
      <w:pPr>
        <w:spacing w:line="172" w:lineRule="auto" w:before="10"/>
        <w:ind w:left="3504" w:right="0" w:firstLine="0"/>
        <w:jc w:val="left"/>
        <w:rPr>
          <w:sz w:val="12"/>
        </w:rPr>
      </w:pPr>
      <w:r>
        <w:rPr/>
        <w:pict>
          <v:line style="position:absolute;mso-position-horizontal-relative:page;mso-position-vertical-relative:paragraph;z-index:15903744" from="44.220001pt,3.437pt" to="40.220001pt,3.437pt" stroked="true" strokeweight=".5pt" strokecolor="#000000">
            <v:stroke dashstyle="solid"/>
            <w10:wrap type="none"/>
          </v:line>
        </w:pict>
      </w:r>
      <w:r>
        <w:rPr/>
        <w:pict>
          <v:line style="position:absolute;mso-position-horizontal-relative:page;mso-position-vertical-relative:paragraph;z-index:15909376" from="207.220001pt,3.437pt" to="202.220001pt,3.437pt" stroked="true" strokeweight=".5pt" strokecolor="#000000">
            <v:stroke dashstyle="solid"/>
            <w10:wrap type="none"/>
          </v:line>
        </w:pict>
      </w:r>
      <w:r>
        <w:rPr>
          <w:spacing w:val="-8"/>
          <w:position w:val="-9"/>
          <w:sz w:val="16"/>
        </w:rPr>
        <w:t>_</w:t>
      </w:r>
      <w:r>
        <w:rPr>
          <w:spacing w:val="-8"/>
          <w:sz w:val="12"/>
        </w:rPr>
        <w:t>0.0</w:t>
      </w:r>
    </w:p>
    <w:p>
      <w:pPr>
        <w:spacing w:before="110"/>
        <w:ind w:left="0" w:right="38" w:firstLine="0"/>
        <w:jc w:val="right"/>
        <w:rPr>
          <w:sz w:val="12"/>
        </w:rPr>
      </w:pPr>
      <w:r>
        <w:rPr/>
        <w:pict>
          <v:line style="position:absolute;mso-position-horizontal-relative:page;mso-position-vertical-relative:paragraph;z-index:15901184" from="44.220001pt,10.101563pt" to="40.220001pt,10.101563pt" stroked="true" strokeweight=".5pt" strokecolor="#000000">
            <v:stroke dashstyle="solid"/>
            <w10:wrap type="none"/>
          </v:line>
        </w:pict>
      </w:r>
      <w:r>
        <w:rPr/>
        <w:pict>
          <v:line style="position:absolute;mso-position-horizontal-relative:page;mso-position-vertical-relative:paragraph;z-index:15906816" from="207.220001pt,10.101563pt" to="202.220001pt,10.101563pt" stroked="true" strokeweight=".5pt" strokecolor="#000000">
            <v:stroke dashstyle="solid"/>
            <w10:wrap type="none"/>
          </v:line>
        </w:pict>
      </w:r>
      <w:r>
        <w:rPr>
          <w:sz w:val="12"/>
        </w:rPr>
        <w:t>0.2</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01696" from="44.220001pt,4.603562pt" to="40.220001pt,4.603562pt" stroked="true" strokeweight=".5pt" strokecolor="#000000">
            <v:stroke dashstyle="solid"/>
            <w10:wrap type="none"/>
          </v:line>
        </w:pict>
      </w:r>
      <w:r>
        <w:rPr/>
        <w:pict>
          <v:line style="position:absolute;mso-position-horizontal-relative:page;mso-position-vertical-relative:paragraph;z-index:15907328" from="207.220001pt,4.603562pt" to="202.220001pt,4.603562pt" stroked="true" strokeweight=".5pt" strokecolor="#000000">
            <v:stroke dashstyle="solid"/>
            <w10:wrap type="none"/>
          </v:line>
        </w:pict>
      </w:r>
      <w:r>
        <w:rPr>
          <w:sz w:val="12"/>
        </w:rPr>
        <w:t>0.4</w:t>
      </w:r>
    </w:p>
    <w:p>
      <w:pPr>
        <w:pStyle w:val="BodyText"/>
        <w:spacing w:before="6"/>
        <w:rPr>
          <w:sz w:val="17"/>
        </w:rPr>
      </w:pPr>
    </w:p>
    <w:p>
      <w:pPr>
        <w:spacing w:before="1"/>
        <w:ind w:left="0" w:right="38" w:firstLine="0"/>
        <w:jc w:val="right"/>
        <w:rPr>
          <w:sz w:val="12"/>
        </w:rPr>
      </w:pPr>
      <w:r>
        <w:rPr/>
        <w:pict>
          <v:line style="position:absolute;mso-position-horizontal-relative:page;mso-position-vertical-relative:paragraph;z-index:15902208" from="44.220001pt,3.655561pt" to="40.220001pt,3.655561pt" stroked="true" strokeweight=".5pt" strokecolor="#000000">
            <v:stroke dashstyle="solid"/>
            <w10:wrap type="none"/>
          </v:line>
        </w:pict>
      </w:r>
      <w:r>
        <w:rPr/>
        <w:pict>
          <v:line style="position:absolute;mso-position-horizontal-relative:page;mso-position-vertical-relative:paragraph;z-index:15907840" from="207.220001pt,3.655561pt" to="202.220001pt,3.655561pt" stroked="true" strokeweight=".5pt" strokecolor="#000000">
            <v:stroke dashstyle="solid"/>
            <w10:wrap type="none"/>
          </v:line>
        </w:pict>
      </w:r>
      <w:r>
        <w:rPr>
          <w:sz w:val="12"/>
        </w:rPr>
        <w:t>0.6</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02720" from="44.220001pt,3.60756pt" to="40.220001pt,3.60756pt" stroked="true" strokeweight=".5pt" strokecolor="#000000">
            <v:stroke dashstyle="solid"/>
            <w10:wrap type="none"/>
          </v:line>
        </w:pict>
      </w:r>
      <w:r>
        <w:rPr/>
        <w:pict>
          <v:line style="position:absolute;mso-position-horizontal-relative:page;mso-position-vertical-relative:paragraph;z-index:15908352" from="207.220001pt,3.60756pt" to="202.220001pt,3.60756pt" stroked="true" strokeweight=".5pt" strokecolor="#000000">
            <v:stroke dashstyle="solid"/>
            <w10:wrap type="none"/>
          </v:line>
        </w:pict>
      </w:r>
      <w:r>
        <w:rPr>
          <w:sz w:val="12"/>
        </w:rPr>
        <w:t>0.8</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5903232" from="44.220001pt,4.605561pt" to="40.220001pt,4.605561pt" stroked="true" strokeweight=".5pt" strokecolor="#000000">
            <v:stroke dashstyle="solid"/>
            <w10:wrap type="none"/>
          </v:line>
        </w:pict>
      </w:r>
      <w:r>
        <w:rPr/>
        <w:pict>
          <v:line style="position:absolute;mso-position-horizontal-relative:page;mso-position-vertical-relative:paragraph;z-index:15908864" from="207.220001pt,4.605561pt" to="202.220001pt,4.605561pt" stroked="true" strokeweight=".5pt" strokecolor="#000000">
            <v:stroke dashstyle="solid"/>
            <w10:wrap type="none"/>
          </v:line>
        </w:pict>
      </w:r>
      <w:r>
        <w:rPr/>
        <w:pict>
          <v:shape style="position:absolute;margin-left:48.220001pt;margin-top:-.394439pt;width:150pt;height:5pt;mso-position-horizontal-relative:page;mso-position-vertical-relative:paragraph;z-index:15911936" coordorigin="964,-8" coordsize="3000,100" path="m1164,92l1164,32m1604,92l1604,32m1604,92l1604,-8m2044,92l2044,32m2464,92l2464,32m2904,92l2904,32m3324,92l3324,32m3324,92l3324,-8m3764,92l3764,32m964,92l3964,92e" filled="false" stroked="true" strokeweight=".5pt" strokecolor="#000000">
            <v:path arrowok="t"/>
            <v:stroke dashstyle="solid"/>
            <w10:wrap type="none"/>
          </v:shape>
        </w:pict>
      </w:r>
      <w:r>
        <w:rPr>
          <w:sz w:val="12"/>
        </w:rPr>
        <w:t>1.0</w:t>
      </w:r>
    </w:p>
    <w:p>
      <w:pPr>
        <w:pStyle w:val="Heading3"/>
        <w:numPr>
          <w:ilvl w:val="1"/>
          <w:numId w:val="13"/>
        </w:numPr>
        <w:tabs>
          <w:tab w:pos="2965" w:val="left" w:leader="none"/>
          <w:tab w:pos="2966" w:val="left" w:leader="none"/>
          <w:tab w:pos="5665" w:val="left" w:leader="none"/>
        </w:tabs>
        <w:spacing w:line="240" w:lineRule="auto" w:before="215" w:after="0"/>
        <w:ind w:left="2965" w:right="0" w:hanging="2781"/>
        <w:jc w:val="left"/>
        <w:rPr>
          <w:color w:val="009483"/>
        </w:rPr>
      </w:pPr>
      <w:r>
        <w:rPr>
          <w:color w:val="009483"/>
          <w:u w:val="thick" w:color="0093C1"/>
        </w:rPr>
        <w:br w:type="column"/>
        <w:t>Net external</w:t>
      </w:r>
      <w:r>
        <w:rPr>
          <w:color w:val="009483"/>
          <w:spacing w:val="-6"/>
          <w:u w:val="thick" w:color="0093C1"/>
        </w:rPr>
        <w:t> </w:t>
      </w:r>
      <w:r>
        <w:rPr>
          <w:color w:val="009483"/>
          <w:u w:val="thick" w:color="0093C1"/>
        </w:rPr>
        <w:t>demand</w:t>
        <w:tab/>
      </w:r>
    </w:p>
    <w:p>
      <w:pPr>
        <w:pStyle w:val="BodyText"/>
        <w:spacing w:before="6"/>
        <w:rPr>
          <w:b/>
          <w:sz w:val="23"/>
        </w:rPr>
      </w:pPr>
    </w:p>
    <w:p>
      <w:pPr>
        <w:pStyle w:val="Heading5"/>
        <w:spacing w:line="280" w:lineRule="atLeast" w:before="1"/>
        <w:ind w:left="184" w:right="135"/>
      </w:pPr>
      <w:r>
        <w:rPr>
          <w:color w:val="231F20"/>
        </w:rPr>
        <w:t>A puzzling feature of the present economic situation has been the limited response of trade flows to the appreciation of the exchange rate. As Chart 3.7 shows, the appreciation has continued for nearly a year without significantly affecting the net trade position, though it is difficult to know what would </w:t>
      </w:r>
      <w:r>
        <w:rPr>
          <w:color w:val="231F20"/>
          <w:spacing w:val="-3"/>
        </w:rPr>
        <w:t>have </w:t>
      </w:r>
      <w:r>
        <w:rPr>
          <w:color w:val="231F20"/>
        </w:rPr>
        <w:t>happened in the absence of the appreciation. Preliminary trade data suggest that, excluding oil and erratics, the three-month growth rate of export volumes rose to 4.5% in August from 3.7% in </w:t>
      </w:r>
      <w:r>
        <w:rPr>
          <w:color w:val="231F20"/>
          <w:spacing w:val="-4"/>
        </w:rPr>
        <w:t>July. </w:t>
      </w:r>
      <w:r>
        <w:rPr>
          <w:color w:val="231F20"/>
        </w:rPr>
        <w:t>The three-month growth rate of import volumes in August also rose after slowing in </w:t>
      </w:r>
      <w:r>
        <w:rPr>
          <w:color w:val="231F20"/>
          <w:spacing w:val="-7"/>
        </w:rPr>
        <w:t>July. </w:t>
      </w:r>
      <w:r>
        <w:rPr>
          <w:color w:val="231F20"/>
        </w:rPr>
        <w:t>Business surveys and reports from the </w:t>
      </w:r>
      <w:r>
        <w:rPr>
          <w:color w:val="231F20"/>
          <w:spacing w:val="-3"/>
        </w:rPr>
        <w:t>Bank’s </w:t>
      </w:r>
      <w:r>
        <w:rPr>
          <w:color w:val="231F20"/>
        </w:rPr>
        <w:t>Agencies suggested a large effect—the CBI Quarterly Trends Survey in October noted that the average balance of firms reporting normal export orders in 1997 Q3 was</w:t>
      </w:r>
    </w:p>
    <w:p>
      <w:pPr>
        <w:spacing w:after="0" w:line="280" w:lineRule="atLeast"/>
        <w:sectPr>
          <w:type w:val="continuous"/>
          <w:pgSz w:w="11900" w:h="16840"/>
          <w:pgMar w:top="1040" w:bottom="280" w:left="640" w:right="660"/>
          <w:cols w:num="2" w:equalWidth="0">
            <w:col w:w="3745" w:space="1044"/>
            <w:col w:w="5811"/>
          </w:cols>
        </w:sectPr>
      </w:pPr>
    </w:p>
    <w:p>
      <w:pPr>
        <w:spacing w:line="54" w:lineRule="exact" w:before="0"/>
        <w:ind w:left="474" w:right="0" w:firstLine="0"/>
        <w:jc w:val="left"/>
        <w:rPr>
          <w:sz w:val="12"/>
        </w:rPr>
      </w:pPr>
      <w:r>
        <w:rPr>
          <w:sz w:val="12"/>
        </w:rPr>
        <w:t>1995</w:t>
      </w:r>
    </w:p>
    <w:p>
      <w:pPr>
        <w:tabs>
          <w:tab w:pos="1564" w:val="left" w:leader="none"/>
        </w:tabs>
        <w:spacing w:line="54" w:lineRule="exact" w:before="0"/>
        <w:ind w:left="474" w:right="0" w:firstLine="0"/>
        <w:jc w:val="left"/>
        <w:rPr>
          <w:sz w:val="12"/>
        </w:rPr>
      </w:pPr>
      <w:r>
        <w:rPr/>
        <w:br w:type="column"/>
      </w:r>
      <w:r>
        <w:rPr>
          <w:sz w:val="12"/>
        </w:rPr>
        <w:t>96</w:t>
        <w:tab/>
        <w:t>97</w:t>
      </w:r>
    </w:p>
    <w:p>
      <w:pPr>
        <w:pStyle w:val="Heading5"/>
        <w:spacing w:line="242" w:lineRule="auto" w:before="5"/>
        <w:ind w:left="474" w:hanging="1"/>
      </w:pPr>
      <w:r>
        <w:rPr/>
        <w:br w:type="column"/>
      </w:r>
      <w:r>
        <w:rPr>
          <w:color w:val="231F20"/>
        </w:rPr>
        <w:t>-23%, well below the average for the present cycle. And the BCC Survey suggested that manufacturers’ export</w:t>
      </w:r>
    </w:p>
    <w:p>
      <w:pPr>
        <w:spacing w:after="0" w:line="242" w:lineRule="auto"/>
        <w:sectPr>
          <w:type w:val="continuous"/>
          <w:pgSz w:w="11900" w:h="16840"/>
          <w:pgMar w:top="1040" w:bottom="280" w:left="640" w:right="660"/>
          <w:cols w:num="3" w:equalWidth="0">
            <w:col w:w="755" w:space="545"/>
            <w:col w:w="1725" w:space="1474"/>
            <w:col w:w="6101"/>
          </w:cols>
        </w:sectPr>
      </w:pPr>
    </w:p>
    <w:p>
      <w:pPr>
        <w:pStyle w:val="BodyText"/>
        <w:rPr>
          <w:sz w:val="20"/>
        </w:rPr>
      </w:pPr>
    </w:p>
    <w:p>
      <w:pPr>
        <w:spacing w:after="0"/>
        <w:rPr>
          <w:sz w:val="20"/>
        </w:rPr>
        <w:sectPr>
          <w:pgSz w:w="11900" w:h="16840"/>
          <w:pgMar w:header="586" w:footer="597" w:top="780" w:bottom="780" w:left="640" w:right="6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9"/>
        <w:spacing w:before="151"/>
        <w:ind w:left="162"/>
      </w:pPr>
      <w:r>
        <w:rPr>
          <w:color w:val="0093C1"/>
        </w:rPr>
        <w:t>Chart 3.8</w:t>
      </w:r>
    </w:p>
    <w:p>
      <w:pPr>
        <w:spacing w:before="11"/>
        <w:ind w:left="162" w:right="0" w:firstLine="0"/>
        <w:jc w:val="left"/>
        <w:rPr>
          <w:b/>
          <w:sz w:val="20"/>
        </w:rPr>
      </w:pPr>
      <w:r>
        <w:rPr>
          <w:b/>
          <w:color w:val="0093C1"/>
          <w:sz w:val="20"/>
        </w:rPr>
        <w:t>Trade volumes and the real exchange rate</w:t>
      </w:r>
    </w:p>
    <w:p>
      <w:pPr>
        <w:spacing w:before="94"/>
        <w:ind w:left="2969" w:right="0" w:firstLine="0"/>
        <w:jc w:val="left"/>
        <w:rPr>
          <w:sz w:val="12"/>
        </w:rPr>
      </w:pPr>
      <w:r>
        <w:rPr/>
        <w:pict>
          <v:line style="position:absolute;mso-position-horizontal-relative:page;mso-position-vertical-relative:paragraph;z-index:15920128" from="44.610001pt,12.804553pt" to="39.610001pt,12.804553pt" stroked="true" strokeweight=".5pt" strokecolor="#000000">
            <v:stroke dashstyle="solid"/>
            <w10:wrap type="none"/>
          </v:line>
        </w:pict>
      </w:r>
      <w:r>
        <w:rPr/>
        <w:pict>
          <v:line style="position:absolute;mso-position-horizontal-relative:page;mso-position-vertical-relative:paragraph;z-index:-20816384" from="207.610001pt,12.804553pt" to="202.610001pt,12.804553pt" stroked="true" strokeweight=".5pt" strokecolor="#000000">
            <v:stroke dashstyle="solid"/>
            <w10:wrap type="none"/>
          </v:line>
        </w:pict>
      </w:r>
      <w:r>
        <w:rPr>
          <w:sz w:val="12"/>
        </w:rPr>
        <w:t>1990 = 100</w:t>
      </w:r>
      <w:r>
        <w:rPr>
          <w:spacing w:val="28"/>
          <w:sz w:val="12"/>
        </w:rPr>
        <w:t> </w:t>
      </w:r>
      <w:r>
        <w:rPr>
          <w:position w:val="-7"/>
          <w:sz w:val="12"/>
        </w:rPr>
        <w:t>160</w:t>
      </w:r>
    </w:p>
    <w:p>
      <w:pPr>
        <w:pStyle w:val="Heading5"/>
        <w:spacing w:line="242" w:lineRule="auto" w:before="227"/>
        <w:ind w:left="162" w:right="265"/>
      </w:pPr>
      <w:r>
        <w:rPr/>
        <w:br w:type="column"/>
      </w:r>
      <w:r>
        <w:rPr>
          <w:color w:val="231F20"/>
        </w:rPr>
        <w:t>orders have continued to fall. But other surveys imply less trade deterioration. The Chartered Institute of Purchasing and Supply (C</w:t>
      </w:r>
      <w:r>
        <w:rPr>
          <w:color w:val="231F20"/>
          <w:sz w:val="20"/>
        </w:rPr>
        <w:t>IPS</w:t>
      </w:r>
      <w:r>
        <w:rPr>
          <w:color w:val="231F20"/>
        </w:rPr>
        <w:t>) report in October observed that export orders had increased as a result of stronger growth abroad. The report also noted a focus on cost-cutting by manufacturers, which may have helped to offset some of the effects of the appreciation.</w:t>
      </w:r>
    </w:p>
    <w:p>
      <w:pPr>
        <w:spacing w:after="0" w:line="242" w:lineRule="auto"/>
        <w:sectPr>
          <w:type w:val="continuous"/>
          <w:pgSz w:w="11900" w:h="16840"/>
          <w:pgMar w:top="1040" w:bottom="280" w:left="640" w:right="660"/>
          <w:cols w:num="2" w:equalWidth="0">
            <w:col w:w="3796" w:space="1005"/>
            <w:col w:w="5799"/>
          </w:cols>
        </w:sectPr>
      </w:pPr>
    </w:p>
    <w:p>
      <w:pPr>
        <w:pStyle w:val="BodyText"/>
        <w:spacing w:before="9"/>
        <w:rPr>
          <w:sz w:val="12"/>
        </w:rPr>
      </w:pPr>
    </w:p>
    <w:p>
      <w:pPr>
        <w:spacing w:after="0"/>
        <w:rPr>
          <w:sz w:val="12"/>
        </w:rPr>
        <w:sectPr>
          <w:type w:val="continuous"/>
          <w:pgSz w:w="11900" w:h="16840"/>
          <w:pgMar w:top="1040" w:bottom="280" w:left="640" w:right="660"/>
        </w:sectPr>
      </w:pPr>
    </w:p>
    <w:p>
      <w:pPr>
        <w:pStyle w:val="BodyText"/>
        <w:rPr>
          <w:sz w:val="15"/>
        </w:rPr>
      </w:pPr>
    </w:p>
    <w:p>
      <w:pPr>
        <w:pStyle w:val="BodyText"/>
        <w:spacing w:line="20" w:lineRule="exact"/>
        <w:ind w:left="14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7"/>
        </w:rPr>
      </w:pPr>
      <w:r>
        <w:rPr/>
        <w:pict>
          <v:shape style="position:absolute;margin-left:39.610001pt;margin-top:18.25pt;width:5pt;height:.1pt;mso-position-horizontal-relative:page;mso-position-vertical-relative:paragraph;z-index:-15544320;mso-wrap-distance-left:0;mso-wrap-distance-right:0" coordorigin="792,365" coordsize="100,0" path="m892,365l792,365e" filled="false" stroked="true" strokeweight=".5pt" strokecolor="#000000">
            <v:path arrowok="t"/>
            <v:stroke dashstyle="solid"/>
            <w10:wrap type="topAndBottom"/>
          </v:shape>
        </w:pict>
      </w:r>
      <w:r>
        <w:rPr/>
        <w:pict>
          <v:shape style="position:absolute;margin-left:39.610001pt;margin-top:37.25pt;width:5pt;height:.1pt;mso-position-horizontal-relative:page;mso-position-vertical-relative:paragraph;z-index:-15543808;mso-wrap-distance-left:0;mso-wrap-distance-right:0" coordorigin="792,745" coordsize="100,0" path="m892,745l792,745e" filled="false" stroked="true" strokeweight=".5pt" strokecolor="#000000">
            <v:path arrowok="t"/>
            <v:stroke dashstyle="solid"/>
            <w10:wrap type="topAndBottom"/>
          </v:shape>
        </w:pict>
      </w:r>
    </w:p>
    <w:p>
      <w:pPr>
        <w:pStyle w:val="BodyText"/>
        <w:spacing w:before="3"/>
        <w:rPr>
          <w:sz w:val="26"/>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r>
        <w:rPr/>
        <w:pict>
          <v:shape style="position:absolute;margin-left:39.610001pt;margin-top:23.305859pt;width:5pt;height:.1pt;mso-position-horizontal-relative:page;mso-position-vertical-relative:paragraph;z-index:-15543296;mso-wrap-distance-left:0;mso-wrap-distance-right:0" coordorigin="792,466" coordsize="100,0" path="m892,466l792,466e" filled="false" stroked="true" strokeweight=".5pt" strokecolor="#000000">
            <v:path arrowok="t"/>
            <v:stroke dashstyle="solid"/>
            <w10:wrap type="topAndBottom"/>
          </v:shape>
        </w:pict>
      </w:r>
      <w:r>
        <w:rPr/>
        <w:pict>
          <v:shape style="position:absolute;margin-left:48.610001pt;margin-top:18.305859pt;width:150pt;height:5pt;mso-position-horizontal-relative:page;mso-position-vertical-relative:paragraph;z-index:-15542784;mso-wrap-distance-left:0;mso-wrap-distance-right:0" coordorigin="972,366" coordsize="3000,100" path="m972,466l3972,466m972,466l972,426m1072,466l1072,426m1172,466l1172,426m1272,466l1272,426m1372,466l1372,426m1492,466l1492,426m1592,466l1592,426m1692,466l1692,426m1792,466l1792,426m1892,466l1892,426m2012,466l2012,426m2112,466l2112,426m2212,466l2212,426m2312,466l2312,426m2412,466l2412,426m2532,466l2532,426m2632,466l2632,426m2732,466l2732,426m2832,466l2832,426m2932,466l2932,426m3032,466l3032,426m3152,466l3152,426m3252,466l3252,426m3352,466l3352,426m3452,466l3452,426m3552,466l3552,426m3672,466l3672,426m3772,466l3772,426m3872,466l3872,426m3972,466l3972,426m972,466l972,366m1372,466l1372,366m1792,466l1792,366m2212,466l2212,366m2632,466l2632,366m3032,466l3032,366m3452,466l3452,366m3872,466l3872,366e" filled="false" stroked="true" strokeweight=".5pt" strokecolor="#000000">
            <v:path arrowok="t"/>
            <v:stroke dashstyle="solid"/>
            <w10:wrap type="topAndBottom"/>
          </v:shape>
        </w:pict>
      </w:r>
    </w:p>
    <w:p>
      <w:pPr>
        <w:tabs>
          <w:tab w:pos="1275" w:val="left" w:leader="none"/>
          <w:tab w:pos="1695" w:val="left" w:leader="none"/>
          <w:tab w:pos="2115" w:val="left" w:leader="none"/>
          <w:tab w:pos="2535" w:val="left" w:leader="none"/>
          <w:tab w:pos="2935" w:val="left" w:leader="none"/>
        </w:tabs>
        <w:spacing w:before="0"/>
        <w:ind w:left="415" w:right="0" w:firstLine="0"/>
        <w:jc w:val="left"/>
        <w:rPr>
          <w:sz w:val="12"/>
        </w:rPr>
      </w:pPr>
      <w:r>
        <w:rPr>
          <w:sz w:val="12"/>
        </w:rPr>
        <w:t>1990     </w:t>
      </w:r>
      <w:r>
        <w:rPr>
          <w:spacing w:val="20"/>
          <w:sz w:val="12"/>
        </w:rPr>
        <w:t> </w:t>
      </w:r>
      <w:r>
        <w:rPr>
          <w:sz w:val="12"/>
        </w:rPr>
        <w:t>91</w:t>
        <w:tab/>
        <w:t>92</w:t>
        <w:tab/>
        <w:t>93</w:t>
        <w:tab/>
        <w:t>94</w:t>
        <w:tab/>
        <w:t>95</w:t>
        <w:tab/>
        <w:t>96 </w:t>
      </w:r>
      <w:r>
        <w:rPr>
          <w:spacing w:val="-10"/>
          <w:sz w:val="12"/>
        </w:rPr>
        <w:t>97</w:t>
      </w:r>
    </w:p>
    <w:p>
      <w:pPr>
        <w:pStyle w:val="BodyText"/>
        <w:rPr>
          <w:sz w:val="12"/>
        </w:rPr>
      </w:pPr>
    </w:p>
    <w:p>
      <w:pPr>
        <w:pStyle w:val="BodyText"/>
        <w:spacing w:before="10"/>
        <w:rPr>
          <w:sz w:val="14"/>
        </w:rPr>
      </w:pPr>
    </w:p>
    <w:p>
      <w:pPr>
        <w:pStyle w:val="ListParagraph"/>
        <w:numPr>
          <w:ilvl w:val="0"/>
          <w:numId w:val="18"/>
        </w:numPr>
        <w:tabs>
          <w:tab w:pos="403" w:val="left" w:leader="none"/>
        </w:tabs>
        <w:spacing w:line="129" w:lineRule="exact" w:before="0" w:after="0"/>
        <w:ind w:left="402" w:right="0" w:hanging="241"/>
        <w:jc w:val="left"/>
        <w:rPr>
          <w:sz w:val="12"/>
        </w:rPr>
      </w:pPr>
      <w:r>
        <w:rPr>
          <w:color w:val="231F20"/>
          <w:sz w:val="12"/>
        </w:rPr>
        <w:t>Total export volumes of goods excluding oil and erratics.</w:t>
      </w:r>
    </w:p>
    <w:p>
      <w:pPr>
        <w:pStyle w:val="ListParagraph"/>
        <w:numPr>
          <w:ilvl w:val="0"/>
          <w:numId w:val="18"/>
        </w:numPr>
        <w:tabs>
          <w:tab w:pos="403" w:val="left" w:leader="none"/>
        </w:tabs>
        <w:spacing w:line="114" w:lineRule="exact" w:before="0" w:after="0"/>
        <w:ind w:left="402" w:right="0" w:hanging="241"/>
        <w:jc w:val="left"/>
        <w:rPr>
          <w:sz w:val="12"/>
        </w:rPr>
      </w:pPr>
      <w:r>
        <w:rPr>
          <w:color w:val="231F20"/>
          <w:sz w:val="12"/>
        </w:rPr>
        <w:t>Total import volumes of goods excluding oil and erratics.</w:t>
      </w:r>
    </w:p>
    <w:p>
      <w:pPr>
        <w:spacing w:before="95"/>
        <w:ind w:left="162" w:right="0" w:firstLine="0"/>
        <w:jc w:val="left"/>
        <w:rPr>
          <w:sz w:val="12"/>
        </w:rPr>
      </w:pPr>
      <w:r>
        <w:rPr/>
        <w:br w:type="column"/>
      </w:r>
      <w:r>
        <w:rPr>
          <w:sz w:val="12"/>
        </w:rPr>
        <w:t>150</w:t>
      </w:r>
    </w:p>
    <w:p>
      <w:pPr>
        <w:pStyle w:val="BodyText"/>
        <w:rPr>
          <w:sz w:val="12"/>
        </w:rPr>
      </w:pPr>
    </w:p>
    <w:p>
      <w:pPr>
        <w:spacing w:before="104"/>
        <w:ind w:left="162" w:right="0" w:firstLine="0"/>
        <w:jc w:val="left"/>
        <w:rPr>
          <w:sz w:val="12"/>
        </w:rPr>
      </w:pPr>
      <w:r>
        <w:rPr/>
        <w:pict>
          <v:group style="position:absolute;margin-left:39.610001pt;margin-top:-14.198438pt;width:168pt;height:125pt;mso-position-horizontal-relative:page;mso-position-vertical-relative:paragraph;z-index:-20818432" coordorigin="792,-284" coordsize="3360,2500">
            <v:shape style="position:absolute;left:792;top:1686;width:100;height:380" coordorigin="792,1686" coordsize="100,380" path="m892,2066l792,2066m892,1686l792,1686e" filled="false" stroked="true" strokeweight=".5pt" strokecolor="#000000">
              <v:path arrowok="t"/>
              <v:stroke dashstyle="solid"/>
            </v:shape>
            <v:shape style="position:absolute;left:972;top:1506;width:1960;height:600" coordorigin="972,1506" coordsize="1960,600" path="m972,1826l1072,1826,1172,1546,1272,1566,1392,1506,1492,1566,1592,1586,1692,1586,1792,1566,1892,1566,2012,1626,2112,2066,2212,2106,2312,2026,2412,1966,2532,1966,2632,2026,2732,2066,2832,2066,2932,2006e" filled="false" stroked="true" strokeweight="1pt" strokecolor="#008256">
              <v:path arrowok="t"/>
              <v:stroke dashstyle="solid"/>
            </v:shape>
            <v:shape style="position:absolute;left:4052;top:1686;width:100;height:380" coordorigin="4052,1686" coordsize="100,380" path="m4152,2066l4052,2066m4152,1686l4052,1686e" filled="false" stroked="true" strokeweight=".5pt" strokecolor="#000000">
              <v:path arrowok="t"/>
              <v:stroke dashstyle="solid"/>
            </v:shape>
            <v:shape style="position:absolute;left:2932;top:1466;width:1040;height:740" coordorigin="2932,1466" coordsize="1040,740" path="m2932,2006l3052,2106,3152,2206,3252,2186,3352,2206,3452,2206,3572,2146,3672,2066,3872,1586,3972,1466e" filled="false" stroked="true" strokeweight="1pt" strokecolor="#008256">
              <v:path arrowok="t"/>
              <v:stroke dashstyle="solid"/>
            </v:shape>
            <v:line style="position:absolute" from="892,1326" to="792,1326" stroked="true" strokeweight=".5pt" strokecolor="#000000">
              <v:stroke dashstyle="solid"/>
            </v:line>
            <v:shape style="position:absolute;left:972;top:1086;width:1960;height:840" coordorigin="972,1086" coordsize="1960,840" path="m972,1646l1072,1606,1272,1806,1392,1866,1492,1926,1692,1846,1792,1766,1892,1606,2012,1566,2112,1506,2212,1486,2312,1526,2412,1446,2532,1366,2632,1326,2732,1326,2832,1286,2932,1086e" filled="false" stroked="true" strokeweight="1pt" strokecolor="#9bd3ae">
              <v:path arrowok="t"/>
              <v:stroke dashstyle="solid"/>
            </v:shape>
            <v:shape style="position:absolute;left:4052;top:566;width:100;height:360" coordorigin="4052,566" coordsize="100,360" path="m4152,926l4052,926m4152,566l4052,566e" filled="false" stroked="true" strokeweight=".5pt" strokecolor="#000000">
              <v:path arrowok="t"/>
              <v:stroke dashstyle="solid"/>
            </v:shape>
            <v:shape style="position:absolute;left:2932;top:346;width:1040;height:820" coordorigin="2932,346" coordsize="1040,820" path="m2932,1086l3052,1166,3152,1066,3252,946,3352,886,3452,686,3572,726,3672,566,3772,506,3872,526,3972,346e" filled="false" stroked="true" strokeweight="1pt" strokecolor="#9bd3ae">
              <v:path arrowok="t"/>
              <v:stroke dashstyle="solid"/>
            </v:shape>
            <v:line style="position:absolute" from="892,926" to="792,926" stroked="true" strokeweight=".5pt" strokecolor="#000000">
              <v:stroke dashstyle="solid"/>
            </v:line>
            <v:shape style="position:absolute;left:972;top:766;width:1960;height:980" coordorigin="972,766" coordsize="1960,980" path="m972,1746l1072,1686,1172,1666,1272,1666,1392,1746,1492,1626,1592,1606,1692,1606,1792,1586,1892,1526,2012,1526,2112,1406,2212,1406,2312,1446,2412,1406,2532,1326,2632,1146,2732,1026,2832,926,2932,766e" filled="false" stroked="true" strokeweight="1pt" strokecolor="#95459a">
              <v:path arrowok="t"/>
              <v:stroke dashstyle="solid"/>
            </v:shape>
            <v:shape style="position:absolute;left:4052;top:-194;width:100;height:380" coordorigin="4052,-194" coordsize="100,380" path="m4152,186l4052,186m4152,-194l4052,-194e" filled="false" stroked="true" strokeweight=".5pt" strokecolor="#000000">
              <v:path arrowok="t"/>
              <v:stroke dashstyle="solid"/>
            </v:shape>
            <v:shape style="position:absolute;left:2932;top:-274;width:1040;height:1040" coordorigin="2932,-274" coordsize="1040,1040" path="m2932,766l3052,666,3152,666,3252,426,3352,426,3452,326,3572,226,3672,126,3772,106,3872,6,3972,-274e" filled="false" stroked="true" strokeweight="1pt" strokecolor="#95459a">
              <v:path arrowok="t"/>
              <v:stroke dashstyle="solid"/>
            </v:shape>
            <v:shape style="position:absolute;left:2908;top:175;width:557;height:133" type="#_x0000_t202" filled="false" stroked="false">
              <v:textbox inset="0,0,0,0">
                <w:txbxContent>
                  <w:p>
                    <w:pPr>
                      <w:spacing w:line="133" w:lineRule="exact" w:before="0"/>
                      <w:ind w:left="0" w:right="0" w:firstLine="0"/>
                      <w:jc w:val="left"/>
                      <w:rPr>
                        <w:sz w:val="12"/>
                      </w:rPr>
                    </w:pPr>
                    <w:r>
                      <w:rPr>
                        <w:sz w:val="12"/>
                      </w:rPr>
                      <w:t>Exports (a)</w:t>
                    </w:r>
                  </w:p>
                </w:txbxContent>
              </v:textbox>
              <w10:wrap type="none"/>
            </v:shape>
            <v:shape style="position:absolute;left:3148;top:1115;width:564;height:133" type="#_x0000_t202" filled="false" stroked="false">
              <v:textbox inset="0,0,0,0">
                <w:txbxContent>
                  <w:p>
                    <w:pPr>
                      <w:spacing w:line="133" w:lineRule="exact" w:before="0"/>
                      <w:ind w:left="0" w:right="0" w:firstLine="0"/>
                      <w:jc w:val="left"/>
                      <w:rPr>
                        <w:sz w:val="12"/>
                      </w:rPr>
                    </w:pPr>
                    <w:r>
                      <w:rPr>
                        <w:sz w:val="12"/>
                      </w:rPr>
                      <w:t>Imports (b)</w:t>
                    </w:r>
                  </w:p>
                </w:txbxContent>
              </v:textbox>
              <w10:wrap type="none"/>
            </v:shape>
            <v:shape style="position:absolute;left:2782;top:1689;width:933;height:247" type="#_x0000_t202" filled="false" stroked="false">
              <v:textbox inset="0,0,0,0">
                <w:txbxContent>
                  <w:p>
                    <w:pPr>
                      <w:spacing w:line="196" w:lineRule="auto" w:before="15"/>
                      <w:ind w:left="86" w:right="0" w:hanging="87"/>
                      <w:jc w:val="left"/>
                      <w:rPr>
                        <w:sz w:val="12"/>
                      </w:rPr>
                    </w:pPr>
                    <w:r>
                      <w:rPr>
                        <w:sz w:val="12"/>
                      </w:rPr>
                      <w:t>UK real effective exchange rate (c)</w:t>
                    </w:r>
                  </w:p>
                </w:txbxContent>
              </v:textbox>
              <w10:wrap type="none"/>
            </v:shape>
            <w10:wrap type="none"/>
          </v:group>
        </w:pict>
      </w:r>
      <w:r>
        <w:rPr>
          <w:sz w:val="12"/>
        </w:rPr>
        <w:t>140</w:t>
      </w:r>
    </w:p>
    <w:p>
      <w:pPr>
        <w:pStyle w:val="BodyText"/>
        <w:rPr>
          <w:sz w:val="12"/>
        </w:rPr>
      </w:pPr>
    </w:p>
    <w:p>
      <w:pPr>
        <w:spacing w:before="104"/>
        <w:ind w:left="162" w:right="0" w:firstLine="0"/>
        <w:jc w:val="left"/>
        <w:rPr>
          <w:sz w:val="12"/>
        </w:rPr>
      </w:pPr>
      <w:r>
        <w:rPr>
          <w:sz w:val="12"/>
        </w:rPr>
        <w:t>130</w:t>
      </w:r>
    </w:p>
    <w:p>
      <w:pPr>
        <w:pStyle w:val="BodyText"/>
        <w:rPr>
          <w:sz w:val="12"/>
        </w:rPr>
      </w:pPr>
    </w:p>
    <w:p>
      <w:pPr>
        <w:spacing w:before="85"/>
        <w:ind w:left="162" w:right="0" w:firstLine="0"/>
        <w:jc w:val="left"/>
        <w:rPr>
          <w:sz w:val="12"/>
        </w:rPr>
      </w:pPr>
      <w:r>
        <w:rPr>
          <w:sz w:val="12"/>
        </w:rPr>
        <w:t>120</w:t>
      </w:r>
    </w:p>
    <w:p>
      <w:pPr>
        <w:pStyle w:val="BodyText"/>
        <w:rPr>
          <w:sz w:val="12"/>
        </w:rPr>
      </w:pPr>
    </w:p>
    <w:p>
      <w:pPr>
        <w:pStyle w:val="BodyText"/>
        <w:spacing w:before="8"/>
        <w:rPr>
          <w:sz w:val="10"/>
        </w:rPr>
      </w:pPr>
    </w:p>
    <w:p>
      <w:pPr>
        <w:spacing w:before="1"/>
        <w:ind w:left="162" w:right="0" w:firstLine="0"/>
        <w:jc w:val="left"/>
        <w:rPr>
          <w:sz w:val="12"/>
        </w:rPr>
      </w:pPr>
      <w:r>
        <w:rPr/>
        <w:pict>
          <v:line style="position:absolute;mso-position-horizontal-relative:page;mso-position-vertical-relative:paragraph;z-index:15921152" from="207.610001pt,4.151563pt" to="202.610001pt,4.151563pt" stroked="true" strokeweight=".5pt" strokecolor="#000000">
            <v:stroke dashstyle="solid"/>
            <w10:wrap type="none"/>
          </v:line>
        </w:pict>
      </w:r>
      <w:r>
        <w:rPr>
          <w:sz w:val="12"/>
        </w:rPr>
        <w:t>110</w:t>
      </w:r>
    </w:p>
    <w:p>
      <w:pPr>
        <w:pStyle w:val="BodyText"/>
        <w:rPr>
          <w:sz w:val="12"/>
        </w:rPr>
      </w:pPr>
    </w:p>
    <w:p>
      <w:pPr>
        <w:spacing w:before="84"/>
        <w:ind w:left="162" w:right="0" w:firstLine="0"/>
        <w:jc w:val="left"/>
        <w:rPr>
          <w:sz w:val="12"/>
        </w:rPr>
      </w:pPr>
      <w:r>
        <w:rPr>
          <w:sz w:val="12"/>
        </w:rPr>
        <w:t>100</w:t>
      </w:r>
    </w:p>
    <w:p>
      <w:pPr>
        <w:pStyle w:val="BodyText"/>
        <w:rPr>
          <w:sz w:val="12"/>
        </w:rPr>
      </w:pPr>
    </w:p>
    <w:p>
      <w:pPr>
        <w:spacing w:before="104"/>
        <w:ind w:left="222" w:right="0" w:firstLine="0"/>
        <w:jc w:val="left"/>
        <w:rPr>
          <w:sz w:val="12"/>
        </w:rPr>
      </w:pPr>
      <w:r>
        <w:rPr>
          <w:sz w:val="12"/>
        </w:rPr>
        <w:t>90</w:t>
      </w:r>
    </w:p>
    <w:p>
      <w:pPr>
        <w:pStyle w:val="BodyText"/>
        <w:rPr>
          <w:sz w:val="12"/>
        </w:rPr>
      </w:pPr>
    </w:p>
    <w:p>
      <w:pPr>
        <w:spacing w:before="104"/>
        <w:ind w:left="222" w:right="0" w:firstLine="0"/>
        <w:jc w:val="left"/>
        <w:rPr>
          <w:sz w:val="12"/>
        </w:rPr>
      </w:pPr>
      <w:r>
        <w:rPr/>
        <w:pict>
          <v:line style="position:absolute;mso-position-horizontal-relative:page;mso-position-vertical-relative:paragraph;z-index:15920640" from="207.610001pt,9.301562pt" to="202.610001pt,9.301562pt" stroked="true" strokeweight=".5pt" strokecolor="#000000">
            <v:stroke dashstyle="solid"/>
            <w10:wrap type="none"/>
          </v:line>
        </w:pict>
      </w:r>
      <w:r>
        <w:rPr>
          <w:sz w:val="12"/>
        </w:rPr>
        <w:t>80</w:t>
      </w:r>
    </w:p>
    <w:p>
      <w:pPr>
        <w:pStyle w:val="Heading5"/>
        <w:spacing w:line="242" w:lineRule="auto" w:before="162"/>
        <w:ind w:left="162" w:right="141" w:firstLine="1"/>
      </w:pPr>
      <w:r>
        <w:rPr/>
        <w:br w:type="column"/>
      </w:r>
      <w:r>
        <w:rPr>
          <w:color w:val="231F20"/>
        </w:rPr>
        <w:t>Chart 3.8 presents a measure of the real exchange rate together with import and export volumes (excluding oil and erratics) since 1980. Export and import volumes </w:t>
      </w:r>
      <w:r>
        <w:rPr>
          <w:color w:val="231F20"/>
          <w:spacing w:val="-3"/>
        </w:rPr>
        <w:t>have </w:t>
      </w:r>
      <w:r>
        <w:rPr>
          <w:color w:val="231F20"/>
        </w:rPr>
        <w:t>risen during the recent appreciation, growing at the same average annual rate of 7.3% between 1995 Q4 and 1997 Q2. Export volumes have, </w:t>
      </w:r>
      <w:r>
        <w:rPr>
          <w:color w:val="231F20"/>
          <w:spacing w:val="-4"/>
        </w:rPr>
        <w:t>however, </w:t>
      </w:r>
      <w:r>
        <w:rPr>
          <w:color w:val="231F20"/>
        </w:rPr>
        <w:t>risen noticeably faster since the start of the year—they grew at an annualised rate of around 15% in the first half of </w:t>
      </w:r>
      <w:r>
        <w:rPr>
          <w:color w:val="231F20"/>
          <w:spacing w:val="-4"/>
        </w:rPr>
        <w:t>1997 </w:t>
      </w:r>
      <w:r>
        <w:rPr>
          <w:color w:val="231F20"/>
        </w:rPr>
        <w:t>compared with around 5% in the second half of</w:t>
      </w:r>
      <w:r>
        <w:rPr>
          <w:color w:val="231F20"/>
          <w:spacing w:val="-2"/>
        </w:rPr>
        <w:t> </w:t>
      </w:r>
      <w:r>
        <w:rPr>
          <w:color w:val="231F20"/>
        </w:rPr>
        <w:t>1996.</w:t>
      </w:r>
    </w:p>
    <w:p>
      <w:pPr>
        <w:spacing w:line="242" w:lineRule="auto" w:before="12"/>
        <w:ind w:left="162" w:right="66" w:firstLine="0"/>
        <w:jc w:val="left"/>
        <w:rPr>
          <w:sz w:val="24"/>
        </w:rPr>
      </w:pPr>
      <w:r>
        <w:rPr>
          <w:color w:val="231F20"/>
          <w:sz w:val="24"/>
        </w:rPr>
        <w:t>The subdued response of trade volumes to the appreciation so far may be due to a number of factors, including fixed short-term contracts, slow adjustment of</w:t>
      </w:r>
    </w:p>
    <w:p>
      <w:pPr>
        <w:spacing w:after="0" w:line="242" w:lineRule="auto"/>
        <w:jc w:val="left"/>
        <w:rPr>
          <w:sz w:val="24"/>
        </w:rPr>
        <w:sectPr>
          <w:type w:val="continuous"/>
          <w:pgSz w:w="11900" w:h="16840"/>
          <w:pgMar w:top="1040" w:bottom="280" w:left="640" w:right="660"/>
          <w:cols w:num="3" w:equalWidth="0">
            <w:col w:w="3356" w:space="57"/>
            <w:col w:w="383" w:space="1004"/>
            <w:col w:w="5800"/>
          </w:cols>
        </w:sectPr>
      </w:pPr>
    </w:p>
    <w:p>
      <w:pPr>
        <w:pStyle w:val="ListParagraph"/>
        <w:numPr>
          <w:ilvl w:val="0"/>
          <w:numId w:val="15"/>
        </w:numPr>
        <w:tabs>
          <w:tab w:pos="403" w:val="left" w:leader="none"/>
        </w:tabs>
        <w:spacing w:line="208" w:lineRule="auto" w:before="11" w:after="0"/>
        <w:ind w:left="402" w:right="432" w:hanging="240"/>
        <w:jc w:val="left"/>
        <w:rPr>
          <w:sz w:val="12"/>
        </w:rPr>
      </w:pPr>
      <w:r>
        <w:rPr>
          <w:color w:val="231F20"/>
          <w:sz w:val="12"/>
        </w:rPr>
        <w:t>Based on relative normalised unit labour costs in the </w:t>
      </w:r>
      <w:r>
        <w:rPr>
          <w:color w:val="231F20"/>
          <w:spacing w:val="-2"/>
          <w:sz w:val="12"/>
        </w:rPr>
        <w:t>manufacturing </w:t>
      </w:r>
      <w:r>
        <w:rPr>
          <w:color w:val="231F20"/>
          <w:sz w:val="12"/>
        </w:rPr>
        <w:t>sector.</w:t>
      </w:r>
    </w:p>
    <w:p>
      <w:pPr>
        <w:pStyle w:val="BodyText"/>
        <w:rPr>
          <w:sz w:val="12"/>
        </w:rPr>
      </w:pPr>
    </w:p>
    <w:p>
      <w:pPr>
        <w:pStyle w:val="BodyText"/>
        <w:rPr>
          <w:sz w:val="12"/>
        </w:rPr>
      </w:pPr>
    </w:p>
    <w:p>
      <w:pPr>
        <w:pStyle w:val="BodyText"/>
        <w:rPr>
          <w:sz w:val="12"/>
        </w:rPr>
      </w:pPr>
    </w:p>
    <w:p>
      <w:pPr>
        <w:pStyle w:val="BodyText"/>
        <w:spacing w:before="3"/>
        <w:rPr>
          <w:sz w:val="13"/>
        </w:rPr>
      </w:pPr>
    </w:p>
    <w:p>
      <w:pPr>
        <w:pStyle w:val="Heading9"/>
        <w:spacing w:before="0"/>
        <w:ind w:left="158"/>
      </w:pPr>
      <w:r>
        <w:rPr>
          <w:color w:val="0093C1"/>
        </w:rPr>
        <w:t>Chart 3.9</w:t>
      </w:r>
    </w:p>
    <w:p>
      <w:pPr>
        <w:spacing w:line="249" w:lineRule="auto" w:before="10"/>
        <w:ind w:left="158" w:right="21" w:firstLine="0"/>
        <w:jc w:val="left"/>
        <w:rPr>
          <w:b/>
          <w:sz w:val="20"/>
        </w:rPr>
      </w:pPr>
      <w:r>
        <w:rPr>
          <w:b/>
          <w:color w:val="0093C1"/>
          <w:sz w:val="20"/>
        </w:rPr>
        <w:t>The real exchange rate, net trade and relative demand</w:t>
      </w:r>
    </w:p>
    <w:p>
      <w:pPr>
        <w:spacing w:before="47"/>
        <w:ind w:left="2945" w:right="298" w:firstLine="0"/>
        <w:jc w:val="center"/>
        <w:rPr>
          <w:sz w:val="12"/>
        </w:rPr>
      </w:pPr>
      <w:r>
        <w:rPr/>
        <w:pict>
          <v:line style="position:absolute;mso-position-horizontal-relative:page;mso-position-vertical-relative:paragraph;z-index:15926272" from="43.419998pt,9.451563pt" to="39.419998pt,9.451563pt" stroked="true" strokeweight=".5pt" strokecolor="#000000">
            <v:stroke dashstyle="solid"/>
            <w10:wrap type="none"/>
          </v:line>
        </w:pict>
      </w:r>
      <w:r>
        <w:rPr>
          <w:sz w:val="12"/>
        </w:rPr>
        <w:t>1990 = 1</w:t>
      </w:r>
      <w:r>
        <w:rPr>
          <w:sz w:val="12"/>
          <w:u w:val="single"/>
        </w:rPr>
        <w:t>00</w:t>
      </w:r>
      <w:r>
        <w:rPr>
          <w:sz w:val="12"/>
        </w:rPr>
        <w:t> </w:t>
      </w:r>
      <w:r>
        <w:rPr>
          <w:spacing w:val="15"/>
          <w:sz w:val="12"/>
        </w:rPr>
        <w:t> </w:t>
      </w:r>
      <w:r>
        <w:rPr>
          <w:position w:val="-3"/>
          <w:sz w:val="12"/>
        </w:rPr>
        <w:t>140</w:t>
      </w:r>
    </w:p>
    <w:p>
      <w:pPr>
        <w:spacing w:before="102"/>
        <w:ind w:left="0" w:right="315" w:firstLine="0"/>
        <w:jc w:val="right"/>
        <w:rPr>
          <w:sz w:val="12"/>
        </w:rPr>
      </w:pPr>
      <w:r>
        <w:rPr/>
        <w:pict>
          <v:group style="position:absolute;margin-left:48.919998pt;margin-top:7.707574pt;width:158.5pt;height:58pt;mso-position-horizontal-relative:page;mso-position-vertical-relative:paragraph;z-index:15922688" coordorigin="978,154" coordsize="3170,1160">
            <v:shape style="position:absolute;left:988;top:164;width:3020;height:1140" coordorigin="988,164" coordsize="3020,1140" path="m988,1264l1028,1084,1068,984,1108,964,1148,724,1188,564,1248,504,1288,384,1328,164,1368,264,1408,444,1448,504,1488,464,1528,504,1568,484,1608,544,1648,844,1688,704,1728,644,1768,664m1768,664l1808,744,1848,804,1908,824,1948,924,1988,1004,2028,784,2068,684,2108,784,2148,944,2188,884,2228,1064,2268,1184,2308,1084,2348,964,2388,964,2428,864,2468,884,2508,784,2568,824m2568,824l2588,764,2648,864,2688,904,2728,964,2768,1084,2848,1044,2888,864,2928,884,2968,824,3008,884,3048,884,3088,904,3128,884,3168,884,3208,924,3248,1204,3308,1244,3348,1184m3348,1184l3388,1144,3428,1144,3468,1184,3508,1204,3548,1204,3588,1164,3628,1244,3668,1304,3708,1284,3748,1304,3788,1304,3868,1224,3928,1044,3968,904,4008,804e" filled="false" stroked="true" strokeweight="1pt" strokecolor="#008256">
              <v:path arrowok="t"/>
              <v:stroke dashstyle="solid"/>
            </v:shape>
            <v:shape style="position:absolute;left:4048;top:204;width:100;height:1000" coordorigin="4048,204" coordsize="100,1000" path="m4148,1204l4048,1204m4148,964l4048,964m4148,704l4048,704m4148,464l4048,464m4148,204l4048,204e" filled="false" stroked="true" strokeweight=".5pt" strokecolor="#000000">
              <v:path arrowok="t"/>
              <v:stroke dashstyle="solid"/>
            </v:shape>
            <v:shape style="position:absolute;left:978;top:154;width:3170;height:1160" type="#_x0000_t202" filled="false" stroked="false">
              <v:textbox inset="0,0,0,0">
                <w:txbxContent>
                  <w:p>
                    <w:pPr>
                      <w:spacing w:line="240" w:lineRule="auto" w:before="3"/>
                      <w:rPr>
                        <w:sz w:val="17"/>
                      </w:rPr>
                    </w:pPr>
                  </w:p>
                  <w:p>
                    <w:pPr>
                      <w:spacing w:line="172" w:lineRule="auto" w:before="0"/>
                      <w:ind w:left="769" w:right="1554" w:hanging="90"/>
                      <w:jc w:val="left"/>
                      <w:rPr>
                        <w:sz w:val="12"/>
                      </w:rPr>
                    </w:pPr>
                    <w:r>
                      <w:rPr>
                        <w:sz w:val="12"/>
                      </w:rPr>
                      <w:t>UK real effective exchange rate (a)</w:t>
                    </w:r>
                  </w:p>
                </w:txbxContent>
              </v:textbox>
              <w10:wrap type="none"/>
            </v:shape>
            <w10:wrap type="none"/>
          </v:group>
        </w:pict>
      </w:r>
      <w:r>
        <w:rPr/>
        <w:pict>
          <v:line style="position:absolute;mso-position-horizontal-relative:page;mso-position-vertical-relative:paragraph;z-index:15925760" from="43.419998pt,10.207575pt" to="39.419998pt,10.207575pt" stroked="true" strokeweight=".5pt" strokecolor="#000000">
            <v:stroke dashstyle="solid"/>
            <w10:wrap type="none"/>
          </v:line>
        </w:pict>
      </w:r>
      <w:r>
        <w:rPr>
          <w:sz w:val="12"/>
        </w:rPr>
        <w:t>130</w:t>
      </w:r>
    </w:p>
    <w:p>
      <w:pPr>
        <w:pStyle w:val="BodyText"/>
        <w:spacing w:before="7"/>
        <w:rPr>
          <w:sz w:val="10"/>
        </w:rPr>
      </w:pPr>
    </w:p>
    <w:p>
      <w:pPr>
        <w:spacing w:before="0"/>
        <w:ind w:left="0" w:right="315" w:firstLine="0"/>
        <w:jc w:val="right"/>
        <w:rPr>
          <w:sz w:val="12"/>
        </w:rPr>
      </w:pPr>
      <w:r>
        <w:rPr/>
        <w:pict>
          <v:line style="position:absolute;mso-position-horizontal-relative:page;mso-position-vertical-relative:paragraph;z-index:15925248" from="43.419998pt,5.105560pt" to="39.419998pt,5.105560pt" stroked="true" strokeweight=".5pt" strokecolor="#000000">
            <v:stroke dashstyle="solid"/>
            <w10:wrap type="none"/>
          </v:line>
        </w:pict>
      </w:r>
      <w:r>
        <w:rPr>
          <w:sz w:val="12"/>
        </w:rPr>
        <w:t>120</w:t>
      </w:r>
    </w:p>
    <w:p>
      <w:pPr>
        <w:spacing w:before="102"/>
        <w:ind w:left="0" w:right="315" w:firstLine="0"/>
        <w:jc w:val="right"/>
        <w:rPr>
          <w:sz w:val="12"/>
        </w:rPr>
      </w:pPr>
      <w:r>
        <w:rPr/>
        <w:pict>
          <v:line style="position:absolute;mso-position-horizontal-relative:page;mso-position-vertical-relative:paragraph;z-index:15924736" from="43.419998pt,10.205561pt" to="39.419998pt,10.205561pt" stroked="true" strokeweight=".5pt" strokecolor="#000000">
            <v:stroke dashstyle="solid"/>
            <w10:wrap type="none"/>
          </v:line>
        </w:pict>
      </w:r>
      <w:r>
        <w:rPr>
          <w:sz w:val="12"/>
        </w:rPr>
        <w:t>110</w:t>
      </w:r>
    </w:p>
    <w:p>
      <w:pPr>
        <w:pStyle w:val="BodyText"/>
        <w:spacing w:before="7"/>
        <w:rPr>
          <w:sz w:val="10"/>
        </w:rPr>
      </w:pPr>
    </w:p>
    <w:p>
      <w:pPr>
        <w:spacing w:before="0"/>
        <w:ind w:left="0" w:right="315" w:firstLine="0"/>
        <w:jc w:val="right"/>
        <w:rPr>
          <w:sz w:val="12"/>
        </w:rPr>
      </w:pPr>
      <w:r>
        <w:rPr/>
        <w:pict>
          <v:line style="position:absolute;mso-position-horizontal-relative:page;mso-position-vertical-relative:paragraph;z-index:15924224" from="43.419998pt,5.103577pt" to="39.419998pt,5.103577pt" stroked="true" strokeweight=".5pt" strokecolor="#000000">
            <v:stroke dashstyle="solid"/>
            <w10:wrap type="none"/>
          </v:line>
        </w:pict>
      </w:r>
      <w:r>
        <w:rPr>
          <w:sz w:val="12"/>
        </w:rPr>
        <w:t>100</w:t>
      </w:r>
    </w:p>
    <w:p>
      <w:pPr>
        <w:spacing w:before="102"/>
        <w:ind w:left="0" w:right="315" w:firstLine="0"/>
        <w:jc w:val="right"/>
        <w:rPr>
          <w:sz w:val="12"/>
        </w:rPr>
      </w:pPr>
      <w:r>
        <w:rPr/>
        <w:pict>
          <v:line style="position:absolute;mso-position-horizontal-relative:page;mso-position-vertical-relative:paragraph;z-index:15923712" from="43.419998pt,10.203577pt" to="39.419998pt,10.203577pt" stroked="true" strokeweight=".5pt" strokecolor="#000000">
            <v:stroke dashstyle="solid"/>
            <w10:wrap type="none"/>
          </v:line>
        </w:pict>
      </w:r>
      <w:r>
        <w:rPr>
          <w:sz w:val="12"/>
        </w:rPr>
        <w:t>90</w:t>
      </w:r>
    </w:p>
    <w:p>
      <w:pPr>
        <w:pStyle w:val="BodyText"/>
        <w:spacing w:before="7"/>
        <w:rPr>
          <w:sz w:val="10"/>
        </w:rPr>
      </w:pPr>
    </w:p>
    <w:p>
      <w:pPr>
        <w:spacing w:before="0"/>
        <w:ind w:left="0" w:right="315" w:firstLine="0"/>
        <w:jc w:val="right"/>
        <w:rPr>
          <w:sz w:val="12"/>
        </w:rPr>
      </w:pPr>
      <w:r>
        <w:rPr/>
        <w:pict>
          <v:line style="position:absolute;mso-position-horizontal-relative:page;mso-position-vertical-relative:paragraph;z-index:15923200" from="207.419998pt,5.101563pt" to="202.419998pt,5.101563pt" stroked="true" strokeweight=".5pt" strokecolor="#000000">
            <v:stroke dashstyle="solid"/>
            <w10:wrap type="none"/>
          </v:line>
        </w:pict>
      </w:r>
      <w:r>
        <w:rPr/>
        <w:pict>
          <v:line style="position:absolute;mso-position-horizontal-relative:page;mso-position-vertical-relative:paragraph;z-index:15926784" from="43.419998pt,5.101563pt" to="39.419998pt,5.101563pt" stroked="true" strokeweight=".5pt" strokecolor="#000000">
            <v:stroke dashstyle="solid"/>
            <w10:wrap type="none"/>
          </v:line>
        </w:pict>
      </w:r>
      <w:r>
        <w:rPr>
          <w:sz w:val="12"/>
        </w:rPr>
        <w:t>80</w:t>
      </w:r>
    </w:p>
    <w:p>
      <w:pPr>
        <w:pStyle w:val="BodyText"/>
        <w:spacing w:before="2"/>
        <w:rPr>
          <w:sz w:val="13"/>
        </w:rPr>
      </w:pPr>
    </w:p>
    <w:p>
      <w:pPr>
        <w:spacing w:line="129" w:lineRule="exact" w:before="0"/>
        <w:ind w:left="2868" w:right="298" w:firstLine="0"/>
        <w:jc w:val="center"/>
        <w:rPr>
          <w:sz w:val="12"/>
        </w:rPr>
      </w:pPr>
      <w:r>
        <w:rPr>
          <w:sz w:val="12"/>
        </w:rPr>
        <w:t>Per cent</w:t>
      </w:r>
    </w:p>
    <w:p>
      <w:pPr>
        <w:spacing w:line="129" w:lineRule="exact" w:before="0"/>
        <w:ind w:left="0" w:right="315" w:firstLine="0"/>
        <w:jc w:val="right"/>
        <w:rPr>
          <w:sz w:val="12"/>
        </w:rPr>
      </w:pPr>
      <w:r>
        <w:rPr/>
        <w:pict>
          <v:line style="position:absolute;mso-position-horizontal-relative:page;mso-position-vertical-relative:paragraph;z-index:15927808" from="207.419998pt,2.151855pt" to="202.419998pt,2.151855pt" stroked="true" strokeweight=".5pt" strokecolor="#000000">
            <v:stroke dashstyle="solid"/>
            <w10:wrap type="none"/>
          </v:line>
        </w:pict>
      </w:r>
      <w:r>
        <w:rPr/>
        <w:pict>
          <v:line style="position:absolute;mso-position-horizontal-relative:page;mso-position-vertical-relative:paragraph;z-index:15930880" from="43.419998pt,2.151855pt" to="39.419998pt,2.151855pt" stroked="true" strokeweight=".5pt" strokecolor="#000000">
            <v:stroke dashstyle="solid"/>
            <w10:wrap type="none"/>
          </v:line>
        </w:pict>
      </w:r>
      <w:r>
        <w:rPr>
          <w:sz w:val="12"/>
        </w:rPr>
        <w:t>5</w:t>
      </w:r>
    </w:p>
    <w:p>
      <w:pPr>
        <w:spacing w:before="2"/>
        <w:ind w:left="0" w:right="315" w:firstLine="0"/>
        <w:jc w:val="right"/>
        <w:rPr>
          <w:sz w:val="12"/>
        </w:rPr>
      </w:pPr>
      <w:r>
        <w:rPr/>
        <w:pict>
          <v:group style="position:absolute;margin-left:48.919998pt;margin-top:.199548pt;width:158.5pt;height:71.75pt;mso-position-horizontal-relative:page;mso-position-vertical-relative:paragraph;z-index:-20810752" coordorigin="978,4" coordsize="3170,1435">
            <v:shape style="position:absolute;left:988;top:14;width:3020;height:1380" coordorigin="988,14" coordsize="3020,1380" path="m988,854l1028,554,1088,554,1128,594,1168,554,1208,494,1248,214,1288,154,1328,14,1368,154,1408,474,1448,394,1488,414,1528,474,1568,434,1608,334,1648,514,1688,594,1748,534,1788,594m1788,594l1828,554,1868,754,1908,754,1948,814,1988,794,2028,434,2108,514,2188,794,2228,914,2268,874,2308,694,2348,854,2408,874,2428,1034,2488,1114,2528,1174,2568,1254m2568,1254l2608,1394,2648,1354,2728,1354,2768,1134,2808,1234,2848,1174,2888,1014,2928,934,2968,934,3008,794,3048,814,3088,854,3148,834,3188,834,3228,874,3268,954,3308,894,3348,874m3348,874l3388,834,3428,854,3468,854,3548,774,3588,854,3628,654,3668,814,3708,834,3768,814,3808,874,3848,774,3888,774,3928,714,3968,694,4008,714e" filled="false" stroked="true" strokeweight="1pt" strokecolor="#ffc40c">
              <v:path arrowok="t"/>
              <v:stroke dashstyle="solid"/>
            </v:shape>
            <v:shape style="position:absolute;left:4048;top:74;width:100;height:1360" coordorigin="4048,74" coordsize="100,1360" path="m4148,834l4048,834m4148,974l4048,974m4148,1134l4048,1134m4148,1274l4048,1274m4148,1434l4048,1434m4148,514l4048,514m4148,374l4048,374m4148,214l4048,214m4148,74l4048,74e" filled="false" stroked="true" strokeweight=".5pt" strokecolor="#000000">
              <v:path arrowok="t"/>
              <v:stroke dashstyle="solid"/>
            </v:shape>
            <w10:wrap type="none"/>
          </v:group>
        </w:pict>
      </w:r>
      <w:r>
        <w:rPr/>
        <w:pict>
          <v:line style="position:absolute;mso-position-horizontal-relative:page;mso-position-vertical-relative:paragraph;z-index:15930368" from="43.419998pt,3.699548pt" to="39.419998pt,3.699548pt" stroked="true" strokeweight=".5pt" strokecolor="#000000">
            <v:stroke dashstyle="solid"/>
            <w10:wrap type="none"/>
          </v:line>
        </w:pict>
      </w:r>
      <w:r>
        <w:rPr>
          <w:sz w:val="12"/>
        </w:rPr>
        <w:t>4</w:t>
      </w:r>
    </w:p>
    <w:p>
      <w:pPr>
        <w:spacing w:before="22"/>
        <w:ind w:left="0" w:right="315" w:firstLine="0"/>
        <w:jc w:val="right"/>
        <w:rPr>
          <w:sz w:val="12"/>
        </w:rPr>
      </w:pPr>
      <w:r>
        <w:rPr/>
        <w:pict>
          <v:line style="position:absolute;mso-position-horizontal-relative:page;mso-position-vertical-relative:paragraph;z-index:15929856" from="43.419998pt,3.701562pt" to="39.419998pt,3.701562pt" stroked="true" strokeweight=".5pt" strokecolor="#000000">
            <v:stroke dashstyle="solid"/>
            <w10:wrap type="none"/>
          </v:line>
        </w:pict>
      </w:r>
      <w:r>
        <w:rPr>
          <w:sz w:val="12"/>
        </w:rPr>
        <w:t>3</w:t>
      </w:r>
    </w:p>
    <w:p>
      <w:pPr>
        <w:spacing w:before="3"/>
        <w:ind w:left="0" w:right="315" w:firstLine="0"/>
        <w:jc w:val="right"/>
        <w:rPr>
          <w:sz w:val="12"/>
        </w:rPr>
      </w:pPr>
      <w:r>
        <w:rPr/>
        <w:pict>
          <v:line style="position:absolute;mso-position-horizontal-relative:page;mso-position-vertical-relative:paragraph;z-index:15929344" from="43.419998pt,3.749548pt" to="39.419998pt,3.749548pt" stroked="true" strokeweight=".5pt" strokecolor="#000000">
            <v:stroke dashstyle="solid"/>
            <w10:wrap type="none"/>
          </v:line>
        </w:pict>
      </w:r>
      <w:r>
        <w:rPr>
          <w:sz w:val="12"/>
        </w:rPr>
        <w:t>2</w:t>
      </w:r>
    </w:p>
    <w:p>
      <w:pPr>
        <w:pStyle w:val="BodyText"/>
        <w:spacing w:before="11"/>
        <w:rPr>
          <w:sz w:val="5"/>
        </w:rPr>
      </w:pPr>
    </w:p>
    <w:p>
      <w:pPr>
        <w:pStyle w:val="BodyText"/>
        <w:spacing w:line="20" w:lineRule="exact"/>
        <w:ind w:left="143"/>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Heading5"/>
        <w:spacing w:line="242" w:lineRule="auto"/>
        <w:ind w:left="158" w:right="146"/>
      </w:pPr>
      <w:r>
        <w:rPr/>
        <w:br w:type="column"/>
      </w:r>
      <w:r>
        <w:rPr>
          <w:color w:val="231F20"/>
        </w:rPr>
        <w:t>relative prices, and perceptions that recent exchange rate movements have been partly temporary. Foreign exporters, in particular, may have used the appreciation to achieve a sustained increase in margins, limiting</w:t>
      </w:r>
    </w:p>
    <w:p>
      <w:pPr>
        <w:spacing w:line="242" w:lineRule="auto" w:before="0"/>
        <w:ind w:left="158" w:right="126" w:firstLine="0"/>
        <w:jc w:val="left"/>
        <w:rPr>
          <w:sz w:val="24"/>
        </w:rPr>
      </w:pPr>
      <w:r>
        <w:rPr>
          <w:color w:val="231F20"/>
          <w:sz w:val="24"/>
        </w:rPr>
        <w:t>pass-through to import prices and lengthening the adjustment process. The Agents’ Summary of Business Conditions also reports that UK exporters of manufactured goods are continuing to reduce margins in order to retain market share.</w:t>
      </w:r>
      <w:r>
        <w:rPr>
          <w:color w:val="231F20"/>
          <w:position w:val="5"/>
          <w:sz w:val="16"/>
        </w:rPr>
        <w:t>(1) </w:t>
      </w:r>
      <w:r>
        <w:rPr>
          <w:color w:val="231F20"/>
          <w:sz w:val="24"/>
        </w:rPr>
        <w:t>As the relatively high value of sterling has persisted since the last </w:t>
      </w:r>
      <w:r>
        <w:rPr>
          <w:i/>
          <w:color w:val="231F20"/>
          <w:sz w:val="24"/>
        </w:rPr>
        <w:t>Report</w:t>
      </w:r>
      <w:r>
        <w:rPr>
          <w:color w:val="231F20"/>
          <w:sz w:val="24"/>
        </w:rPr>
        <w:t>, some of these delaying factors may star</w:t>
      </w:r>
      <w:hyperlink w:history="true" w:anchor="_bookmark33">
        <w:r>
          <w:rPr>
            <w:color w:val="231F20"/>
            <w:sz w:val="24"/>
          </w:rPr>
          <w:t>t to unwind. Section 5</w:t>
        </w:r>
      </w:hyperlink>
      <w:r>
        <w:rPr>
          <w:color w:val="231F20"/>
          <w:sz w:val="24"/>
        </w:rPr>
        <w:t> examines recent developments in exchange rate</w:t>
      </w:r>
    </w:p>
    <w:p>
      <w:pPr>
        <w:spacing w:before="4"/>
        <w:ind w:left="159" w:right="0" w:firstLine="0"/>
        <w:jc w:val="left"/>
        <w:rPr>
          <w:sz w:val="24"/>
        </w:rPr>
      </w:pPr>
      <w:r>
        <w:rPr>
          <w:color w:val="231F20"/>
          <w:sz w:val="24"/>
        </w:rPr>
        <w:t>pass-through.</w:t>
      </w:r>
    </w:p>
    <w:p>
      <w:pPr>
        <w:pStyle w:val="BodyText"/>
        <w:spacing w:before="2"/>
        <w:rPr>
          <w:sz w:val="28"/>
        </w:rPr>
      </w:pPr>
    </w:p>
    <w:p>
      <w:pPr>
        <w:spacing w:line="189" w:lineRule="exact" w:before="0"/>
        <w:ind w:left="159" w:right="0" w:firstLine="0"/>
        <w:jc w:val="left"/>
        <w:rPr>
          <w:sz w:val="24"/>
        </w:rPr>
      </w:pPr>
      <w:r>
        <w:rPr>
          <w:color w:val="231F20"/>
          <w:sz w:val="24"/>
        </w:rPr>
        <w:t>Broadly speaking, the more price elastic import and</w:t>
      </w:r>
    </w:p>
    <w:p>
      <w:pPr>
        <w:spacing w:after="0" w:line="189" w:lineRule="exact"/>
        <w:jc w:val="left"/>
        <w:rPr>
          <w:sz w:val="24"/>
        </w:rPr>
        <w:sectPr>
          <w:type w:val="continuous"/>
          <w:pgSz w:w="11900" w:h="16840"/>
          <w:pgMar w:top="1040" w:bottom="280" w:left="640" w:right="660"/>
          <w:cols w:num="2" w:equalWidth="0">
            <w:col w:w="4087" w:space="717"/>
            <w:col w:w="5796"/>
          </w:cols>
        </w:sectPr>
      </w:pPr>
    </w:p>
    <w:p>
      <w:pPr>
        <w:tabs>
          <w:tab w:pos="3508" w:val="left" w:leader="none"/>
        </w:tabs>
        <w:spacing w:line="40" w:lineRule="exact" w:before="0"/>
        <w:ind w:left="348" w:right="0" w:firstLine="0"/>
        <w:jc w:val="left"/>
        <w:rPr>
          <w:sz w:val="16"/>
        </w:rPr>
      </w:pPr>
      <w:r>
        <w:rPr/>
        <w:pict>
          <v:shape style="position:absolute;margin-left:39.419998pt;margin-top:7.266447pt;width:4pt;height:.1pt;mso-position-horizontal-relative:page;mso-position-vertical-relative:paragraph;z-index:-15541760;mso-wrap-distance-left:0;mso-wrap-distance-right:0" coordorigin="788,145" coordsize="80,0" path="m868,145l788,145e" filled="false" stroked="true" strokeweight=".5pt" strokecolor="#000000">
            <v:path arrowok="t"/>
            <v:stroke dashstyle="solid"/>
            <w10:wrap type="topAndBottom"/>
          </v:shape>
        </w:pict>
      </w:r>
      <w:r>
        <w:rPr>
          <w:sz w:val="16"/>
          <w:u w:val="single"/>
        </w:rPr>
        <w:t> </w:t>
        <w:tab/>
      </w:r>
      <w:r>
        <w:rPr>
          <w:sz w:val="16"/>
        </w:rPr>
        <w:t>+</w:t>
      </w:r>
      <w:r>
        <w:rPr>
          <w:spacing w:val="18"/>
          <w:sz w:val="16"/>
        </w:rPr>
        <w:t> </w:t>
      </w:r>
      <w:r>
        <w:rPr>
          <w:sz w:val="16"/>
          <w:vertAlign w:val="superscript"/>
        </w:rPr>
        <w:t>1</w:t>
      </w:r>
    </w:p>
    <w:p>
      <w:pPr>
        <w:spacing w:after="0" w:line="40" w:lineRule="exact"/>
        <w:jc w:val="left"/>
        <w:rPr>
          <w:sz w:val="16"/>
        </w:rPr>
        <w:sectPr>
          <w:type w:val="continuous"/>
          <w:pgSz w:w="11900" w:h="16840"/>
          <w:pgMar w:top="1040" w:bottom="280" w:left="640" w:right="660"/>
        </w:sectPr>
      </w:pPr>
    </w:p>
    <w:p>
      <w:pPr>
        <w:pStyle w:val="BodyText"/>
        <w:spacing w:before="6"/>
        <w:rPr>
          <w:sz w:val="10"/>
        </w:rPr>
      </w:pPr>
    </w:p>
    <w:p>
      <w:pPr>
        <w:pStyle w:val="BodyText"/>
        <w:spacing w:line="20" w:lineRule="exact"/>
        <w:ind w:left="143"/>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spacing w:line="208" w:lineRule="auto" w:before="57"/>
        <w:ind w:left="578" w:right="21" w:hanging="81"/>
        <w:jc w:val="left"/>
        <w:rPr>
          <w:sz w:val="12"/>
        </w:rPr>
      </w:pPr>
      <w:r>
        <w:rPr/>
        <w:pict>
          <v:line style="position:absolute;mso-position-horizontal-relative:page;mso-position-vertical-relative:paragraph;z-index:15928320" from="43.419998pt,6.225374pt" to="39.419998pt,6.225374pt" stroked="true" strokeweight=".5pt" strokecolor="#000000">
            <v:stroke dashstyle="solid"/>
            <w10:wrap type="none"/>
          </v:line>
        </w:pict>
      </w:r>
      <w:r>
        <w:rPr/>
        <w:pict>
          <v:line style="position:absolute;mso-position-horizontal-relative:page;mso-position-vertical-relative:paragraph;z-index:15928832" from="43.419998pt,14.225373pt" to="39.419998pt,14.225373pt" stroked="true" strokeweight=".5pt" strokecolor="#000000">
            <v:stroke dashstyle="solid"/>
            <w10:wrap type="none"/>
          </v:line>
        </w:pict>
      </w:r>
      <w:r>
        <w:rPr>
          <w:sz w:val="12"/>
        </w:rPr>
        <w:t>Overall trade balance in goods and services as a percentage of GDP (b)</w:t>
      </w:r>
    </w:p>
    <w:p>
      <w:pPr>
        <w:pStyle w:val="BodyText"/>
        <w:spacing w:line="20" w:lineRule="exact"/>
        <w:ind w:left="143"/>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9"/>
        </w:rPr>
      </w:pPr>
      <w:r>
        <w:rPr/>
        <w:pict>
          <v:shape style="position:absolute;margin-left:39.419998pt;margin-top:7.392529pt;width:4pt;height:.1pt;mso-position-horizontal-relative:page;mso-position-vertical-relative:paragraph;z-index:-15540224;mso-wrap-distance-left:0;mso-wrap-distance-right:0" coordorigin="788,148" coordsize="80,0" path="m868,148l788,148e" filled="false" stroked="true" strokeweight=".5pt" strokecolor="#000000">
            <v:path arrowok="t"/>
            <v:stroke dashstyle="solid"/>
            <w10:wrap type="topAndBottom"/>
          </v:shape>
        </w:pict>
      </w:r>
    </w:p>
    <w:p>
      <w:pPr>
        <w:pStyle w:val="Heading5"/>
        <w:tabs>
          <w:tab w:pos="1943" w:val="left" w:leader="none"/>
        </w:tabs>
        <w:spacing w:line="126" w:lineRule="exact"/>
        <w:ind w:left="498"/>
      </w:pPr>
      <w:r>
        <w:rPr/>
        <w:br w:type="column"/>
      </w:r>
      <w:r>
        <w:rPr>
          <w:position w:val="3"/>
          <w:sz w:val="16"/>
        </w:rPr>
        <w:t>_ </w:t>
      </w:r>
      <w:r>
        <w:rPr>
          <w:spacing w:val="30"/>
          <w:position w:val="3"/>
          <w:sz w:val="16"/>
        </w:rPr>
        <w:t> </w:t>
      </w:r>
      <w:r>
        <w:rPr>
          <w:position w:val="7"/>
          <w:sz w:val="12"/>
        </w:rPr>
        <w:t>0</w:t>
        <w:tab/>
      </w:r>
      <w:r>
        <w:rPr>
          <w:color w:val="231F20"/>
        </w:rPr>
        <w:t>export demand are, the more the trade balance</w:t>
      </w:r>
      <w:r>
        <w:rPr>
          <w:color w:val="231F20"/>
          <w:spacing w:val="-3"/>
        </w:rPr>
        <w:t> </w:t>
      </w:r>
      <w:r>
        <w:rPr>
          <w:color w:val="231F20"/>
        </w:rPr>
        <w:t>will</w:t>
      </w:r>
    </w:p>
    <w:p>
      <w:pPr>
        <w:tabs>
          <w:tab w:pos="1943" w:val="left" w:leader="none"/>
        </w:tabs>
        <w:spacing w:before="4"/>
        <w:ind w:left="688" w:right="0" w:firstLine="0"/>
        <w:jc w:val="left"/>
        <w:rPr>
          <w:sz w:val="24"/>
        </w:rPr>
      </w:pPr>
      <w:r>
        <w:rPr/>
        <w:pict>
          <v:shape style="position:absolute;margin-left:217.421997pt;margin-top:-3.357556pt;width:3pt;height:6.65pt;mso-position-horizontal-relative:page;mso-position-vertical-relative:paragraph;z-index:-20801536" type="#_x0000_t202" filled="false" stroked="false">
            <v:textbox inset="0,0,0,0">
              <w:txbxContent>
                <w:p>
                  <w:pPr>
                    <w:spacing w:line="133" w:lineRule="exact" w:before="0"/>
                    <w:ind w:left="0" w:right="0" w:firstLine="0"/>
                    <w:jc w:val="left"/>
                    <w:rPr>
                      <w:sz w:val="12"/>
                    </w:rPr>
                  </w:pPr>
                  <w:r>
                    <w:rPr>
                      <w:sz w:val="12"/>
                    </w:rPr>
                    <w:t>1</w:t>
                  </w:r>
                </w:p>
              </w:txbxContent>
            </v:textbox>
            <w10:wrap type="none"/>
          </v:shape>
        </w:pict>
      </w:r>
      <w:r>
        <w:rPr/>
        <w:pict>
          <v:shape style="position:absolute;margin-left:217.421997pt;margin-top:11.642444pt;width:3pt;height:6.65pt;mso-position-horizontal-relative:page;mso-position-vertical-relative:paragraph;z-index:-20801024" type="#_x0000_t202" filled="false" stroked="false">
            <v:textbox inset="0,0,0,0">
              <w:txbxContent>
                <w:p>
                  <w:pPr>
                    <w:spacing w:line="133" w:lineRule="exact" w:before="0"/>
                    <w:ind w:left="0" w:right="0" w:firstLine="0"/>
                    <w:jc w:val="left"/>
                    <w:rPr>
                      <w:sz w:val="12"/>
                    </w:rPr>
                  </w:pPr>
                  <w:r>
                    <w:rPr>
                      <w:sz w:val="12"/>
                    </w:rPr>
                    <w:t>3</w:t>
                  </w:r>
                </w:p>
              </w:txbxContent>
            </v:textbox>
            <w10:wrap type="none"/>
          </v:shape>
        </w:pict>
      </w:r>
      <w:r>
        <w:rPr>
          <w:position w:val="5"/>
          <w:sz w:val="12"/>
        </w:rPr>
        <w:t>2</w:t>
        <w:tab/>
      </w:r>
      <w:r>
        <w:rPr>
          <w:color w:val="231F20"/>
          <w:sz w:val="24"/>
        </w:rPr>
        <w:t>respond to exchange rate changes. There are,</w:t>
      </w:r>
      <w:r>
        <w:rPr>
          <w:color w:val="231F20"/>
          <w:spacing w:val="-2"/>
          <w:sz w:val="24"/>
        </w:rPr>
        <w:t> </w:t>
      </w:r>
      <w:r>
        <w:rPr>
          <w:color w:val="231F20"/>
          <w:spacing w:val="-4"/>
          <w:sz w:val="24"/>
        </w:rPr>
        <w:t>however,</w:t>
      </w:r>
    </w:p>
    <w:p>
      <w:pPr>
        <w:tabs>
          <w:tab w:pos="1943" w:val="left" w:leader="none"/>
        </w:tabs>
        <w:spacing w:line="259" w:lineRule="exact" w:before="4"/>
        <w:ind w:left="688" w:right="0" w:firstLine="0"/>
        <w:jc w:val="left"/>
        <w:rPr>
          <w:sz w:val="24"/>
        </w:rPr>
      </w:pPr>
      <w:r>
        <w:rPr>
          <w:position w:val="3"/>
          <w:sz w:val="12"/>
        </w:rPr>
        <w:t>4</w:t>
        <w:tab/>
      </w:r>
      <w:r>
        <w:rPr>
          <w:color w:val="231F20"/>
          <w:sz w:val="24"/>
        </w:rPr>
        <w:t>no theoretical reasons to expect an appreciation to </w:t>
      </w:r>
      <w:r>
        <w:rPr>
          <w:color w:val="231F20"/>
          <w:spacing w:val="-3"/>
          <w:sz w:val="24"/>
        </w:rPr>
        <w:t>have</w:t>
      </w:r>
      <w:r>
        <w:rPr>
          <w:color w:val="231F20"/>
          <w:spacing w:val="-4"/>
          <w:sz w:val="24"/>
        </w:rPr>
        <w:t> </w:t>
      </w:r>
      <w:r>
        <w:rPr>
          <w:color w:val="231F20"/>
          <w:sz w:val="24"/>
        </w:rPr>
        <w:t>a</w:t>
      </w:r>
    </w:p>
    <w:p>
      <w:pPr>
        <w:tabs>
          <w:tab w:pos="1942" w:val="left" w:leader="none"/>
        </w:tabs>
        <w:spacing w:line="220" w:lineRule="exact" w:before="0"/>
        <w:ind w:left="688" w:right="0" w:firstLine="0"/>
        <w:jc w:val="left"/>
        <w:rPr>
          <w:sz w:val="24"/>
        </w:rPr>
      </w:pPr>
      <w:r>
        <w:rPr>
          <w:position w:val="15"/>
          <w:sz w:val="12"/>
        </w:rPr>
        <w:t>5</w:t>
        <w:tab/>
      </w:r>
      <w:r>
        <w:rPr>
          <w:color w:val="231F20"/>
          <w:sz w:val="24"/>
        </w:rPr>
        <w:t>particular effect on the trade balance. The trade</w:t>
      </w:r>
      <w:r>
        <w:rPr>
          <w:color w:val="231F20"/>
          <w:spacing w:val="-7"/>
          <w:sz w:val="24"/>
        </w:rPr>
        <w:t> </w:t>
      </w:r>
      <w:r>
        <w:rPr>
          <w:color w:val="231F20"/>
          <w:sz w:val="24"/>
        </w:rPr>
        <w:t>balance</w:t>
      </w:r>
    </w:p>
    <w:p>
      <w:pPr>
        <w:spacing w:after="0" w:line="220" w:lineRule="exact"/>
        <w:jc w:val="left"/>
        <w:rPr>
          <w:sz w:val="24"/>
        </w:rPr>
        <w:sectPr>
          <w:type w:val="continuous"/>
          <w:pgSz w:w="11900" w:h="16840"/>
          <w:pgMar w:top="1040" w:bottom="280" w:left="640" w:right="660"/>
          <w:cols w:num="2" w:equalWidth="0">
            <w:col w:w="1739" w:space="1281"/>
            <w:col w:w="7580"/>
          </w:cols>
        </w:sectPr>
      </w:pPr>
    </w:p>
    <w:p>
      <w:pPr>
        <w:spacing w:line="228" w:lineRule="auto" w:before="0"/>
        <w:ind w:left="0" w:right="38" w:firstLine="0"/>
        <w:jc w:val="right"/>
        <w:rPr>
          <w:sz w:val="12"/>
        </w:rPr>
      </w:pPr>
      <w:r>
        <w:rPr/>
        <w:pict>
          <v:group style="position:absolute;margin-left:48.919998pt;margin-top:9.5375pt;width:158.5pt;height:74.1pt;mso-position-horizontal-relative:page;mso-position-vertical-relative:paragraph;z-index:15931904" coordorigin="978,191" coordsize="3170,1482">
            <v:shape style="position:absolute;left:988;top:200;width:3020;height:1400" coordorigin="988,201" coordsize="3020,1400" path="m988,701l1028,541,1068,701,1108,721,1148,901,1188,941,1228,921,1288,1281,1328,1421,1368,1341,1408,1221,1448,1221,1488,1041,1528,1021,1568,1041,1608,1001,1648,721,1688,801,1728,861,1768,861m1768,861l1808,1001,1848,1021,1908,1161,1948,1021,1988,961,2028,1081,2068,1161,2108,1121,2148,1021,2188,961,2228,921,2268,861,2308,921,2348,781,2388,661,2428,661,2468,501,2508,481,2568,381m2548,381l2588,201,2648,361,2688,361,2728,441,2768,661,2808,661,2848,701,2888,861,2928,981,2968,1241,3008,1461,3048,1501,3088,1461,3128,1601,3168,1581,3208,1501,3248,1561,3308,1401,3348,1461m3348,1461l3388,1401,3428,1401,3468,1381,3508,1401,3588,1321,3628,1461,3668,1321,3708,1361,3748,1361,3788,1321,3828,1401,3868,1381,3908,1321,3968,1361,4008,1181e" filled="false" stroked="true" strokeweight="1pt" strokecolor="#0066a5">
              <v:path arrowok="t"/>
              <v:stroke dashstyle="solid"/>
            </v:shape>
            <v:shape style="position:absolute;left:995;top:380;width:3154;height:1287" coordorigin="995,381" coordsize="3154,1287" path="m995,1667l4025,1667m995,1667l995,1627m1155,1667l1155,1627m1335,1667l1335,1627m1495,1667l1495,1627m1655,1667l1655,1627m1815,1667l1815,1627m1995,1667l1995,1627m2155,1667l2155,1627m2315,1667l2315,1627m2475,1667l2475,1627m2655,1667l2655,1627m2815,1667l2815,1627m2975,1667l2975,1627m3135,1667l3135,1627m3295,1667l3295,1627m3475,1667l3475,1627m3635,1667l3635,1627m3795,1667l3795,1627m3955,1667l3955,1627m1155,1667l1155,1607m1995,1667l1995,1607m2815,1667l2815,1607m3635,1667l3635,1607m4148,1021l4048,1021m4148,1241l4048,1241m4148,1461l4048,1461m4148,1661l4048,1661m4148,801l4048,801m4148,601l4048,601m4148,381l4048,381e" filled="false" stroked="true" strokeweight=".5pt" strokecolor="#000000">
              <v:path arrowok="t"/>
              <v:stroke dashstyle="solid"/>
            </v:shape>
            <v:shape style="position:absolute;left:978;top:190;width:3170;height:1482" type="#_x0000_t202" filled="false" stroked="false">
              <v:textbox inset="0,0,0,0">
                <w:txbxContent>
                  <w:p>
                    <w:pPr>
                      <w:spacing w:line="240" w:lineRule="auto" w:before="7"/>
                      <w:rPr>
                        <w:sz w:val="10"/>
                      </w:rPr>
                    </w:pPr>
                  </w:p>
                  <w:p>
                    <w:pPr>
                      <w:spacing w:line="208" w:lineRule="auto" w:before="0"/>
                      <w:ind w:left="510" w:right="1644" w:hanging="51"/>
                      <w:jc w:val="left"/>
                      <w:rPr>
                        <w:sz w:val="12"/>
                      </w:rPr>
                    </w:pPr>
                    <w:r>
                      <w:rPr>
                        <w:sz w:val="12"/>
                      </w:rPr>
                      <w:t>UK domestic demand relative to overseas demand (c)</w:t>
                    </w:r>
                  </w:p>
                </w:txbxContent>
              </v:textbox>
              <w10:wrap type="none"/>
            </v:shape>
            <w10:wrap type="none"/>
          </v:group>
        </w:pict>
      </w:r>
      <w:r>
        <w:rPr/>
        <w:pict>
          <v:line style="position:absolute;mso-position-horizontal-relative:page;mso-position-vertical-relative:paragraph;z-index:15936000" from="43.419998pt,8.0375pt" to="39.419998pt,8.0375pt" stroked="true" strokeweight=".5pt" strokecolor="#000000">
            <v:stroke dashstyle="solid"/>
            <w10:wrap type="none"/>
          </v:line>
        </w:pict>
      </w:r>
      <w:r>
        <w:rPr>
          <w:sz w:val="12"/>
        </w:rPr>
        <w:t>1990 = 1</w:t>
      </w:r>
      <w:r>
        <w:rPr>
          <w:sz w:val="12"/>
          <w:u w:val="single"/>
        </w:rPr>
        <w:t>00</w:t>
      </w:r>
      <w:r>
        <w:rPr>
          <w:sz w:val="12"/>
        </w:rPr>
        <w:t> </w:t>
      </w:r>
      <w:r>
        <w:rPr>
          <w:spacing w:val="15"/>
          <w:sz w:val="12"/>
        </w:rPr>
        <w:t> </w:t>
      </w:r>
      <w:r>
        <w:rPr>
          <w:position w:val="-7"/>
          <w:sz w:val="12"/>
        </w:rPr>
        <w:t>106</w:t>
      </w:r>
    </w:p>
    <w:p>
      <w:pPr>
        <w:spacing w:before="82"/>
        <w:ind w:left="3588" w:right="0" w:firstLine="0"/>
        <w:jc w:val="left"/>
        <w:rPr>
          <w:sz w:val="12"/>
        </w:rPr>
      </w:pPr>
      <w:r>
        <w:rPr/>
        <w:pict>
          <v:line style="position:absolute;mso-position-horizontal-relative:page;mso-position-vertical-relative:paragraph;z-index:15935488" from="43.419998pt,8.205561pt" to="39.419998pt,8.205561pt" stroked="true" strokeweight=".5pt" strokecolor="#000000">
            <v:stroke dashstyle="solid"/>
            <w10:wrap type="none"/>
          </v:line>
        </w:pict>
      </w:r>
      <w:r>
        <w:rPr>
          <w:sz w:val="12"/>
        </w:rPr>
        <w:t>104</w:t>
      </w:r>
    </w:p>
    <w:p>
      <w:pPr>
        <w:spacing w:before="82"/>
        <w:ind w:left="3588" w:right="0" w:firstLine="0"/>
        <w:jc w:val="left"/>
        <w:rPr>
          <w:sz w:val="12"/>
        </w:rPr>
      </w:pPr>
      <w:r>
        <w:rPr/>
        <w:pict>
          <v:line style="position:absolute;mso-position-horizontal-relative:page;mso-position-vertical-relative:paragraph;z-index:15934976" from="43.419998pt,8.207560pt" to="39.419998pt,8.207560pt" stroked="true" strokeweight=".5pt" strokecolor="#000000">
            <v:stroke dashstyle="solid"/>
            <w10:wrap type="none"/>
          </v:line>
        </w:pict>
      </w:r>
      <w:r>
        <w:rPr>
          <w:sz w:val="12"/>
        </w:rPr>
        <w:t>102</w:t>
      </w:r>
    </w:p>
    <w:p>
      <w:pPr>
        <w:spacing w:before="62"/>
        <w:ind w:left="3588" w:right="0" w:firstLine="0"/>
        <w:jc w:val="left"/>
        <w:rPr>
          <w:sz w:val="12"/>
        </w:rPr>
      </w:pPr>
      <w:r>
        <w:rPr/>
        <w:pict>
          <v:line style="position:absolute;mso-position-horizontal-relative:page;mso-position-vertical-relative:paragraph;z-index:15934464" from="43.419998pt,7.20556pt" to="39.419998pt,7.20556pt" stroked="true" strokeweight=".5pt" strokecolor="#000000">
            <v:stroke dashstyle="solid"/>
            <w10:wrap type="none"/>
          </v:line>
        </w:pict>
      </w:r>
      <w:r>
        <w:rPr>
          <w:sz w:val="12"/>
        </w:rPr>
        <w:t>100</w:t>
      </w:r>
    </w:p>
    <w:p>
      <w:pPr>
        <w:spacing w:before="82"/>
        <w:ind w:left="3648" w:right="0" w:firstLine="0"/>
        <w:jc w:val="left"/>
        <w:rPr>
          <w:sz w:val="12"/>
        </w:rPr>
      </w:pPr>
      <w:r>
        <w:rPr/>
        <w:pict>
          <v:line style="position:absolute;mso-position-horizontal-relative:page;mso-position-vertical-relative:paragraph;z-index:15932416" from="43.419998pt,8.201563pt" to="39.419998pt,8.201563pt" stroked="true" strokeweight=".5pt" strokecolor="#000000">
            <v:stroke dashstyle="solid"/>
            <w10:wrap type="none"/>
          </v:line>
        </w:pict>
      </w:r>
      <w:r>
        <w:rPr>
          <w:sz w:val="12"/>
        </w:rPr>
        <w:t>98</w:t>
      </w:r>
    </w:p>
    <w:p>
      <w:pPr>
        <w:spacing w:before="82"/>
        <w:ind w:left="3648" w:right="0" w:firstLine="0"/>
        <w:jc w:val="left"/>
        <w:rPr>
          <w:sz w:val="12"/>
        </w:rPr>
      </w:pPr>
      <w:r>
        <w:rPr/>
        <w:pict>
          <v:line style="position:absolute;mso-position-horizontal-relative:page;mso-position-vertical-relative:paragraph;z-index:15932928" from="43.419998pt,8.203562pt" to="39.419998pt,8.203562pt" stroked="true" strokeweight=".5pt" strokecolor="#000000">
            <v:stroke dashstyle="solid"/>
            <w10:wrap type="none"/>
          </v:line>
        </w:pict>
      </w:r>
      <w:r>
        <w:rPr>
          <w:sz w:val="12"/>
        </w:rPr>
        <w:t>96</w:t>
      </w:r>
    </w:p>
    <w:p>
      <w:pPr>
        <w:spacing w:before="62"/>
        <w:ind w:left="3648" w:right="0" w:firstLine="0"/>
        <w:jc w:val="left"/>
        <w:rPr>
          <w:sz w:val="12"/>
        </w:rPr>
      </w:pPr>
      <w:r>
        <w:rPr/>
        <w:pict>
          <v:line style="position:absolute;mso-position-horizontal-relative:page;mso-position-vertical-relative:paragraph;z-index:15933440" from="43.419998pt,8.201563pt" to="39.419998pt,8.201563pt" stroked="true" strokeweight=".5pt" strokecolor="#000000">
            <v:stroke dashstyle="solid"/>
            <w10:wrap type="none"/>
          </v:line>
        </w:pict>
      </w:r>
      <w:r>
        <w:rPr>
          <w:sz w:val="12"/>
        </w:rPr>
        <w:t>94</w:t>
      </w:r>
    </w:p>
    <w:p>
      <w:pPr>
        <w:spacing w:line="122" w:lineRule="exact" w:before="82"/>
        <w:ind w:left="3648" w:right="0" w:firstLine="0"/>
        <w:jc w:val="left"/>
        <w:rPr>
          <w:sz w:val="12"/>
        </w:rPr>
      </w:pPr>
      <w:r>
        <w:rPr/>
        <w:pict>
          <v:line style="position:absolute;mso-position-horizontal-relative:page;mso-position-vertical-relative:paragraph;z-index:15933952" from="43.752998pt,8.536561pt" to="39.752998pt,8.536561pt" stroked="true" strokeweight=".5pt" strokecolor="#000000">
            <v:stroke dashstyle="solid"/>
            <w10:wrap type="none"/>
          </v:line>
        </w:pict>
      </w:r>
      <w:r>
        <w:rPr>
          <w:sz w:val="12"/>
        </w:rPr>
        <w:t>92</w:t>
      </w:r>
    </w:p>
    <w:p>
      <w:pPr>
        <w:tabs>
          <w:tab w:pos="1364" w:val="left" w:leader="none"/>
          <w:tab w:pos="2204" w:val="left" w:leader="none"/>
          <w:tab w:pos="3024" w:val="left" w:leader="none"/>
        </w:tabs>
        <w:spacing w:line="122" w:lineRule="exact" w:before="0"/>
        <w:ind w:left="255" w:right="0" w:firstLine="0"/>
        <w:jc w:val="left"/>
        <w:rPr>
          <w:sz w:val="12"/>
        </w:rPr>
      </w:pPr>
      <w:r>
        <w:rPr>
          <w:sz w:val="12"/>
        </w:rPr>
        <w:t>1979</w:t>
      </w:r>
      <w:r>
        <w:rPr>
          <w:spacing w:val="20"/>
          <w:sz w:val="12"/>
        </w:rPr>
        <w:t> </w:t>
      </w:r>
      <w:r>
        <w:rPr>
          <w:sz w:val="12"/>
        </w:rPr>
        <w:t>80</w:t>
        <w:tab/>
        <w:t>85</w:t>
        <w:tab/>
        <w:t>90</w:t>
        <w:tab/>
        <w:t>95</w:t>
      </w:r>
    </w:p>
    <w:p>
      <w:pPr>
        <w:pStyle w:val="BodyText"/>
        <w:spacing w:before="7"/>
        <w:rPr>
          <w:sz w:val="11"/>
        </w:rPr>
      </w:pPr>
    </w:p>
    <w:p>
      <w:pPr>
        <w:pStyle w:val="ListParagraph"/>
        <w:numPr>
          <w:ilvl w:val="0"/>
          <w:numId w:val="19"/>
        </w:numPr>
        <w:tabs>
          <w:tab w:pos="399" w:val="left" w:leader="none"/>
        </w:tabs>
        <w:spacing w:line="208" w:lineRule="auto" w:before="1" w:after="0"/>
        <w:ind w:left="398" w:right="158" w:hanging="240"/>
        <w:jc w:val="left"/>
        <w:rPr>
          <w:sz w:val="12"/>
        </w:rPr>
      </w:pPr>
      <w:r>
        <w:rPr>
          <w:color w:val="231F20"/>
          <w:sz w:val="12"/>
        </w:rPr>
        <w:t>Based on relative normalised unit labour costs in the </w:t>
      </w:r>
      <w:r>
        <w:rPr>
          <w:color w:val="231F20"/>
          <w:spacing w:val="-2"/>
          <w:sz w:val="12"/>
        </w:rPr>
        <w:t>manufacturing </w:t>
      </w:r>
      <w:r>
        <w:rPr>
          <w:color w:val="231F20"/>
          <w:sz w:val="12"/>
        </w:rPr>
        <w:t>sector.</w:t>
      </w:r>
    </w:p>
    <w:p>
      <w:pPr>
        <w:pStyle w:val="ListParagraph"/>
        <w:numPr>
          <w:ilvl w:val="0"/>
          <w:numId w:val="19"/>
        </w:numPr>
        <w:tabs>
          <w:tab w:pos="399" w:val="left" w:leader="none"/>
        </w:tabs>
        <w:spacing w:line="114" w:lineRule="exact" w:before="0" w:after="0"/>
        <w:ind w:left="398" w:right="0" w:hanging="241"/>
        <w:jc w:val="left"/>
        <w:rPr>
          <w:sz w:val="12"/>
        </w:rPr>
      </w:pPr>
      <w:r>
        <w:rPr>
          <w:color w:val="231F20"/>
          <w:sz w:val="12"/>
        </w:rPr>
        <w:t>GDP at market prices.</w:t>
      </w:r>
    </w:p>
    <w:p>
      <w:pPr>
        <w:pStyle w:val="ListParagraph"/>
        <w:numPr>
          <w:ilvl w:val="0"/>
          <w:numId w:val="19"/>
        </w:numPr>
        <w:tabs>
          <w:tab w:pos="399" w:val="left" w:leader="none"/>
        </w:tabs>
        <w:spacing w:line="208" w:lineRule="auto" w:before="5" w:after="0"/>
        <w:ind w:left="398" w:right="358" w:hanging="240"/>
        <w:jc w:val="left"/>
        <w:rPr>
          <w:sz w:val="12"/>
        </w:rPr>
      </w:pPr>
      <w:r>
        <w:rPr>
          <w:color w:val="231F20"/>
          <w:sz w:val="12"/>
        </w:rPr>
        <w:t>Overseas domestic demand proxied by demand in the major </w:t>
      </w:r>
      <w:r>
        <w:rPr>
          <w:color w:val="231F20"/>
          <w:spacing w:val="-6"/>
          <w:sz w:val="12"/>
        </w:rPr>
        <w:t>six </w:t>
      </w:r>
      <w:r>
        <w:rPr>
          <w:color w:val="231F20"/>
          <w:sz w:val="12"/>
        </w:rPr>
        <w:t>overseas economies weighted by GDP.</w:t>
      </w:r>
    </w:p>
    <w:p>
      <w:pPr>
        <w:pStyle w:val="Heading5"/>
        <w:spacing w:line="242" w:lineRule="auto" w:before="81"/>
        <w:ind w:left="158" w:right="163"/>
      </w:pPr>
      <w:r>
        <w:rPr/>
        <w:br w:type="column"/>
      </w:r>
      <w:r>
        <w:rPr>
          <w:color w:val="231F20"/>
        </w:rPr>
        <w:t>is not determined solely by the exchange rate—it </w:t>
      </w:r>
      <w:r>
        <w:rPr>
          <w:color w:val="231F20"/>
          <w:spacing w:val="-3"/>
        </w:rPr>
        <w:t>reflects </w:t>
      </w:r>
      <w:r>
        <w:rPr>
          <w:color w:val="231F20"/>
        </w:rPr>
        <w:t>world trade and domestic demand as well as relative prices. As Chart 3.9 illustrates, though the sharp appreciation during 1979–80 led to a subsequent deterioration in the trade balance, it coincided with a marked decline in relative domestic demand. In the late 1980s, a sharp rise in relative domestic demand accounted for much of the trade deterioration: though the exchange rate also appreciated during the period, it may </w:t>
      </w:r>
      <w:r>
        <w:rPr>
          <w:color w:val="231F20"/>
          <w:spacing w:val="-3"/>
        </w:rPr>
        <w:t>have </w:t>
      </w:r>
      <w:r>
        <w:rPr>
          <w:color w:val="231F20"/>
        </w:rPr>
        <w:t>been of secondary</w:t>
      </w:r>
      <w:r>
        <w:rPr>
          <w:color w:val="231F20"/>
          <w:spacing w:val="3"/>
        </w:rPr>
        <w:t> </w:t>
      </w:r>
      <w:r>
        <w:rPr>
          <w:color w:val="231F20"/>
        </w:rPr>
        <w:t>importance.</w:t>
      </w:r>
    </w:p>
    <w:p>
      <w:pPr>
        <w:spacing w:after="0" w:line="242" w:lineRule="auto"/>
        <w:sectPr>
          <w:type w:val="continuous"/>
          <w:pgSz w:w="11900" w:h="16840"/>
          <w:pgMar w:top="1040" w:bottom="280" w:left="640" w:right="660"/>
          <w:cols w:num="2" w:equalWidth="0">
            <w:col w:w="3809" w:space="995"/>
            <w:col w:w="5796"/>
          </w:cols>
        </w:sectPr>
      </w:pPr>
    </w:p>
    <w:p>
      <w:pPr>
        <w:pStyle w:val="BodyText"/>
        <w:spacing w:before="5"/>
        <w:rPr>
          <w:sz w:val="21"/>
        </w:rPr>
      </w:pPr>
    </w:p>
    <w:p>
      <w:pPr>
        <w:pStyle w:val="BodyText"/>
        <w:spacing w:line="20" w:lineRule="exact"/>
        <w:ind w:left="4920"/>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1"/>
          <w:numId w:val="19"/>
        </w:numPr>
        <w:tabs>
          <w:tab w:pos="5204" w:val="left" w:leader="none"/>
        </w:tabs>
        <w:spacing w:line="208" w:lineRule="auto" w:before="4" w:after="0"/>
        <w:ind w:left="5203" w:right="778" w:hanging="240"/>
        <w:jc w:val="left"/>
        <w:rPr>
          <w:sz w:val="16"/>
        </w:rPr>
      </w:pPr>
      <w:r>
        <w:rPr>
          <w:color w:val="231F20"/>
          <w:sz w:val="16"/>
        </w:rPr>
        <w:t>An article in the November </w:t>
      </w:r>
      <w:r>
        <w:rPr>
          <w:i/>
          <w:color w:val="231F20"/>
          <w:sz w:val="16"/>
        </w:rPr>
        <w:t>Quarterly Bulletin </w:t>
      </w:r>
      <w:r>
        <w:rPr>
          <w:color w:val="231F20"/>
          <w:sz w:val="16"/>
        </w:rPr>
        <w:t>describes the work of </w:t>
      </w:r>
      <w:r>
        <w:rPr>
          <w:color w:val="231F20"/>
          <w:spacing w:val="-5"/>
          <w:sz w:val="16"/>
        </w:rPr>
        <w:t>the </w:t>
      </w:r>
      <w:r>
        <w:rPr>
          <w:color w:val="231F20"/>
          <w:sz w:val="16"/>
        </w:rPr>
        <w:t>Bank’s Agencies in more detail.</w:t>
      </w:r>
    </w:p>
    <w:p>
      <w:pPr>
        <w:spacing w:after="0" w:line="208" w:lineRule="auto"/>
        <w:jc w:val="left"/>
        <w:rPr>
          <w:sz w:val="16"/>
        </w:rPr>
        <w:sectPr>
          <w:type w:val="continuous"/>
          <w:pgSz w:w="11900" w:h="16840"/>
          <w:pgMar w:top="1040" w:bottom="280" w:left="640" w:right="660"/>
        </w:sectPr>
      </w:pPr>
    </w:p>
    <w:p>
      <w:pPr>
        <w:pStyle w:val="BodyText"/>
        <w:rPr>
          <w:sz w:val="20"/>
        </w:rPr>
      </w:pPr>
    </w:p>
    <w:p>
      <w:pPr>
        <w:spacing w:after="0"/>
        <w:rPr>
          <w:sz w:val="20"/>
        </w:rPr>
        <w:sectPr>
          <w:pgSz w:w="11900" w:h="16840"/>
          <w:pgMar w:header="586" w:footer="617" w:top="780" w:bottom="800" w:left="640" w:right="6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pPr>
    </w:p>
    <w:p>
      <w:pPr>
        <w:pStyle w:val="Heading9"/>
        <w:spacing w:before="0"/>
      </w:pPr>
      <w:bookmarkStart w:name="Output" w:id="54"/>
      <w:bookmarkEnd w:id="54"/>
      <w:r>
        <w:rPr>
          <w:b w:val="0"/>
        </w:rPr>
      </w:r>
      <w:bookmarkStart w:name="_bookmark25" w:id="55"/>
      <w:bookmarkEnd w:id="55"/>
      <w:r>
        <w:rPr>
          <w:b w:val="0"/>
        </w:rPr>
      </w:r>
      <w:r>
        <w:rPr>
          <w:color w:val="0093C1"/>
        </w:rPr>
        <w:t>Table 3.C</w:t>
      </w:r>
    </w:p>
    <w:p>
      <w:pPr>
        <w:spacing w:line="249" w:lineRule="auto" w:before="10"/>
        <w:ind w:left="180" w:right="137" w:firstLine="0"/>
        <w:jc w:val="left"/>
        <w:rPr>
          <w:sz w:val="12"/>
        </w:rPr>
      </w:pPr>
      <w:r>
        <w:rPr>
          <w:b/>
          <w:color w:val="0093C1"/>
          <w:sz w:val="20"/>
        </w:rPr>
        <w:t>Estimated geographical contributions to export volume growth 1996 Q2–1997 Q2</w:t>
      </w:r>
      <w:r>
        <w:rPr>
          <w:color w:val="231F20"/>
          <w:position w:val="4"/>
          <w:sz w:val="12"/>
        </w:rPr>
        <w:t>(a)</w:t>
      </w:r>
    </w:p>
    <w:p>
      <w:pPr>
        <w:tabs>
          <w:tab w:pos="4069" w:val="right" w:leader="none"/>
        </w:tabs>
        <w:spacing w:line="150" w:lineRule="exact" w:before="97"/>
        <w:ind w:left="1550" w:right="0" w:firstLine="0"/>
        <w:jc w:val="left"/>
        <w:rPr>
          <w:sz w:val="14"/>
        </w:rPr>
      </w:pPr>
      <w:r>
        <w:rPr>
          <w:color w:val="231F20"/>
          <w:sz w:val="14"/>
        </w:rPr>
        <w:t>Contribution</w:t>
      </w:r>
      <w:r>
        <w:rPr>
          <w:color w:val="231F20"/>
          <w:spacing w:val="19"/>
          <w:sz w:val="14"/>
        </w:rPr>
        <w:t> </w:t>
      </w:r>
      <w:r>
        <w:rPr>
          <w:color w:val="231F20"/>
          <w:sz w:val="14"/>
        </w:rPr>
        <w:t>Percentage change</w:t>
        <w:tab/>
        <w:t>1996</w:t>
      </w:r>
    </w:p>
    <w:p>
      <w:pPr>
        <w:tabs>
          <w:tab w:pos="2459" w:val="left" w:leader="none"/>
          <w:tab w:pos="3789" w:val="left" w:leader="none"/>
        </w:tabs>
        <w:spacing w:line="208" w:lineRule="auto" w:before="7"/>
        <w:ind w:left="1550" w:right="142" w:firstLine="0"/>
        <w:jc w:val="left"/>
        <w:rPr>
          <w:sz w:val="14"/>
        </w:rPr>
      </w:pPr>
      <w:r>
        <w:rPr>
          <w:color w:val="231F20"/>
          <w:sz w:val="14"/>
        </w:rPr>
        <w:t>(percentage</w:t>
        <w:tab/>
        <w:t>in bilateral exchange export points)</w:t>
        <w:tab/>
        <w:t>rate</w:t>
      </w:r>
      <w:r>
        <w:rPr>
          <w:color w:val="231F20"/>
          <w:spacing w:val="-1"/>
          <w:sz w:val="14"/>
        </w:rPr>
        <w:t> </w:t>
      </w:r>
      <w:r>
        <w:rPr>
          <w:color w:val="231F20"/>
          <w:sz w:val="12"/>
        </w:rPr>
        <w:t>(b)</w:t>
        <w:tab/>
      </w:r>
      <w:r>
        <w:rPr>
          <w:color w:val="231F20"/>
          <w:spacing w:val="-3"/>
          <w:sz w:val="14"/>
        </w:rPr>
        <w:t>weights</w:t>
      </w:r>
    </w:p>
    <w:p>
      <w:pPr>
        <w:tabs>
          <w:tab w:pos="3654" w:val="left" w:leader="none"/>
        </w:tabs>
        <w:spacing w:line="144" w:lineRule="exact" w:before="0"/>
        <w:ind w:left="2465" w:right="0" w:firstLine="0"/>
        <w:jc w:val="left"/>
        <w:rPr>
          <w:sz w:val="14"/>
        </w:rPr>
      </w:pPr>
      <w:r>
        <w:rPr>
          <w:color w:val="231F20"/>
          <w:sz w:val="14"/>
          <w:u w:val="single" w:color="231F20"/>
        </w:rPr>
        <w:t> </w:t>
        <w:tab/>
      </w:r>
      <w:r>
        <w:rPr>
          <w:color w:val="231F20"/>
          <w:sz w:val="14"/>
        </w:rPr>
        <w:t>   </w:t>
      </w:r>
      <w:r>
        <w:rPr>
          <w:color w:val="231F20"/>
          <w:spacing w:val="-5"/>
          <w:sz w:val="14"/>
        </w:rPr>
        <w:t> </w:t>
      </w:r>
      <w:r>
        <w:rPr>
          <w:color w:val="231F20"/>
          <w:sz w:val="14"/>
          <w:u w:val="single" w:color="231F20"/>
        </w:rPr>
        <w:t>(per cent)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700"/>
        <w:gridCol w:w="845"/>
        <w:gridCol w:w="479"/>
        <w:gridCol w:w="581"/>
      </w:tblGrid>
      <w:tr>
        <w:trPr>
          <w:trHeight w:val="270" w:hRule="atLeast"/>
        </w:trPr>
        <w:tc>
          <w:tcPr>
            <w:tcW w:w="1445" w:type="dxa"/>
          </w:tcPr>
          <w:p>
            <w:pPr>
              <w:pStyle w:val="TableParagraph"/>
              <w:spacing w:line="133" w:lineRule="exact" w:before="116"/>
              <w:ind w:left="50"/>
              <w:rPr>
                <w:sz w:val="14"/>
              </w:rPr>
            </w:pPr>
            <w:r>
              <w:rPr>
                <w:color w:val="231F20"/>
                <w:sz w:val="14"/>
              </w:rPr>
              <w:t>United States</w:t>
            </w:r>
          </w:p>
        </w:tc>
        <w:tc>
          <w:tcPr>
            <w:tcW w:w="700" w:type="dxa"/>
            <w:tcBorders>
              <w:top w:val="single" w:sz="2" w:space="0" w:color="231F20"/>
            </w:tcBorders>
          </w:tcPr>
          <w:p>
            <w:pPr>
              <w:pStyle w:val="TableParagraph"/>
              <w:spacing w:line="133" w:lineRule="exact" w:before="116"/>
              <w:ind w:left="183" w:right="138"/>
              <w:jc w:val="center"/>
              <w:rPr>
                <w:sz w:val="14"/>
              </w:rPr>
            </w:pPr>
            <w:r>
              <w:rPr>
                <w:color w:val="231F20"/>
                <w:sz w:val="14"/>
              </w:rPr>
              <w:t>1.34</w:t>
            </w:r>
          </w:p>
        </w:tc>
        <w:tc>
          <w:tcPr>
            <w:tcW w:w="845" w:type="dxa"/>
          </w:tcPr>
          <w:p>
            <w:pPr>
              <w:pStyle w:val="TableParagraph"/>
              <w:spacing w:line="133" w:lineRule="exact" w:before="116"/>
              <w:ind w:right="58"/>
              <w:jc w:val="right"/>
              <w:rPr>
                <w:sz w:val="14"/>
              </w:rPr>
            </w:pPr>
            <w:r>
              <w:rPr>
                <w:color w:val="231F20"/>
                <w:sz w:val="14"/>
              </w:rPr>
              <w:t>7.4</w:t>
            </w:r>
          </w:p>
        </w:tc>
        <w:tc>
          <w:tcPr>
            <w:tcW w:w="1060" w:type="dxa"/>
            <w:gridSpan w:val="2"/>
          </w:tcPr>
          <w:p>
            <w:pPr>
              <w:pStyle w:val="TableParagraph"/>
              <w:spacing w:line="133" w:lineRule="exact" w:before="116"/>
              <w:ind w:right="48"/>
              <w:jc w:val="right"/>
              <w:rPr>
                <w:sz w:val="14"/>
              </w:rPr>
            </w:pPr>
            <w:r>
              <w:rPr>
                <w:color w:val="231F20"/>
                <w:sz w:val="14"/>
              </w:rPr>
              <w:t>11.9</w:t>
            </w:r>
          </w:p>
        </w:tc>
      </w:tr>
      <w:tr>
        <w:trPr>
          <w:trHeight w:val="140" w:hRule="atLeast"/>
        </w:trPr>
        <w:tc>
          <w:tcPr>
            <w:tcW w:w="1445" w:type="dxa"/>
          </w:tcPr>
          <w:p>
            <w:pPr>
              <w:pStyle w:val="TableParagraph"/>
              <w:spacing w:line="120" w:lineRule="exact"/>
              <w:ind w:left="50"/>
              <w:rPr>
                <w:sz w:val="14"/>
              </w:rPr>
            </w:pPr>
            <w:r>
              <w:rPr>
                <w:color w:val="231F20"/>
                <w:sz w:val="14"/>
              </w:rPr>
              <w:t>Netherlands</w:t>
            </w:r>
          </w:p>
        </w:tc>
        <w:tc>
          <w:tcPr>
            <w:tcW w:w="700" w:type="dxa"/>
          </w:tcPr>
          <w:p>
            <w:pPr>
              <w:pStyle w:val="TableParagraph"/>
              <w:spacing w:line="120" w:lineRule="exact"/>
              <w:ind w:left="183" w:right="138"/>
              <w:jc w:val="center"/>
              <w:rPr>
                <w:sz w:val="14"/>
              </w:rPr>
            </w:pPr>
            <w:r>
              <w:rPr>
                <w:color w:val="231F20"/>
                <w:sz w:val="14"/>
              </w:rPr>
              <w:t>0.69</w:t>
            </w:r>
          </w:p>
        </w:tc>
        <w:tc>
          <w:tcPr>
            <w:tcW w:w="845" w:type="dxa"/>
          </w:tcPr>
          <w:p>
            <w:pPr>
              <w:pStyle w:val="TableParagraph"/>
              <w:spacing w:line="120" w:lineRule="exact"/>
              <w:ind w:right="58"/>
              <w:jc w:val="right"/>
              <w:rPr>
                <w:sz w:val="14"/>
              </w:rPr>
            </w:pPr>
            <w:r>
              <w:rPr>
                <w:color w:val="231F20"/>
                <w:sz w:val="14"/>
              </w:rPr>
              <w:t>21.5</w:t>
            </w:r>
          </w:p>
        </w:tc>
        <w:tc>
          <w:tcPr>
            <w:tcW w:w="1060" w:type="dxa"/>
            <w:gridSpan w:val="2"/>
          </w:tcPr>
          <w:p>
            <w:pPr>
              <w:pStyle w:val="TableParagraph"/>
              <w:spacing w:line="120" w:lineRule="exact"/>
              <w:ind w:right="48"/>
              <w:jc w:val="right"/>
              <w:rPr>
                <w:sz w:val="14"/>
              </w:rPr>
            </w:pPr>
            <w:r>
              <w:rPr>
                <w:color w:val="231F20"/>
                <w:sz w:val="14"/>
              </w:rPr>
              <w:t>8.0</w:t>
            </w:r>
          </w:p>
        </w:tc>
      </w:tr>
      <w:tr>
        <w:trPr>
          <w:trHeight w:val="140" w:hRule="atLeast"/>
        </w:trPr>
        <w:tc>
          <w:tcPr>
            <w:tcW w:w="1445" w:type="dxa"/>
          </w:tcPr>
          <w:p>
            <w:pPr>
              <w:pStyle w:val="TableParagraph"/>
              <w:spacing w:line="120" w:lineRule="exact"/>
              <w:ind w:left="50"/>
              <w:rPr>
                <w:sz w:val="14"/>
              </w:rPr>
            </w:pPr>
            <w:r>
              <w:rPr>
                <w:color w:val="231F20"/>
                <w:sz w:val="14"/>
              </w:rPr>
              <w:t>Spain</w:t>
            </w:r>
          </w:p>
        </w:tc>
        <w:tc>
          <w:tcPr>
            <w:tcW w:w="700" w:type="dxa"/>
          </w:tcPr>
          <w:p>
            <w:pPr>
              <w:pStyle w:val="TableParagraph"/>
              <w:spacing w:line="120" w:lineRule="exact"/>
              <w:ind w:left="183" w:right="138"/>
              <w:jc w:val="center"/>
              <w:rPr>
                <w:sz w:val="14"/>
              </w:rPr>
            </w:pPr>
            <w:r>
              <w:rPr>
                <w:color w:val="231F20"/>
                <w:sz w:val="14"/>
              </w:rPr>
              <w:t>0.36</w:t>
            </w:r>
          </w:p>
        </w:tc>
        <w:tc>
          <w:tcPr>
            <w:tcW w:w="845" w:type="dxa"/>
          </w:tcPr>
          <w:p>
            <w:pPr>
              <w:pStyle w:val="TableParagraph"/>
              <w:spacing w:line="120" w:lineRule="exact"/>
              <w:ind w:right="58"/>
              <w:jc w:val="right"/>
              <w:rPr>
                <w:sz w:val="14"/>
              </w:rPr>
            </w:pPr>
            <w:r>
              <w:rPr>
                <w:color w:val="231F20"/>
                <w:sz w:val="14"/>
              </w:rPr>
              <w:t>21.9</w:t>
            </w:r>
          </w:p>
        </w:tc>
        <w:tc>
          <w:tcPr>
            <w:tcW w:w="1060" w:type="dxa"/>
            <w:gridSpan w:val="2"/>
          </w:tcPr>
          <w:p>
            <w:pPr>
              <w:pStyle w:val="TableParagraph"/>
              <w:spacing w:line="120" w:lineRule="exact"/>
              <w:ind w:right="48"/>
              <w:jc w:val="right"/>
              <w:rPr>
                <w:sz w:val="14"/>
              </w:rPr>
            </w:pPr>
            <w:r>
              <w:rPr>
                <w:color w:val="231F20"/>
                <w:sz w:val="14"/>
              </w:rPr>
              <w:t>4.0</w:t>
            </w:r>
          </w:p>
        </w:tc>
      </w:tr>
      <w:tr>
        <w:trPr>
          <w:trHeight w:val="140" w:hRule="atLeast"/>
        </w:trPr>
        <w:tc>
          <w:tcPr>
            <w:tcW w:w="1445" w:type="dxa"/>
          </w:tcPr>
          <w:p>
            <w:pPr>
              <w:pStyle w:val="TableParagraph"/>
              <w:spacing w:line="120" w:lineRule="exact"/>
              <w:ind w:left="50"/>
              <w:rPr>
                <w:sz w:val="14"/>
              </w:rPr>
            </w:pPr>
            <w:r>
              <w:rPr>
                <w:color w:val="231F20"/>
                <w:sz w:val="14"/>
              </w:rPr>
              <w:t>Italy</w:t>
            </w:r>
          </w:p>
        </w:tc>
        <w:tc>
          <w:tcPr>
            <w:tcW w:w="700" w:type="dxa"/>
          </w:tcPr>
          <w:p>
            <w:pPr>
              <w:pStyle w:val="TableParagraph"/>
              <w:spacing w:line="120" w:lineRule="exact"/>
              <w:ind w:left="183" w:right="138"/>
              <w:jc w:val="center"/>
              <w:rPr>
                <w:sz w:val="14"/>
              </w:rPr>
            </w:pPr>
            <w:r>
              <w:rPr>
                <w:color w:val="231F20"/>
                <w:sz w:val="14"/>
              </w:rPr>
              <w:t>0.31</w:t>
            </w:r>
          </w:p>
        </w:tc>
        <w:tc>
          <w:tcPr>
            <w:tcW w:w="845" w:type="dxa"/>
          </w:tcPr>
          <w:p>
            <w:pPr>
              <w:pStyle w:val="TableParagraph"/>
              <w:spacing w:line="120" w:lineRule="exact"/>
              <w:ind w:right="58"/>
              <w:jc w:val="right"/>
              <w:rPr>
                <w:sz w:val="14"/>
              </w:rPr>
            </w:pPr>
            <w:r>
              <w:rPr>
                <w:color w:val="231F20"/>
                <w:sz w:val="14"/>
              </w:rPr>
              <w:t>16.7</w:t>
            </w:r>
          </w:p>
        </w:tc>
        <w:tc>
          <w:tcPr>
            <w:tcW w:w="1060" w:type="dxa"/>
            <w:gridSpan w:val="2"/>
          </w:tcPr>
          <w:p>
            <w:pPr>
              <w:pStyle w:val="TableParagraph"/>
              <w:spacing w:line="120" w:lineRule="exact"/>
              <w:ind w:right="48"/>
              <w:jc w:val="right"/>
              <w:rPr>
                <w:sz w:val="14"/>
              </w:rPr>
            </w:pPr>
            <w:r>
              <w:rPr>
                <w:color w:val="231F20"/>
                <w:sz w:val="14"/>
              </w:rPr>
              <w:t>4.8</w:t>
            </w:r>
          </w:p>
        </w:tc>
      </w:tr>
      <w:tr>
        <w:trPr>
          <w:trHeight w:val="140" w:hRule="atLeast"/>
        </w:trPr>
        <w:tc>
          <w:tcPr>
            <w:tcW w:w="1445" w:type="dxa"/>
          </w:tcPr>
          <w:p>
            <w:pPr>
              <w:pStyle w:val="TableParagraph"/>
              <w:spacing w:line="120" w:lineRule="exact"/>
              <w:ind w:left="50"/>
              <w:rPr>
                <w:sz w:val="14"/>
              </w:rPr>
            </w:pPr>
            <w:r>
              <w:rPr>
                <w:color w:val="231F20"/>
                <w:sz w:val="14"/>
              </w:rPr>
              <w:t>Ireland</w:t>
            </w:r>
          </w:p>
        </w:tc>
        <w:tc>
          <w:tcPr>
            <w:tcW w:w="700" w:type="dxa"/>
          </w:tcPr>
          <w:p>
            <w:pPr>
              <w:pStyle w:val="TableParagraph"/>
              <w:spacing w:line="120" w:lineRule="exact"/>
              <w:ind w:left="183" w:right="138"/>
              <w:jc w:val="center"/>
              <w:rPr>
                <w:sz w:val="14"/>
              </w:rPr>
            </w:pPr>
            <w:r>
              <w:rPr>
                <w:color w:val="231F20"/>
                <w:sz w:val="14"/>
              </w:rPr>
              <w:t>0.30</w:t>
            </w:r>
          </w:p>
        </w:tc>
        <w:tc>
          <w:tcPr>
            <w:tcW w:w="845" w:type="dxa"/>
          </w:tcPr>
          <w:p>
            <w:pPr>
              <w:pStyle w:val="TableParagraph"/>
              <w:spacing w:line="120" w:lineRule="exact"/>
              <w:ind w:right="58"/>
              <w:jc w:val="right"/>
              <w:rPr>
                <w:sz w:val="14"/>
              </w:rPr>
            </w:pPr>
            <w:r>
              <w:rPr>
                <w:color w:val="231F20"/>
                <w:sz w:val="14"/>
              </w:rPr>
              <w:t>10.6</w:t>
            </w:r>
          </w:p>
        </w:tc>
        <w:tc>
          <w:tcPr>
            <w:tcW w:w="1060" w:type="dxa"/>
            <w:gridSpan w:val="2"/>
          </w:tcPr>
          <w:p>
            <w:pPr>
              <w:pStyle w:val="TableParagraph"/>
              <w:spacing w:line="120" w:lineRule="exact"/>
              <w:ind w:right="48"/>
              <w:jc w:val="right"/>
              <w:rPr>
                <w:sz w:val="14"/>
              </w:rPr>
            </w:pPr>
            <w:r>
              <w:rPr>
                <w:color w:val="231F20"/>
                <w:sz w:val="14"/>
              </w:rPr>
              <w:t>5.1</w:t>
            </w:r>
          </w:p>
        </w:tc>
      </w:tr>
      <w:tr>
        <w:trPr>
          <w:trHeight w:val="140" w:hRule="atLeast"/>
        </w:trPr>
        <w:tc>
          <w:tcPr>
            <w:tcW w:w="1445" w:type="dxa"/>
          </w:tcPr>
          <w:p>
            <w:pPr>
              <w:pStyle w:val="TableParagraph"/>
              <w:spacing w:line="120" w:lineRule="exact"/>
              <w:ind w:left="50"/>
              <w:rPr>
                <w:sz w:val="14"/>
              </w:rPr>
            </w:pPr>
            <w:r>
              <w:rPr>
                <w:color w:val="231F20"/>
                <w:sz w:val="14"/>
              </w:rPr>
              <w:t>Hong Kong</w:t>
            </w:r>
          </w:p>
        </w:tc>
        <w:tc>
          <w:tcPr>
            <w:tcW w:w="700" w:type="dxa"/>
          </w:tcPr>
          <w:p>
            <w:pPr>
              <w:pStyle w:val="TableParagraph"/>
              <w:spacing w:line="120" w:lineRule="exact"/>
              <w:ind w:left="183" w:right="138"/>
              <w:jc w:val="center"/>
              <w:rPr>
                <w:sz w:val="14"/>
              </w:rPr>
            </w:pPr>
            <w:r>
              <w:rPr>
                <w:color w:val="231F20"/>
                <w:sz w:val="14"/>
              </w:rPr>
              <w:t>0.28</w:t>
            </w:r>
          </w:p>
        </w:tc>
        <w:tc>
          <w:tcPr>
            <w:tcW w:w="845" w:type="dxa"/>
          </w:tcPr>
          <w:p>
            <w:pPr>
              <w:pStyle w:val="TableParagraph"/>
              <w:spacing w:line="120" w:lineRule="exact"/>
              <w:ind w:right="58"/>
              <w:jc w:val="right"/>
              <w:rPr>
                <w:sz w:val="14"/>
              </w:rPr>
            </w:pPr>
            <w:r>
              <w:rPr>
                <w:color w:val="231F20"/>
                <w:sz w:val="14"/>
              </w:rPr>
              <w:t>7.5</w:t>
            </w:r>
          </w:p>
        </w:tc>
        <w:tc>
          <w:tcPr>
            <w:tcW w:w="1060" w:type="dxa"/>
            <w:gridSpan w:val="2"/>
          </w:tcPr>
          <w:p>
            <w:pPr>
              <w:pStyle w:val="TableParagraph"/>
              <w:spacing w:line="120" w:lineRule="exact"/>
              <w:ind w:right="48"/>
              <w:jc w:val="right"/>
              <w:rPr>
                <w:sz w:val="14"/>
              </w:rPr>
            </w:pPr>
            <w:r>
              <w:rPr>
                <w:color w:val="231F20"/>
                <w:sz w:val="14"/>
              </w:rPr>
              <w:t>1.8</w:t>
            </w:r>
          </w:p>
        </w:tc>
      </w:tr>
      <w:tr>
        <w:trPr>
          <w:trHeight w:val="140" w:hRule="atLeast"/>
        </w:trPr>
        <w:tc>
          <w:tcPr>
            <w:tcW w:w="1445" w:type="dxa"/>
          </w:tcPr>
          <w:p>
            <w:pPr>
              <w:pStyle w:val="TableParagraph"/>
              <w:spacing w:line="120" w:lineRule="exact"/>
              <w:ind w:left="50"/>
              <w:rPr>
                <w:sz w:val="14"/>
              </w:rPr>
            </w:pPr>
            <w:r>
              <w:rPr>
                <w:color w:val="231F20"/>
                <w:sz w:val="14"/>
              </w:rPr>
              <w:t>China</w:t>
            </w:r>
          </w:p>
        </w:tc>
        <w:tc>
          <w:tcPr>
            <w:tcW w:w="700" w:type="dxa"/>
          </w:tcPr>
          <w:p>
            <w:pPr>
              <w:pStyle w:val="TableParagraph"/>
              <w:spacing w:line="120" w:lineRule="exact"/>
              <w:ind w:left="183" w:right="138"/>
              <w:jc w:val="center"/>
              <w:rPr>
                <w:sz w:val="14"/>
              </w:rPr>
            </w:pPr>
            <w:r>
              <w:rPr>
                <w:color w:val="231F20"/>
                <w:sz w:val="14"/>
              </w:rPr>
              <w:t>0.17</w:t>
            </w:r>
          </w:p>
        </w:tc>
        <w:tc>
          <w:tcPr>
            <w:tcW w:w="845" w:type="dxa"/>
          </w:tcPr>
          <w:p>
            <w:pPr>
              <w:pStyle w:val="TableParagraph"/>
              <w:spacing w:line="120" w:lineRule="exact"/>
              <w:ind w:right="58"/>
              <w:jc w:val="right"/>
              <w:rPr>
                <w:sz w:val="14"/>
              </w:rPr>
            </w:pPr>
            <w:r>
              <w:rPr>
                <w:color w:val="231F20"/>
                <w:sz w:val="14"/>
              </w:rPr>
              <w:t>6.9</w:t>
            </w:r>
          </w:p>
        </w:tc>
        <w:tc>
          <w:tcPr>
            <w:tcW w:w="1060" w:type="dxa"/>
            <w:gridSpan w:val="2"/>
          </w:tcPr>
          <w:p>
            <w:pPr>
              <w:pStyle w:val="TableParagraph"/>
              <w:spacing w:line="120" w:lineRule="exact"/>
              <w:ind w:right="48"/>
              <w:jc w:val="right"/>
              <w:rPr>
                <w:sz w:val="14"/>
              </w:rPr>
            </w:pPr>
            <w:r>
              <w:rPr>
                <w:color w:val="231F20"/>
                <w:sz w:val="14"/>
              </w:rPr>
              <w:t>0.4</w:t>
            </w:r>
          </w:p>
        </w:tc>
      </w:tr>
      <w:tr>
        <w:trPr>
          <w:trHeight w:val="140" w:hRule="atLeast"/>
        </w:trPr>
        <w:tc>
          <w:tcPr>
            <w:tcW w:w="1445" w:type="dxa"/>
          </w:tcPr>
          <w:p>
            <w:pPr>
              <w:pStyle w:val="TableParagraph"/>
              <w:spacing w:line="120" w:lineRule="exact"/>
              <w:ind w:left="50"/>
              <w:rPr>
                <w:sz w:val="14"/>
              </w:rPr>
            </w:pPr>
            <w:r>
              <w:rPr>
                <w:color w:val="231F20"/>
                <w:sz w:val="14"/>
              </w:rPr>
              <w:t>Singapore</w:t>
            </w:r>
          </w:p>
        </w:tc>
        <w:tc>
          <w:tcPr>
            <w:tcW w:w="700" w:type="dxa"/>
          </w:tcPr>
          <w:p>
            <w:pPr>
              <w:pStyle w:val="TableParagraph"/>
              <w:spacing w:line="120" w:lineRule="exact"/>
              <w:ind w:left="183" w:right="138"/>
              <w:jc w:val="center"/>
              <w:rPr>
                <w:sz w:val="14"/>
              </w:rPr>
            </w:pPr>
            <w:r>
              <w:rPr>
                <w:color w:val="231F20"/>
                <w:sz w:val="14"/>
              </w:rPr>
              <w:t>0.14</w:t>
            </w:r>
          </w:p>
        </w:tc>
        <w:tc>
          <w:tcPr>
            <w:tcW w:w="845" w:type="dxa"/>
          </w:tcPr>
          <w:p>
            <w:pPr>
              <w:pStyle w:val="TableParagraph"/>
              <w:spacing w:line="120" w:lineRule="exact"/>
              <w:ind w:right="58"/>
              <w:jc w:val="right"/>
              <w:rPr>
                <w:sz w:val="14"/>
              </w:rPr>
            </w:pPr>
            <w:r>
              <w:rPr>
                <w:color w:val="231F20"/>
                <w:sz w:val="14"/>
              </w:rPr>
              <w:t>9.4</w:t>
            </w:r>
          </w:p>
        </w:tc>
        <w:tc>
          <w:tcPr>
            <w:tcW w:w="1060" w:type="dxa"/>
            <w:gridSpan w:val="2"/>
          </w:tcPr>
          <w:p>
            <w:pPr>
              <w:pStyle w:val="TableParagraph"/>
              <w:spacing w:line="120" w:lineRule="exact"/>
              <w:ind w:right="48"/>
              <w:jc w:val="right"/>
              <w:rPr>
                <w:sz w:val="14"/>
              </w:rPr>
            </w:pPr>
            <w:r>
              <w:rPr>
                <w:color w:val="231F20"/>
                <w:sz w:val="14"/>
              </w:rPr>
              <w:t>1.3</w:t>
            </w:r>
          </w:p>
        </w:tc>
      </w:tr>
      <w:tr>
        <w:trPr>
          <w:trHeight w:val="140" w:hRule="atLeast"/>
        </w:trPr>
        <w:tc>
          <w:tcPr>
            <w:tcW w:w="1445" w:type="dxa"/>
          </w:tcPr>
          <w:p>
            <w:pPr>
              <w:pStyle w:val="TableParagraph"/>
              <w:spacing w:line="120" w:lineRule="exact"/>
              <w:ind w:left="50"/>
              <w:rPr>
                <w:sz w:val="14"/>
              </w:rPr>
            </w:pPr>
            <w:r>
              <w:rPr>
                <w:color w:val="231F20"/>
                <w:sz w:val="14"/>
              </w:rPr>
              <w:t>Malaysia</w:t>
            </w:r>
          </w:p>
        </w:tc>
        <w:tc>
          <w:tcPr>
            <w:tcW w:w="700" w:type="dxa"/>
          </w:tcPr>
          <w:p>
            <w:pPr>
              <w:pStyle w:val="TableParagraph"/>
              <w:spacing w:line="120" w:lineRule="exact"/>
              <w:ind w:left="183" w:right="138"/>
              <w:jc w:val="center"/>
              <w:rPr>
                <w:sz w:val="14"/>
              </w:rPr>
            </w:pPr>
            <w:r>
              <w:rPr>
                <w:color w:val="231F20"/>
                <w:sz w:val="14"/>
              </w:rPr>
              <w:t>0.12</w:t>
            </w:r>
          </w:p>
        </w:tc>
        <w:tc>
          <w:tcPr>
            <w:tcW w:w="845" w:type="dxa"/>
          </w:tcPr>
          <w:p>
            <w:pPr>
              <w:pStyle w:val="TableParagraph"/>
              <w:spacing w:line="120" w:lineRule="exact"/>
              <w:ind w:right="58"/>
              <w:jc w:val="right"/>
              <w:rPr>
                <w:sz w:val="14"/>
              </w:rPr>
            </w:pPr>
            <w:r>
              <w:rPr>
                <w:color w:val="231F20"/>
                <w:sz w:val="14"/>
              </w:rPr>
              <w:t>7.7</w:t>
            </w:r>
          </w:p>
        </w:tc>
        <w:tc>
          <w:tcPr>
            <w:tcW w:w="1060" w:type="dxa"/>
            <w:gridSpan w:val="2"/>
          </w:tcPr>
          <w:p>
            <w:pPr>
              <w:pStyle w:val="TableParagraph"/>
              <w:spacing w:line="120" w:lineRule="exact"/>
              <w:ind w:right="48"/>
              <w:jc w:val="right"/>
              <w:rPr>
                <w:sz w:val="14"/>
              </w:rPr>
            </w:pPr>
            <w:r>
              <w:rPr>
                <w:color w:val="231F20"/>
                <w:sz w:val="14"/>
              </w:rPr>
              <w:t>0.7</w:t>
            </w:r>
          </w:p>
        </w:tc>
      </w:tr>
      <w:tr>
        <w:trPr>
          <w:trHeight w:val="140" w:hRule="atLeast"/>
        </w:trPr>
        <w:tc>
          <w:tcPr>
            <w:tcW w:w="1445" w:type="dxa"/>
          </w:tcPr>
          <w:p>
            <w:pPr>
              <w:pStyle w:val="TableParagraph"/>
              <w:spacing w:line="120" w:lineRule="exact"/>
              <w:ind w:left="50"/>
              <w:rPr>
                <w:sz w:val="14"/>
              </w:rPr>
            </w:pPr>
            <w:r>
              <w:rPr>
                <w:color w:val="231F20"/>
                <w:sz w:val="14"/>
              </w:rPr>
              <w:t>France</w:t>
            </w:r>
          </w:p>
        </w:tc>
        <w:tc>
          <w:tcPr>
            <w:tcW w:w="700" w:type="dxa"/>
          </w:tcPr>
          <w:p>
            <w:pPr>
              <w:pStyle w:val="TableParagraph"/>
              <w:spacing w:line="120" w:lineRule="exact"/>
              <w:ind w:left="183" w:right="138"/>
              <w:jc w:val="center"/>
              <w:rPr>
                <w:sz w:val="14"/>
              </w:rPr>
            </w:pPr>
            <w:r>
              <w:rPr>
                <w:color w:val="231F20"/>
                <w:sz w:val="14"/>
              </w:rPr>
              <w:t>0.11</w:t>
            </w:r>
          </w:p>
        </w:tc>
        <w:tc>
          <w:tcPr>
            <w:tcW w:w="845" w:type="dxa"/>
          </w:tcPr>
          <w:p>
            <w:pPr>
              <w:pStyle w:val="TableParagraph"/>
              <w:spacing w:line="120" w:lineRule="exact"/>
              <w:ind w:right="58"/>
              <w:jc w:val="right"/>
              <w:rPr>
                <w:sz w:val="14"/>
              </w:rPr>
            </w:pPr>
            <w:r>
              <w:rPr>
                <w:color w:val="231F20"/>
                <w:sz w:val="14"/>
              </w:rPr>
              <w:t>20.2</w:t>
            </w:r>
          </w:p>
        </w:tc>
        <w:tc>
          <w:tcPr>
            <w:tcW w:w="1060" w:type="dxa"/>
            <w:gridSpan w:val="2"/>
          </w:tcPr>
          <w:p>
            <w:pPr>
              <w:pStyle w:val="TableParagraph"/>
              <w:spacing w:line="120" w:lineRule="exact"/>
              <w:ind w:right="48"/>
              <w:jc w:val="right"/>
              <w:rPr>
                <w:sz w:val="14"/>
              </w:rPr>
            </w:pPr>
            <w:r>
              <w:rPr>
                <w:color w:val="231F20"/>
                <w:sz w:val="14"/>
              </w:rPr>
              <w:t>10.1</w:t>
            </w:r>
          </w:p>
        </w:tc>
      </w:tr>
      <w:tr>
        <w:trPr>
          <w:trHeight w:val="140" w:hRule="atLeast"/>
        </w:trPr>
        <w:tc>
          <w:tcPr>
            <w:tcW w:w="1445" w:type="dxa"/>
          </w:tcPr>
          <w:p>
            <w:pPr>
              <w:pStyle w:val="TableParagraph"/>
              <w:spacing w:line="120" w:lineRule="exact"/>
              <w:ind w:left="50"/>
              <w:rPr>
                <w:sz w:val="14"/>
              </w:rPr>
            </w:pPr>
            <w:r>
              <w:rPr>
                <w:color w:val="231F20"/>
                <w:sz w:val="14"/>
              </w:rPr>
              <w:t>Japan</w:t>
            </w:r>
          </w:p>
        </w:tc>
        <w:tc>
          <w:tcPr>
            <w:tcW w:w="700" w:type="dxa"/>
          </w:tcPr>
          <w:p>
            <w:pPr>
              <w:pStyle w:val="TableParagraph"/>
              <w:spacing w:line="120" w:lineRule="exact"/>
              <w:ind w:left="183" w:right="138"/>
              <w:jc w:val="center"/>
              <w:rPr>
                <w:sz w:val="14"/>
              </w:rPr>
            </w:pPr>
            <w:r>
              <w:rPr>
                <w:color w:val="231F20"/>
                <w:sz w:val="14"/>
              </w:rPr>
              <w:t>0.11</w:t>
            </w:r>
          </w:p>
        </w:tc>
        <w:tc>
          <w:tcPr>
            <w:tcW w:w="845" w:type="dxa"/>
          </w:tcPr>
          <w:p>
            <w:pPr>
              <w:pStyle w:val="TableParagraph"/>
              <w:spacing w:line="120" w:lineRule="exact"/>
              <w:ind w:right="58"/>
              <w:jc w:val="right"/>
              <w:rPr>
                <w:sz w:val="14"/>
              </w:rPr>
            </w:pPr>
            <w:r>
              <w:rPr>
                <w:color w:val="231F20"/>
                <w:sz w:val="14"/>
              </w:rPr>
              <w:t>19.5</w:t>
            </w:r>
          </w:p>
        </w:tc>
        <w:tc>
          <w:tcPr>
            <w:tcW w:w="1060" w:type="dxa"/>
            <w:gridSpan w:val="2"/>
          </w:tcPr>
          <w:p>
            <w:pPr>
              <w:pStyle w:val="TableParagraph"/>
              <w:spacing w:line="120" w:lineRule="exact"/>
              <w:ind w:right="48"/>
              <w:jc w:val="right"/>
              <w:rPr>
                <w:sz w:val="14"/>
              </w:rPr>
            </w:pPr>
            <w:r>
              <w:rPr>
                <w:color w:val="231F20"/>
                <w:sz w:val="14"/>
              </w:rPr>
              <w:t>2.6</w:t>
            </w:r>
          </w:p>
        </w:tc>
      </w:tr>
      <w:tr>
        <w:trPr>
          <w:trHeight w:val="140" w:hRule="atLeast"/>
        </w:trPr>
        <w:tc>
          <w:tcPr>
            <w:tcW w:w="1445" w:type="dxa"/>
          </w:tcPr>
          <w:p>
            <w:pPr>
              <w:pStyle w:val="TableParagraph"/>
              <w:spacing w:line="120" w:lineRule="exact"/>
              <w:ind w:left="50"/>
              <w:rPr>
                <w:sz w:val="14"/>
              </w:rPr>
            </w:pPr>
            <w:r>
              <w:rPr>
                <w:color w:val="231F20"/>
                <w:sz w:val="14"/>
              </w:rPr>
              <w:t>Canada</w:t>
            </w:r>
          </w:p>
        </w:tc>
        <w:tc>
          <w:tcPr>
            <w:tcW w:w="700" w:type="dxa"/>
          </w:tcPr>
          <w:p>
            <w:pPr>
              <w:pStyle w:val="TableParagraph"/>
              <w:spacing w:line="120" w:lineRule="exact"/>
              <w:ind w:left="183" w:right="138"/>
              <w:jc w:val="center"/>
              <w:rPr>
                <w:sz w:val="14"/>
              </w:rPr>
            </w:pPr>
            <w:r>
              <w:rPr>
                <w:color w:val="231F20"/>
                <w:sz w:val="14"/>
              </w:rPr>
              <w:t>0.08</w:t>
            </w:r>
          </w:p>
        </w:tc>
        <w:tc>
          <w:tcPr>
            <w:tcW w:w="845" w:type="dxa"/>
          </w:tcPr>
          <w:p>
            <w:pPr>
              <w:pStyle w:val="TableParagraph"/>
              <w:spacing w:line="120" w:lineRule="exact"/>
              <w:ind w:right="58"/>
              <w:jc w:val="right"/>
              <w:rPr>
                <w:sz w:val="14"/>
              </w:rPr>
            </w:pPr>
            <w:r>
              <w:rPr>
                <w:color w:val="231F20"/>
                <w:sz w:val="14"/>
              </w:rPr>
              <w:t>9.0</w:t>
            </w:r>
          </w:p>
        </w:tc>
        <w:tc>
          <w:tcPr>
            <w:tcW w:w="1060" w:type="dxa"/>
            <w:gridSpan w:val="2"/>
          </w:tcPr>
          <w:p>
            <w:pPr>
              <w:pStyle w:val="TableParagraph"/>
              <w:spacing w:line="120" w:lineRule="exact"/>
              <w:ind w:right="48"/>
              <w:jc w:val="right"/>
              <w:rPr>
                <w:sz w:val="14"/>
              </w:rPr>
            </w:pPr>
            <w:r>
              <w:rPr>
                <w:color w:val="231F20"/>
                <w:sz w:val="14"/>
              </w:rPr>
              <w:t>1.2</w:t>
            </w:r>
          </w:p>
        </w:tc>
      </w:tr>
      <w:tr>
        <w:trPr>
          <w:trHeight w:val="420" w:hRule="atLeast"/>
        </w:trPr>
        <w:tc>
          <w:tcPr>
            <w:tcW w:w="1445" w:type="dxa"/>
          </w:tcPr>
          <w:p>
            <w:pPr>
              <w:pStyle w:val="TableParagraph"/>
              <w:spacing w:line="140" w:lineRule="exact" w:before="5"/>
              <w:ind w:left="50" w:right="450"/>
              <w:rPr>
                <w:sz w:val="14"/>
              </w:rPr>
            </w:pPr>
            <w:r>
              <w:rPr>
                <w:color w:val="231F20"/>
                <w:sz w:val="14"/>
              </w:rPr>
              <w:t>Sweden Belgium/ Luxembourg</w:t>
            </w:r>
          </w:p>
        </w:tc>
        <w:tc>
          <w:tcPr>
            <w:tcW w:w="700" w:type="dxa"/>
          </w:tcPr>
          <w:p>
            <w:pPr>
              <w:pStyle w:val="TableParagraph"/>
              <w:spacing w:line="148" w:lineRule="exact"/>
              <w:ind w:left="250"/>
              <w:rPr>
                <w:sz w:val="14"/>
              </w:rPr>
            </w:pPr>
            <w:r>
              <w:rPr>
                <w:color w:val="231F20"/>
                <w:sz w:val="14"/>
              </w:rPr>
              <w:t>0.03</w:t>
            </w:r>
          </w:p>
          <w:p>
            <w:pPr>
              <w:pStyle w:val="TableParagraph"/>
              <w:spacing w:line="133" w:lineRule="exact" w:before="119"/>
              <w:ind w:left="203"/>
              <w:rPr>
                <w:sz w:val="14"/>
              </w:rPr>
            </w:pPr>
            <w:r>
              <w:rPr>
                <w:color w:val="231F20"/>
                <w:sz w:val="14"/>
              </w:rPr>
              <w:t>-0.01</w:t>
            </w:r>
          </w:p>
        </w:tc>
        <w:tc>
          <w:tcPr>
            <w:tcW w:w="845" w:type="dxa"/>
          </w:tcPr>
          <w:p>
            <w:pPr>
              <w:pStyle w:val="TableParagraph"/>
              <w:spacing w:line="148" w:lineRule="exact"/>
              <w:ind w:left="539"/>
              <w:rPr>
                <w:sz w:val="14"/>
              </w:rPr>
            </w:pPr>
            <w:r>
              <w:rPr>
                <w:color w:val="231F20"/>
                <w:sz w:val="14"/>
              </w:rPr>
              <w:t>22.9</w:t>
            </w:r>
          </w:p>
          <w:p>
            <w:pPr>
              <w:pStyle w:val="TableParagraph"/>
              <w:spacing w:line="133" w:lineRule="exact" w:before="119"/>
              <w:ind w:left="539"/>
              <w:rPr>
                <w:sz w:val="14"/>
              </w:rPr>
            </w:pPr>
            <w:r>
              <w:rPr>
                <w:color w:val="231F20"/>
                <w:sz w:val="14"/>
              </w:rPr>
              <w:t>21.3</w:t>
            </w:r>
          </w:p>
        </w:tc>
        <w:tc>
          <w:tcPr>
            <w:tcW w:w="1060" w:type="dxa"/>
            <w:gridSpan w:val="2"/>
          </w:tcPr>
          <w:p>
            <w:pPr>
              <w:pStyle w:val="TableParagraph"/>
              <w:spacing w:line="148" w:lineRule="exact"/>
              <w:ind w:right="48"/>
              <w:jc w:val="right"/>
              <w:rPr>
                <w:sz w:val="14"/>
              </w:rPr>
            </w:pPr>
            <w:r>
              <w:rPr>
                <w:color w:val="231F20"/>
                <w:sz w:val="14"/>
              </w:rPr>
              <w:t>2.6</w:t>
            </w:r>
          </w:p>
          <w:p>
            <w:pPr>
              <w:pStyle w:val="TableParagraph"/>
              <w:spacing w:line="133" w:lineRule="exact" w:before="119"/>
              <w:ind w:right="48"/>
              <w:jc w:val="right"/>
              <w:rPr>
                <w:sz w:val="14"/>
              </w:rPr>
            </w:pPr>
            <w:r>
              <w:rPr>
                <w:color w:val="231F20"/>
                <w:sz w:val="14"/>
              </w:rPr>
              <w:t>5.1</w:t>
            </w:r>
          </w:p>
        </w:tc>
      </w:tr>
      <w:tr>
        <w:trPr>
          <w:trHeight w:val="205" w:hRule="atLeast"/>
        </w:trPr>
        <w:tc>
          <w:tcPr>
            <w:tcW w:w="1445" w:type="dxa"/>
          </w:tcPr>
          <w:p>
            <w:pPr>
              <w:pStyle w:val="TableParagraph"/>
              <w:spacing w:line="143" w:lineRule="exact"/>
              <w:ind w:left="50"/>
              <w:rPr>
                <w:sz w:val="14"/>
              </w:rPr>
            </w:pPr>
            <w:r>
              <w:rPr>
                <w:color w:val="231F20"/>
                <w:sz w:val="14"/>
              </w:rPr>
              <w:t>Germany</w:t>
            </w:r>
          </w:p>
        </w:tc>
        <w:tc>
          <w:tcPr>
            <w:tcW w:w="700" w:type="dxa"/>
          </w:tcPr>
          <w:p>
            <w:pPr>
              <w:pStyle w:val="TableParagraph"/>
              <w:spacing w:line="143" w:lineRule="exact"/>
              <w:ind w:left="183" w:right="184"/>
              <w:jc w:val="center"/>
              <w:rPr>
                <w:sz w:val="14"/>
              </w:rPr>
            </w:pPr>
            <w:r>
              <w:rPr>
                <w:color w:val="231F20"/>
                <w:sz w:val="14"/>
              </w:rPr>
              <w:t>-0.01</w:t>
            </w:r>
          </w:p>
        </w:tc>
        <w:tc>
          <w:tcPr>
            <w:tcW w:w="845" w:type="dxa"/>
          </w:tcPr>
          <w:p>
            <w:pPr>
              <w:pStyle w:val="TableParagraph"/>
              <w:spacing w:line="143" w:lineRule="exact"/>
              <w:ind w:right="58"/>
              <w:jc w:val="right"/>
              <w:rPr>
                <w:sz w:val="14"/>
              </w:rPr>
            </w:pPr>
            <w:r>
              <w:rPr>
                <w:color w:val="231F20"/>
                <w:sz w:val="14"/>
              </w:rPr>
              <w:t>20.8</w:t>
            </w:r>
          </w:p>
        </w:tc>
        <w:tc>
          <w:tcPr>
            <w:tcW w:w="1060" w:type="dxa"/>
            <w:gridSpan w:val="2"/>
          </w:tcPr>
          <w:p>
            <w:pPr>
              <w:pStyle w:val="TableParagraph"/>
              <w:spacing w:line="143" w:lineRule="exact"/>
              <w:ind w:right="48"/>
              <w:jc w:val="right"/>
              <w:rPr>
                <w:sz w:val="14"/>
              </w:rPr>
            </w:pPr>
            <w:r>
              <w:rPr>
                <w:color w:val="231F20"/>
                <w:sz w:val="14"/>
              </w:rPr>
              <w:t>12.3</w:t>
            </w:r>
          </w:p>
        </w:tc>
      </w:tr>
      <w:tr>
        <w:trPr>
          <w:trHeight w:val="210" w:hRule="atLeast"/>
        </w:trPr>
        <w:tc>
          <w:tcPr>
            <w:tcW w:w="1445" w:type="dxa"/>
          </w:tcPr>
          <w:p>
            <w:pPr>
              <w:pStyle w:val="TableParagraph"/>
              <w:spacing w:line="133" w:lineRule="exact" w:before="56"/>
              <w:ind w:left="50"/>
              <w:rPr>
                <w:sz w:val="14"/>
              </w:rPr>
            </w:pPr>
            <w:r>
              <w:rPr>
                <w:color w:val="231F20"/>
                <w:sz w:val="14"/>
              </w:rPr>
              <w:t>OPEC</w:t>
            </w:r>
          </w:p>
        </w:tc>
        <w:tc>
          <w:tcPr>
            <w:tcW w:w="700" w:type="dxa"/>
          </w:tcPr>
          <w:p>
            <w:pPr>
              <w:pStyle w:val="TableParagraph"/>
              <w:spacing w:line="133" w:lineRule="exact" w:before="56"/>
              <w:ind w:left="183" w:right="138"/>
              <w:jc w:val="center"/>
              <w:rPr>
                <w:sz w:val="14"/>
              </w:rPr>
            </w:pPr>
            <w:r>
              <w:rPr>
                <w:color w:val="231F20"/>
                <w:sz w:val="14"/>
              </w:rPr>
              <w:t>0.87</w:t>
            </w:r>
          </w:p>
        </w:tc>
        <w:tc>
          <w:tcPr>
            <w:tcW w:w="845" w:type="dxa"/>
          </w:tcPr>
          <w:p>
            <w:pPr>
              <w:pStyle w:val="TableParagraph"/>
              <w:spacing w:line="133" w:lineRule="exact" w:before="56"/>
              <w:ind w:right="57"/>
              <w:jc w:val="right"/>
              <w:rPr>
                <w:sz w:val="14"/>
              </w:rPr>
            </w:pPr>
            <w:r>
              <w:rPr>
                <w:color w:val="231F20"/>
                <w:sz w:val="14"/>
              </w:rPr>
              <w:t>n/a</w:t>
            </w:r>
          </w:p>
        </w:tc>
        <w:tc>
          <w:tcPr>
            <w:tcW w:w="1060" w:type="dxa"/>
            <w:gridSpan w:val="2"/>
          </w:tcPr>
          <w:p>
            <w:pPr>
              <w:pStyle w:val="TableParagraph"/>
              <w:spacing w:line="133" w:lineRule="exact" w:before="56"/>
              <w:ind w:right="48"/>
              <w:jc w:val="right"/>
              <w:rPr>
                <w:sz w:val="14"/>
              </w:rPr>
            </w:pPr>
            <w:r>
              <w:rPr>
                <w:color w:val="231F20"/>
                <w:sz w:val="14"/>
              </w:rPr>
              <w:t>4.8</w:t>
            </w:r>
          </w:p>
        </w:tc>
      </w:tr>
      <w:tr>
        <w:trPr>
          <w:trHeight w:val="140" w:hRule="atLeast"/>
        </w:trPr>
        <w:tc>
          <w:tcPr>
            <w:tcW w:w="1445" w:type="dxa"/>
          </w:tcPr>
          <w:p>
            <w:pPr>
              <w:pStyle w:val="TableParagraph"/>
              <w:spacing w:line="120" w:lineRule="exact"/>
              <w:ind w:left="50"/>
              <w:rPr>
                <w:sz w:val="14"/>
              </w:rPr>
            </w:pPr>
            <w:r>
              <w:rPr>
                <w:color w:val="231F20"/>
                <w:sz w:val="14"/>
              </w:rPr>
              <w:t>Latin America</w:t>
            </w:r>
          </w:p>
        </w:tc>
        <w:tc>
          <w:tcPr>
            <w:tcW w:w="700" w:type="dxa"/>
          </w:tcPr>
          <w:p>
            <w:pPr>
              <w:pStyle w:val="TableParagraph"/>
              <w:spacing w:line="120" w:lineRule="exact"/>
              <w:ind w:left="183" w:right="138"/>
              <w:jc w:val="center"/>
              <w:rPr>
                <w:sz w:val="14"/>
              </w:rPr>
            </w:pPr>
            <w:r>
              <w:rPr>
                <w:color w:val="231F20"/>
                <w:sz w:val="14"/>
              </w:rPr>
              <w:t>0.34</w:t>
            </w:r>
          </w:p>
        </w:tc>
        <w:tc>
          <w:tcPr>
            <w:tcW w:w="845" w:type="dxa"/>
          </w:tcPr>
          <w:p>
            <w:pPr>
              <w:pStyle w:val="TableParagraph"/>
              <w:spacing w:line="120" w:lineRule="exact"/>
              <w:ind w:right="57"/>
              <w:jc w:val="right"/>
              <w:rPr>
                <w:sz w:val="14"/>
              </w:rPr>
            </w:pPr>
            <w:r>
              <w:rPr>
                <w:color w:val="231F20"/>
                <w:sz w:val="14"/>
              </w:rPr>
              <w:t>n/a</w:t>
            </w:r>
          </w:p>
        </w:tc>
        <w:tc>
          <w:tcPr>
            <w:tcW w:w="1060" w:type="dxa"/>
            <w:gridSpan w:val="2"/>
          </w:tcPr>
          <w:p>
            <w:pPr>
              <w:pStyle w:val="TableParagraph"/>
              <w:spacing w:line="120" w:lineRule="exact"/>
              <w:ind w:right="48"/>
              <w:jc w:val="right"/>
              <w:rPr>
                <w:sz w:val="14"/>
              </w:rPr>
            </w:pPr>
            <w:r>
              <w:rPr>
                <w:color w:val="231F20"/>
                <w:sz w:val="14"/>
              </w:rPr>
              <w:t>1.6</w:t>
            </w:r>
          </w:p>
        </w:tc>
      </w:tr>
      <w:tr>
        <w:trPr>
          <w:trHeight w:val="140" w:hRule="atLeast"/>
        </w:trPr>
        <w:tc>
          <w:tcPr>
            <w:tcW w:w="1445" w:type="dxa"/>
          </w:tcPr>
          <w:p>
            <w:pPr>
              <w:pStyle w:val="TableParagraph"/>
              <w:spacing w:line="120" w:lineRule="exact"/>
              <w:ind w:left="50"/>
              <w:rPr>
                <w:sz w:val="14"/>
              </w:rPr>
            </w:pPr>
            <w:r>
              <w:rPr>
                <w:color w:val="231F20"/>
                <w:sz w:val="14"/>
              </w:rPr>
              <w:t>Eastern Europe</w:t>
            </w:r>
          </w:p>
        </w:tc>
        <w:tc>
          <w:tcPr>
            <w:tcW w:w="700" w:type="dxa"/>
          </w:tcPr>
          <w:p>
            <w:pPr>
              <w:pStyle w:val="TableParagraph"/>
              <w:spacing w:line="120" w:lineRule="exact"/>
              <w:ind w:left="183" w:right="138"/>
              <w:jc w:val="center"/>
              <w:rPr>
                <w:sz w:val="14"/>
              </w:rPr>
            </w:pPr>
            <w:r>
              <w:rPr>
                <w:color w:val="231F20"/>
                <w:sz w:val="14"/>
              </w:rPr>
              <w:t>0.21</w:t>
            </w:r>
          </w:p>
        </w:tc>
        <w:tc>
          <w:tcPr>
            <w:tcW w:w="845" w:type="dxa"/>
          </w:tcPr>
          <w:p>
            <w:pPr>
              <w:pStyle w:val="TableParagraph"/>
              <w:spacing w:line="120" w:lineRule="exact"/>
              <w:ind w:right="57"/>
              <w:jc w:val="right"/>
              <w:rPr>
                <w:sz w:val="14"/>
              </w:rPr>
            </w:pPr>
            <w:r>
              <w:rPr>
                <w:color w:val="231F20"/>
                <w:sz w:val="14"/>
              </w:rPr>
              <w:t>n/a</w:t>
            </w:r>
          </w:p>
        </w:tc>
        <w:tc>
          <w:tcPr>
            <w:tcW w:w="1060" w:type="dxa"/>
            <w:gridSpan w:val="2"/>
          </w:tcPr>
          <w:p>
            <w:pPr>
              <w:pStyle w:val="TableParagraph"/>
              <w:spacing w:line="120" w:lineRule="exact"/>
              <w:ind w:right="48"/>
              <w:jc w:val="right"/>
              <w:rPr>
                <w:sz w:val="14"/>
              </w:rPr>
            </w:pPr>
            <w:r>
              <w:rPr>
                <w:color w:val="231F20"/>
                <w:sz w:val="14"/>
              </w:rPr>
              <w:t>1.4</w:t>
            </w:r>
          </w:p>
        </w:tc>
      </w:tr>
      <w:tr>
        <w:trPr>
          <w:trHeight w:val="147" w:hRule="atLeast"/>
        </w:trPr>
        <w:tc>
          <w:tcPr>
            <w:tcW w:w="1445" w:type="dxa"/>
          </w:tcPr>
          <w:p>
            <w:pPr>
              <w:pStyle w:val="TableParagraph"/>
              <w:spacing w:line="128" w:lineRule="exact"/>
              <w:ind w:left="50"/>
              <w:rPr>
                <w:sz w:val="14"/>
              </w:rPr>
            </w:pPr>
            <w:r>
              <w:rPr>
                <w:color w:val="231F20"/>
                <w:sz w:val="14"/>
              </w:rPr>
              <w:t>Other</w:t>
            </w:r>
          </w:p>
        </w:tc>
        <w:tc>
          <w:tcPr>
            <w:tcW w:w="700" w:type="dxa"/>
          </w:tcPr>
          <w:p>
            <w:pPr>
              <w:pStyle w:val="TableParagraph"/>
              <w:spacing w:line="128" w:lineRule="exact"/>
              <w:ind w:left="183" w:right="68"/>
              <w:jc w:val="center"/>
              <w:rPr>
                <w:sz w:val="14"/>
              </w:rPr>
            </w:pPr>
            <w:r>
              <w:rPr>
                <w:color w:val="231F20"/>
                <w:sz w:val="14"/>
              </w:rPr>
              <w:t>1.2</w:t>
            </w:r>
          </w:p>
        </w:tc>
        <w:tc>
          <w:tcPr>
            <w:tcW w:w="845" w:type="dxa"/>
          </w:tcPr>
          <w:p>
            <w:pPr>
              <w:pStyle w:val="TableParagraph"/>
              <w:spacing w:line="128" w:lineRule="exact"/>
              <w:ind w:right="57"/>
              <w:jc w:val="right"/>
              <w:rPr>
                <w:sz w:val="14"/>
              </w:rPr>
            </w:pPr>
            <w:r>
              <w:rPr>
                <w:color w:val="231F20"/>
                <w:sz w:val="14"/>
              </w:rPr>
              <w:t>n/a</w:t>
            </w:r>
          </w:p>
        </w:tc>
        <w:tc>
          <w:tcPr>
            <w:tcW w:w="1060" w:type="dxa"/>
            <w:gridSpan w:val="2"/>
          </w:tcPr>
          <w:p>
            <w:pPr>
              <w:pStyle w:val="TableParagraph"/>
              <w:spacing w:line="128" w:lineRule="exact"/>
              <w:ind w:right="48"/>
              <w:jc w:val="right"/>
              <w:rPr>
                <w:sz w:val="14"/>
              </w:rPr>
            </w:pPr>
            <w:r>
              <w:rPr>
                <w:color w:val="231F20"/>
                <w:sz w:val="14"/>
              </w:rPr>
              <w:t>20.3</w:t>
            </w:r>
          </w:p>
        </w:tc>
      </w:tr>
      <w:tr>
        <w:trPr>
          <w:trHeight w:val="342" w:hRule="atLeast"/>
        </w:trPr>
        <w:tc>
          <w:tcPr>
            <w:tcW w:w="1445" w:type="dxa"/>
          </w:tcPr>
          <w:p>
            <w:pPr>
              <w:pStyle w:val="TableParagraph"/>
              <w:spacing w:before="119"/>
              <w:ind w:left="50"/>
              <w:rPr>
                <w:b/>
                <w:sz w:val="14"/>
              </w:rPr>
            </w:pPr>
            <w:r>
              <w:rPr>
                <w:b/>
                <w:color w:val="231F20"/>
                <w:sz w:val="14"/>
              </w:rPr>
              <w:t>Total</w:t>
            </w:r>
          </w:p>
        </w:tc>
        <w:tc>
          <w:tcPr>
            <w:tcW w:w="700" w:type="dxa"/>
          </w:tcPr>
          <w:p>
            <w:pPr>
              <w:pStyle w:val="TableParagraph"/>
              <w:spacing w:before="119"/>
              <w:ind w:left="183" w:right="68"/>
              <w:jc w:val="center"/>
              <w:rPr>
                <w:b/>
                <w:sz w:val="14"/>
              </w:rPr>
            </w:pPr>
            <w:r>
              <w:rPr>
                <w:b/>
                <w:color w:val="231F20"/>
                <w:sz w:val="14"/>
              </w:rPr>
              <w:t>6.6</w:t>
            </w:r>
          </w:p>
        </w:tc>
        <w:tc>
          <w:tcPr>
            <w:tcW w:w="845" w:type="dxa"/>
          </w:tcPr>
          <w:p>
            <w:pPr>
              <w:pStyle w:val="TableParagraph"/>
              <w:spacing w:before="119"/>
              <w:ind w:right="58"/>
              <w:jc w:val="right"/>
              <w:rPr>
                <w:b/>
                <w:sz w:val="14"/>
              </w:rPr>
            </w:pPr>
            <w:r>
              <w:rPr>
                <w:b/>
                <w:color w:val="231F20"/>
                <w:sz w:val="14"/>
              </w:rPr>
              <w:t>17.5</w:t>
            </w:r>
          </w:p>
        </w:tc>
        <w:tc>
          <w:tcPr>
            <w:tcW w:w="479" w:type="dxa"/>
          </w:tcPr>
          <w:p>
            <w:pPr>
              <w:pStyle w:val="TableParagraph"/>
              <w:spacing w:before="11"/>
              <w:rPr>
                <w:sz w:val="11"/>
              </w:rPr>
            </w:pPr>
          </w:p>
          <w:p>
            <w:pPr>
              <w:pStyle w:val="TableParagraph"/>
              <w:ind w:left="60"/>
              <w:rPr>
                <w:sz w:val="12"/>
              </w:rPr>
            </w:pPr>
            <w:r>
              <w:rPr>
                <w:color w:val="231F20"/>
                <w:sz w:val="12"/>
              </w:rPr>
              <w:t>(c)</w:t>
            </w:r>
          </w:p>
        </w:tc>
        <w:tc>
          <w:tcPr>
            <w:tcW w:w="581" w:type="dxa"/>
          </w:tcPr>
          <w:p>
            <w:pPr>
              <w:pStyle w:val="TableParagraph"/>
              <w:spacing w:before="119"/>
              <w:ind w:left="321"/>
              <w:rPr>
                <w:b/>
                <w:sz w:val="14"/>
              </w:rPr>
            </w:pPr>
            <w:r>
              <w:rPr>
                <w:b/>
                <w:color w:val="231F20"/>
                <w:sz w:val="14"/>
              </w:rPr>
              <w:t>100</w:t>
            </w:r>
          </w:p>
        </w:tc>
      </w:tr>
      <w:tr>
        <w:trPr>
          <w:trHeight w:val="217" w:hRule="atLeast"/>
        </w:trPr>
        <w:tc>
          <w:tcPr>
            <w:tcW w:w="1445" w:type="dxa"/>
          </w:tcPr>
          <w:p>
            <w:pPr>
              <w:pStyle w:val="TableParagraph"/>
              <w:spacing w:line="141" w:lineRule="exact" w:before="56"/>
              <w:ind w:left="50"/>
              <w:rPr>
                <w:sz w:val="14"/>
              </w:rPr>
            </w:pPr>
            <w:r>
              <w:rPr>
                <w:color w:val="231F20"/>
                <w:sz w:val="14"/>
              </w:rPr>
              <w:t>n/a = not applicable.</w:t>
            </w:r>
          </w:p>
        </w:tc>
        <w:tc>
          <w:tcPr>
            <w:tcW w:w="700" w:type="dxa"/>
          </w:tcPr>
          <w:p>
            <w:pPr>
              <w:pStyle w:val="TableParagraph"/>
              <w:rPr>
                <w:sz w:val="14"/>
              </w:rPr>
            </w:pPr>
          </w:p>
        </w:tc>
        <w:tc>
          <w:tcPr>
            <w:tcW w:w="845" w:type="dxa"/>
          </w:tcPr>
          <w:p>
            <w:pPr>
              <w:pStyle w:val="TableParagraph"/>
              <w:rPr>
                <w:sz w:val="14"/>
              </w:rPr>
            </w:pPr>
          </w:p>
        </w:tc>
        <w:tc>
          <w:tcPr>
            <w:tcW w:w="479" w:type="dxa"/>
          </w:tcPr>
          <w:p>
            <w:pPr>
              <w:pStyle w:val="TableParagraph"/>
              <w:rPr>
                <w:sz w:val="14"/>
              </w:rPr>
            </w:pPr>
          </w:p>
        </w:tc>
        <w:tc>
          <w:tcPr>
            <w:tcW w:w="581" w:type="dxa"/>
          </w:tcPr>
          <w:p>
            <w:pPr>
              <w:pStyle w:val="TableParagraph"/>
              <w:rPr>
                <w:sz w:val="14"/>
              </w:rPr>
            </w:pPr>
          </w:p>
        </w:tc>
      </w:tr>
    </w:tbl>
    <w:p>
      <w:pPr>
        <w:spacing w:before="117"/>
        <w:ind w:left="180" w:right="0" w:firstLine="0"/>
        <w:jc w:val="left"/>
        <w:rPr>
          <w:sz w:val="12"/>
        </w:rPr>
      </w:pPr>
      <w:r>
        <w:rPr>
          <w:color w:val="231F20"/>
          <w:sz w:val="12"/>
        </w:rPr>
        <w:t>Sources: Bank calculations and Datastream.</w:t>
      </w:r>
    </w:p>
    <w:p>
      <w:pPr>
        <w:pStyle w:val="BodyText"/>
        <w:spacing w:before="2"/>
        <w:rPr>
          <w:sz w:val="10"/>
        </w:rPr>
      </w:pPr>
    </w:p>
    <w:p>
      <w:pPr>
        <w:pStyle w:val="ListParagraph"/>
        <w:numPr>
          <w:ilvl w:val="0"/>
          <w:numId w:val="20"/>
        </w:numPr>
        <w:tabs>
          <w:tab w:pos="420" w:val="left" w:leader="none"/>
        </w:tabs>
        <w:spacing w:line="208" w:lineRule="auto" w:before="0" w:after="0"/>
        <w:ind w:left="420" w:right="239" w:hanging="240"/>
        <w:jc w:val="left"/>
        <w:rPr>
          <w:sz w:val="12"/>
        </w:rPr>
      </w:pPr>
      <w:r>
        <w:rPr>
          <w:color w:val="231F20"/>
          <w:sz w:val="12"/>
        </w:rPr>
        <w:t>Overseas Trade Statistics (OTS) values deflated by EU or non-EU balance </w:t>
      </w:r>
      <w:r>
        <w:rPr>
          <w:color w:val="231F20"/>
          <w:spacing w:val="-9"/>
          <w:sz w:val="12"/>
        </w:rPr>
        <w:t>of </w:t>
      </w:r>
      <w:r>
        <w:rPr>
          <w:color w:val="231F20"/>
          <w:sz w:val="12"/>
        </w:rPr>
        <w:t>payments price indices.</w:t>
      </w:r>
    </w:p>
    <w:p>
      <w:pPr>
        <w:pStyle w:val="ListParagraph"/>
        <w:numPr>
          <w:ilvl w:val="0"/>
          <w:numId w:val="20"/>
        </w:numPr>
        <w:tabs>
          <w:tab w:pos="420" w:val="left" w:leader="none"/>
        </w:tabs>
        <w:spacing w:line="114" w:lineRule="exact" w:before="0" w:after="0"/>
        <w:ind w:left="420" w:right="0" w:hanging="240"/>
        <w:jc w:val="left"/>
        <w:rPr>
          <w:sz w:val="12"/>
        </w:rPr>
      </w:pPr>
      <w:r>
        <w:rPr>
          <w:color w:val="231F20"/>
          <w:sz w:val="12"/>
        </w:rPr>
        <w:t>A rise denotes an appreciation of sterling.</w:t>
      </w:r>
    </w:p>
    <w:p>
      <w:pPr>
        <w:pStyle w:val="ListParagraph"/>
        <w:numPr>
          <w:ilvl w:val="0"/>
          <w:numId w:val="20"/>
        </w:numPr>
        <w:tabs>
          <w:tab w:pos="420" w:val="left" w:leader="none"/>
        </w:tabs>
        <w:spacing w:line="129" w:lineRule="exact" w:before="0" w:after="0"/>
        <w:ind w:left="420" w:right="0" w:hanging="240"/>
        <w:jc w:val="left"/>
        <w:rPr>
          <w:sz w:val="12"/>
        </w:rPr>
      </w:pPr>
      <w:r>
        <w:rPr>
          <w:color w:val="231F20"/>
          <w:sz w:val="12"/>
        </w:rPr>
        <w:t>Change in nominal effective exchange rate index.</w:t>
      </w:r>
    </w:p>
    <w:p>
      <w:pPr>
        <w:pStyle w:val="Heading5"/>
        <w:spacing w:line="242" w:lineRule="auto" w:before="227"/>
        <w:ind w:right="128"/>
      </w:pPr>
      <w:r>
        <w:rPr/>
        <w:br w:type="column"/>
      </w:r>
      <w:r>
        <w:rPr>
          <w:color w:val="231F20"/>
        </w:rPr>
        <w:t>A second explanation for the resilience of net trade hinges on overseas demand. Domestic demand in the major six overseas economies increased at an annual rate of 2.2%, compared with 1.8% a year earlier. Indications are that strong demand from overseas will continue. The IMF </w:t>
      </w:r>
      <w:r>
        <w:rPr>
          <w:i/>
          <w:color w:val="231F20"/>
        </w:rPr>
        <w:t>World Economic Outlook </w:t>
      </w:r>
      <w:r>
        <w:rPr>
          <w:color w:val="231F20"/>
        </w:rPr>
        <w:t>noted that world output is expected to expand by 4</w:t>
      </w:r>
      <w:r>
        <w:rPr>
          <w:color w:val="231F20"/>
          <w:position w:val="8"/>
          <w:sz w:val="12"/>
        </w:rPr>
        <w:t>1</w:t>
      </w:r>
      <w:r>
        <w:rPr>
          <w:color w:val="231F20"/>
        </w:rPr>
        <w:t>/</w:t>
      </w:r>
      <w:r>
        <w:rPr>
          <w:color w:val="231F20"/>
          <w:sz w:val="12"/>
        </w:rPr>
        <w:t>2</w:t>
      </w:r>
      <w:r>
        <w:rPr>
          <w:color w:val="231F20"/>
        </w:rPr>
        <w:t>% in both 1997 and 1998—the strongest pace for a decade. And though activity in a number of countries in continental Europe has been driven more by net exports than by domestic demand, this masks strong import demand in some of these countries.</w:t>
      </w:r>
    </w:p>
    <w:p>
      <w:pPr>
        <w:pStyle w:val="BodyText"/>
        <w:spacing w:before="8"/>
        <w:rPr>
          <w:sz w:val="25"/>
        </w:rPr>
      </w:pPr>
    </w:p>
    <w:p>
      <w:pPr>
        <w:spacing w:line="242" w:lineRule="auto" w:before="0"/>
        <w:ind w:left="180" w:right="151" w:hanging="1"/>
        <w:jc w:val="left"/>
        <w:rPr>
          <w:sz w:val="24"/>
        </w:rPr>
      </w:pPr>
      <w:r>
        <w:rPr>
          <w:color w:val="231F20"/>
          <w:sz w:val="24"/>
        </w:rPr>
        <w:t>In June, estimates based on O</w:t>
      </w:r>
      <w:r>
        <w:rPr>
          <w:color w:val="231F20"/>
          <w:sz w:val="20"/>
        </w:rPr>
        <w:t>ECD </w:t>
      </w:r>
      <w:r>
        <w:rPr>
          <w:color w:val="231F20"/>
          <w:sz w:val="24"/>
        </w:rPr>
        <w:t>data suggested that UK export markets for goods grew by 3.9% in the first half of 1997. But recent estimates for import volume growth in the major economies could cause this figure to be revised upwards. UK export volumes grew by 4.7% during the first half of 1997, implying that the United Kingdom’s share of world trade may have been largely maintained despite the appreciation. UK exporters may have sought to offset the effects of the appreciation by promoting sales to markets, such as the United States, where domestic demand has been stronger and where sterling’s appreciation has been less pronounced.</w:t>
      </w:r>
    </w:p>
    <w:p>
      <w:pPr>
        <w:spacing w:line="242" w:lineRule="auto" w:before="16"/>
        <w:ind w:left="180" w:right="134" w:firstLine="1"/>
        <w:jc w:val="left"/>
        <w:rPr>
          <w:sz w:val="24"/>
        </w:rPr>
      </w:pPr>
      <w:r>
        <w:rPr>
          <w:color w:val="231F20"/>
          <w:sz w:val="24"/>
        </w:rPr>
        <w:t>Table 3.C shows the geographical contributions to UK export volume growth and the changes in the bilateral exchange rates between 1996 Q2 and 1997 Q2. It suggests that a significant contribution to the recent strength in UK exports has come from the United States, as well as from historically smaller markets, such as O</w:t>
      </w:r>
      <w:r>
        <w:rPr>
          <w:color w:val="231F20"/>
          <w:sz w:val="20"/>
        </w:rPr>
        <w:t>PEC</w:t>
      </w:r>
      <w:r>
        <w:rPr>
          <w:color w:val="231F20"/>
          <w:sz w:val="24"/>
        </w:rPr>
        <w:t>, Latin America, Asia-Pacific and Eastern Europe. But export volume growth to other EU countries such as the Netherlands and Italy has also been strong, despite the appreciation.</w:t>
      </w:r>
    </w:p>
    <w:p>
      <w:pPr>
        <w:spacing w:after="0" w:line="242" w:lineRule="auto"/>
        <w:jc w:val="left"/>
        <w:rPr>
          <w:sz w:val="24"/>
        </w:rPr>
        <w:sectPr>
          <w:type w:val="continuous"/>
          <w:pgSz w:w="11900" w:h="16840"/>
          <w:pgMar w:top="1040" w:bottom="280" w:left="640" w:right="660"/>
          <w:cols w:num="2" w:equalWidth="0">
            <w:col w:w="4371" w:space="423"/>
            <w:col w:w="5806"/>
          </w:cols>
        </w:sectPr>
      </w:pPr>
    </w:p>
    <w:p>
      <w:pPr>
        <w:pStyle w:val="BodyText"/>
        <w:rPr>
          <w:sz w:val="20"/>
        </w:rPr>
      </w:pPr>
    </w:p>
    <w:p>
      <w:pPr>
        <w:pStyle w:val="Heading3"/>
        <w:numPr>
          <w:ilvl w:val="1"/>
          <w:numId w:val="13"/>
        </w:numPr>
        <w:tabs>
          <w:tab w:pos="9383" w:val="left" w:leader="none"/>
          <w:tab w:pos="9384" w:val="left" w:leader="none"/>
          <w:tab w:pos="10454" w:val="left" w:leader="none"/>
        </w:tabs>
        <w:spacing w:line="240" w:lineRule="auto" w:before="224" w:after="0"/>
        <w:ind w:left="9383" w:right="0" w:hanging="4410"/>
        <w:jc w:val="left"/>
        <w:rPr>
          <w:color w:val="009483"/>
        </w:rPr>
      </w:pPr>
      <w:r>
        <w:rPr>
          <w:color w:val="009483"/>
          <w:u w:val="thick" w:color="0093C1"/>
        </w:rPr>
        <w:t>Output</w:t>
        <w:tab/>
      </w:r>
    </w:p>
    <w:p>
      <w:pPr>
        <w:pStyle w:val="BodyText"/>
        <w:spacing w:before="11"/>
        <w:rPr>
          <w:b/>
          <w:sz w:val="23"/>
        </w:rPr>
      </w:pPr>
    </w:p>
    <w:p>
      <w:pPr>
        <w:spacing w:line="242" w:lineRule="auto" w:before="0"/>
        <w:ind w:left="4974" w:right="162" w:firstLine="0"/>
        <w:jc w:val="left"/>
        <w:rPr>
          <w:sz w:val="24"/>
        </w:rPr>
      </w:pPr>
      <w:r>
        <w:rPr>
          <w:color w:val="231F20"/>
          <w:sz w:val="24"/>
        </w:rPr>
        <w:t>The preliminary estimate of real GDP in 1997 Q3 was 1% higher than the previous quarter and 3.9% higher than a year earlier. Excluding oil and gas extraction, the estimate was up by 0.9% on the quarter and by 4% on a year earlier. Service sector output grew by 4.9% on a year earlier. According to the ONS, this reflects strong growth in the business services and communications sectors.</w:t>
      </w:r>
    </w:p>
    <w:p>
      <w:pPr>
        <w:spacing w:line="242" w:lineRule="auto" w:before="231"/>
        <w:ind w:left="4974" w:right="0" w:firstLine="0"/>
        <w:jc w:val="left"/>
        <w:rPr>
          <w:sz w:val="24"/>
        </w:rPr>
      </w:pPr>
      <w:r>
        <w:rPr>
          <w:color w:val="231F20"/>
          <w:sz w:val="24"/>
        </w:rPr>
        <w:t>But there are signs that the pace of service sector activity may be slowing—service sector output grew by 1% in 1997 Q3 compared with 1.4% in 1996 Q4. This is borne out by recent survey evidence. The BCC Quarterly</w:t>
      </w:r>
    </w:p>
    <w:p>
      <w:pPr>
        <w:spacing w:after="0" w:line="242" w:lineRule="auto"/>
        <w:jc w:val="left"/>
        <w:rPr>
          <w:sz w:val="24"/>
        </w:rPr>
        <w:sectPr>
          <w:type w:val="continuous"/>
          <w:pgSz w:w="11900" w:h="16840"/>
          <w:pgMar w:top="1040" w:bottom="280" w:left="640" w:right="660"/>
        </w:sectPr>
      </w:pPr>
    </w:p>
    <w:p>
      <w:pPr>
        <w:pStyle w:val="BodyText"/>
        <w:rPr>
          <w:sz w:val="20"/>
        </w:rPr>
      </w:pPr>
    </w:p>
    <w:p>
      <w:pPr>
        <w:spacing w:after="0"/>
        <w:rPr>
          <w:sz w:val="20"/>
        </w:rPr>
        <w:sectPr>
          <w:pgSz w:w="11900" w:h="16840"/>
          <w:pgMar w:header="586" w:footer="597" w:top="780" w:bottom="780" w:left="640" w:right="6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9"/>
        <w:spacing w:before="130"/>
        <w:ind w:left="174"/>
      </w:pPr>
      <w:bookmarkStart w:name="Summary" w:id="56"/>
      <w:bookmarkEnd w:id="56"/>
      <w:r>
        <w:rPr>
          <w:b w:val="0"/>
        </w:rPr>
      </w:r>
      <w:bookmarkStart w:name="_bookmark26" w:id="57"/>
      <w:bookmarkEnd w:id="57"/>
      <w:r>
        <w:rPr>
          <w:b w:val="0"/>
        </w:rPr>
      </w:r>
      <w:bookmarkStart w:name="_bookmark27" w:id="58"/>
      <w:bookmarkEnd w:id="58"/>
      <w:r>
        <w:rPr>
          <w:b w:val="0"/>
        </w:rPr>
      </w:r>
      <w:r>
        <w:rPr>
          <w:color w:val="0093C1"/>
        </w:rPr>
        <w:t>Chart 3.10</w:t>
      </w:r>
    </w:p>
    <w:p>
      <w:pPr>
        <w:spacing w:line="249" w:lineRule="auto" w:before="10"/>
        <w:ind w:left="174" w:right="84" w:firstLine="0"/>
        <w:jc w:val="left"/>
        <w:rPr>
          <w:b/>
          <w:sz w:val="20"/>
        </w:rPr>
      </w:pPr>
      <w:r>
        <w:rPr>
          <w:b/>
          <w:color w:val="0093C1"/>
          <w:sz w:val="20"/>
        </w:rPr>
        <w:t>Output responses of the major industrial groups to an unexpected monetary tightening</w:t>
      </w:r>
    </w:p>
    <w:p>
      <w:pPr>
        <w:spacing w:before="67"/>
        <w:ind w:left="3199" w:right="0" w:firstLine="0"/>
        <w:jc w:val="left"/>
        <w:rPr>
          <w:sz w:val="12"/>
        </w:rPr>
      </w:pPr>
      <w:r>
        <w:rPr/>
        <w:pict>
          <v:shape style="position:absolute;margin-left:40.220001pt;margin-top:11.455561pt;width:5pt;height:.1pt;mso-position-horizontal-relative:page;mso-position-vertical-relative:paragraph;z-index:15940096" coordorigin="804,229" coordsize="100,0" path="m864,229l904,229m804,229l864,229e" filled="false" stroked="true" strokeweight=".5pt" strokecolor="#000000">
            <v:path arrowok="t"/>
            <v:stroke dashstyle="solid"/>
            <w10:wrap type="none"/>
          </v:shape>
        </w:pict>
      </w:r>
      <w:r>
        <w:rPr>
          <w:sz w:val="12"/>
        </w:rPr>
        <w:t>Per ce</w:t>
      </w:r>
      <w:r>
        <w:rPr>
          <w:sz w:val="12"/>
          <w:u w:val="single"/>
        </w:rPr>
        <w:t>n</w:t>
      </w:r>
      <w:r>
        <w:rPr>
          <w:sz w:val="12"/>
        </w:rPr>
        <w:t>t </w:t>
      </w:r>
      <w:r>
        <w:rPr>
          <w:spacing w:val="11"/>
          <w:sz w:val="12"/>
        </w:rPr>
        <w:t> </w:t>
      </w:r>
      <w:r>
        <w:rPr>
          <w:position w:val="-7"/>
          <w:sz w:val="12"/>
        </w:rPr>
        <w:t>2</w:t>
      </w:r>
    </w:p>
    <w:p>
      <w:pPr>
        <w:pStyle w:val="BodyText"/>
        <w:rPr>
          <w:sz w:val="20"/>
        </w:rPr>
      </w:pPr>
    </w:p>
    <w:p>
      <w:pPr>
        <w:spacing w:before="132"/>
        <w:ind w:left="0" w:right="38" w:firstLine="0"/>
        <w:jc w:val="right"/>
        <w:rPr>
          <w:sz w:val="12"/>
        </w:rPr>
      </w:pPr>
      <w:r>
        <w:rPr/>
        <w:pict>
          <v:shape style="position:absolute;margin-left:40.220001pt;margin-top:10.699549pt;width:5pt;height:.1pt;mso-position-horizontal-relative:page;mso-position-vertical-relative:paragraph;z-index:15940608" coordorigin="804,214" coordsize="100,0" path="m864,214l904,214m804,214l864,214e" filled="false" stroked="true" strokeweight=".5pt" strokecolor="#000000">
            <v:path arrowok="t"/>
            <v:stroke dashstyle="solid"/>
            <w10:wrap type="none"/>
          </v:shape>
        </w:pict>
      </w:r>
      <w:r>
        <w:rPr/>
        <w:pict>
          <v:shape style="position:absolute;margin-left:206.220001pt;margin-top:10.699549pt;width:5pt;height:.1pt;mso-position-horizontal-relative:page;mso-position-vertical-relative:paragraph;z-index:15943680" coordorigin="4124,214" coordsize="100,0" path="m4164,214l4224,214m4124,214l4164,214e" filled="false" stroked="true" strokeweight=".5pt" strokecolor="#000000">
            <v:path arrowok="t"/>
            <v:stroke dashstyle="solid"/>
            <w10:wrap type="none"/>
          </v:shape>
        </w:pict>
      </w:r>
      <w:r>
        <w:rPr>
          <w:sz w:val="12"/>
        </w:rPr>
        <w:t>1</w:t>
      </w:r>
    </w:p>
    <w:p>
      <w:pPr>
        <w:spacing w:before="85"/>
        <w:ind w:left="0" w:right="67" w:firstLine="0"/>
        <w:jc w:val="right"/>
        <w:rPr>
          <w:sz w:val="16"/>
        </w:rPr>
      </w:pPr>
      <w:r>
        <w:rPr/>
        <w:pict>
          <v:group style="position:absolute;margin-left:49.720001pt;margin-top:5.36607pt;width:152.5pt;height:75.650pt;mso-position-horizontal-relative:page;mso-position-vertical-relative:paragraph;z-index:15939584" coordorigin="994,107" coordsize="3050,1513">
            <v:shape style="position:absolute;left:1004;top:204;width:3020;height:280" coordorigin="1004,204" coordsize="3020,280" path="m1004,244l1104,364,1204,244,1324,424,1424,484,1524,444,1624,384,1724,384,1844,404,1944,424,2144,384,2244,324,2364,264,2464,224,2564,204,2664,204,2764,224,2884,264,2984,304,3284,364,3404,384,3804,464,3924,484,4024,484e" filled="false" stroked="true" strokeweight="1pt" strokecolor="#008256">
              <v:path arrowok="t"/>
              <v:stroke dashstyle="solid"/>
            </v:shape>
            <v:shape style="position:absolute;left:1004;top:504;width:3020;height:440" coordorigin="1004,504" coordsize="3020,440" path="m1004,504l1204,664,1324,684,1424,764,1724,884,1844,924,1944,944,2244,944,2364,924,2464,884,2564,864,2664,824,2764,804,2884,764,3284,684,3404,684,3504,664,3924,664,4024,684e" filled="false" stroked="true" strokeweight="1pt" strokecolor="#faab54">
              <v:path arrowok="t"/>
              <v:stroke dashstyle="solid"/>
            </v:shape>
            <v:shape style="position:absolute;left:1004;top:264;width:3020;height:920" coordorigin="1004,264" coordsize="3020,920" path="m1004,264l1104,324,1204,324,1324,484,1424,824,1524,1004,1624,1124,1724,1184,1844,1184,2044,1144,2244,1024,2364,964,2764,644,2884,584,3184,464,3284,444,3404,424,3504,404,3924,404,4024,424e" filled="false" stroked="true" strokeweight="1pt" strokecolor="#0066a5">
              <v:path arrowok="t"/>
              <v:stroke dashstyle="solid"/>
            </v:shape>
            <v:shape style="position:absolute;left:1004;top:584;width:3020;height:900" coordorigin="1004,584" coordsize="3020,900" path="m1004,684l1104,684,1204,824,1324,1104,1424,1204,1524,1284,1624,1264,1724,1444,1844,1444,1944,1484,2044,1424,2144,1404,2244,1324,2364,1264,2464,1164,2564,1104,2664,1004,2764,944,2884,864,3084,744,3184,704,3284,684,3404,644,3604,604,3704,604,3804,584,4024,584e" filled="false" stroked="true" strokeweight="1pt" strokecolor="#ed1b2d">
              <v:path arrowok="t"/>
              <v:stroke dashstyle="solid"/>
            </v:shape>
            <v:shape style="position:absolute;left:2343;top:1016;width:396;height:350" type="#_x0000_t75" stroked="false">
              <v:imagedata r:id="rId60" o:title=""/>
            </v:shape>
            <v:shape style="position:absolute;left:1004;top:107;width:3040;height:733" type="#_x0000_t202" filled="false" stroked="false">
              <v:textbox inset="0,0,0,0">
                <w:txbxContent>
                  <w:p>
                    <w:pPr>
                      <w:spacing w:line="208" w:lineRule="auto" w:before="9"/>
                      <w:ind w:left="416" w:right="1664" w:hanging="47"/>
                      <w:jc w:val="left"/>
                      <w:rPr>
                        <w:sz w:val="12"/>
                      </w:rPr>
                    </w:pPr>
                    <w:r>
                      <w:rPr>
                        <w:sz w:val="12"/>
                      </w:rPr>
                      <w:t>Agriculture, forestry and fishing</w:t>
                    </w:r>
                  </w:p>
                  <w:p>
                    <w:pPr>
                      <w:tabs>
                        <w:tab w:pos="3019" w:val="left" w:leader="none"/>
                      </w:tabs>
                      <w:spacing w:before="6"/>
                      <w:ind w:left="0" w:right="0" w:firstLine="0"/>
                      <w:jc w:val="left"/>
                      <w:rPr>
                        <w:sz w:val="12"/>
                      </w:rPr>
                    </w:pPr>
                    <w:r>
                      <w:rPr>
                        <w:sz w:val="12"/>
                        <w:u w:val="single"/>
                      </w:rPr>
                      <w:t> </w:t>
                      <w:tab/>
                    </w:r>
                  </w:p>
                  <w:p>
                    <w:pPr>
                      <w:spacing w:line="208" w:lineRule="auto" w:before="96"/>
                      <w:ind w:left="623" w:right="1930" w:hanging="60"/>
                      <w:jc w:val="left"/>
                      <w:rPr>
                        <w:sz w:val="12"/>
                      </w:rPr>
                    </w:pPr>
                    <w:r>
                      <w:rPr>
                        <w:sz w:val="12"/>
                      </w:rPr>
                      <w:t>Service industries</w:t>
                    </w:r>
                  </w:p>
                </w:txbxContent>
              </v:textbox>
              <w10:wrap type="none"/>
            </v:shape>
            <v:shape style="position:absolute;left:2674;top:1380;width:1044;height:133" type="#_x0000_t202" filled="false" stroked="false">
              <v:textbox inset="0,0,0,0">
                <w:txbxContent>
                  <w:p>
                    <w:pPr>
                      <w:spacing w:line="133" w:lineRule="exact" w:before="0"/>
                      <w:ind w:left="0" w:right="0" w:firstLine="0"/>
                      <w:jc w:val="left"/>
                      <w:rPr>
                        <w:sz w:val="12"/>
                      </w:rPr>
                    </w:pPr>
                    <w:r>
                      <w:rPr>
                        <w:sz w:val="12"/>
                      </w:rPr>
                      <w:t>Production industries</w:t>
                    </w:r>
                  </w:p>
                </w:txbxContent>
              </v:textbox>
              <w10:wrap type="none"/>
            </v:shape>
            <v:shape style="position:absolute;left:1474;top:1487;width:640;height:133" type="#_x0000_t202" filled="false" stroked="false">
              <v:textbox inset="0,0,0,0">
                <w:txbxContent>
                  <w:p>
                    <w:pPr>
                      <w:spacing w:line="133" w:lineRule="exact" w:before="0"/>
                      <w:ind w:left="0" w:right="0" w:firstLine="0"/>
                      <w:jc w:val="left"/>
                      <w:rPr>
                        <w:sz w:val="12"/>
                      </w:rPr>
                    </w:pPr>
                    <w:r>
                      <w:rPr>
                        <w:sz w:val="12"/>
                      </w:rPr>
                      <w:t>Construction</w:t>
                    </w:r>
                  </w:p>
                </w:txbxContent>
              </v:textbox>
              <w10:wrap type="none"/>
            </v:shape>
            <w10:wrap type="none"/>
          </v:group>
        </w:pict>
      </w:r>
      <w:r>
        <w:rPr>
          <w:sz w:val="16"/>
        </w:rPr>
        <w:t>+</w:t>
      </w:r>
    </w:p>
    <w:p>
      <w:pPr>
        <w:spacing w:line="130" w:lineRule="exact" w:before="93"/>
        <w:ind w:left="3444" w:right="0" w:firstLine="0"/>
        <w:jc w:val="center"/>
        <w:rPr>
          <w:sz w:val="12"/>
        </w:rPr>
      </w:pPr>
      <w:r>
        <w:rPr/>
        <w:pict>
          <v:shape style="position:absolute;margin-left:40.220001pt;margin-top:8.747564pt;width:5pt;height:.1pt;mso-position-horizontal-relative:page;mso-position-vertical-relative:paragraph;z-index:15941120" coordorigin="804,175" coordsize="100,0" path="m864,175l904,175m804,175l864,175e" filled="false" stroked="true" strokeweight=".5pt" strokecolor="#000000">
            <v:path arrowok="t"/>
            <v:stroke dashstyle="solid"/>
            <w10:wrap type="none"/>
          </v:shape>
        </w:pict>
      </w:r>
      <w:r>
        <w:rPr>
          <w:sz w:val="12"/>
          <w:u w:val="single"/>
        </w:rPr>
        <w:t>  </w:t>
      </w:r>
      <w:r>
        <w:rPr>
          <w:spacing w:val="10"/>
          <w:sz w:val="12"/>
          <w:u w:val="single"/>
        </w:rPr>
        <w:t> </w:t>
      </w:r>
      <w:r>
        <w:rPr>
          <w:sz w:val="12"/>
        </w:rPr>
        <w:t>  </w:t>
      </w:r>
      <w:r>
        <w:rPr>
          <w:spacing w:val="-14"/>
          <w:sz w:val="12"/>
        </w:rPr>
        <w:t> </w:t>
      </w:r>
      <w:r>
        <w:rPr>
          <w:sz w:val="12"/>
        </w:rPr>
        <w:t>0</w:t>
      </w:r>
    </w:p>
    <w:p>
      <w:pPr>
        <w:spacing w:line="176" w:lineRule="exact" w:before="0"/>
        <w:ind w:left="3521" w:right="0" w:firstLine="0"/>
        <w:jc w:val="center"/>
        <w:rPr>
          <w:sz w:val="16"/>
        </w:rPr>
      </w:pPr>
      <w:r>
        <w:rPr>
          <w:sz w:val="16"/>
        </w:rPr>
        <w:t>_</w:t>
      </w:r>
    </w:p>
    <w:p>
      <w:pPr>
        <w:pStyle w:val="BodyText"/>
        <w:spacing w:before="10"/>
        <w:rPr>
          <w:sz w:val="16"/>
        </w:rPr>
      </w:pPr>
    </w:p>
    <w:p>
      <w:pPr>
        <w:spacing w:before="0"/>
        <w:ind w:left="0" w:right="38" w:firstLine="0"/>
        <w:jc w:val="right"/>
        <w:rPr>
          <w:sz w:val="12"/>
        </w:rPr>
      </w:pPr>
      <w:r>
        <w:rPr/>
        <w:pict>
          <v:shape style="position:absolute;margin-left:40.220001pt;margin-top:4.095551pt;width:5pt;height:.1pt;mso-position-horizontal-relative:page;mso-position-vertical-relative:paragraph;z-index:15941632" coordorigin="804,82" coordsize="100,0" path="m864,82l904,82m804,82l864,82e" filled="false" stroked="true" strokeweight=".5pt" strokecolor="#000000">
            <v:path arrowok="t"/>
            <v:stroke dashstyle="solid"/>
            <w10:wrap type="none"/>
          </v:shape>
        </w:pict>
      </w:r>
      <w:r>
        <w:rPr/>
        <w:pict>
          <v:shape style="position:absolute;margin-left:206.220001pt;margin-top:4.095551pt;width:5pt;height:.1pt;mso-position-horizontal-relative:page;mso-position-vertical-relative:paragraph;z-index:15944192" coordorigin="4124,82" coordsize="100,0" path="m4164,82l4224,82m4124,82l4164,82e" filled="false" stroked="true" strokeweight=".5pt" strokecolor="#000000">
            <v:path arrowok="t"/>
            <v:stroke dashstyle="solid"/>
            <w10:wrap type="none"/>
          </v:shape>
        </w:pict>
      </w:r>
      <w:r>
        <w:rPr>
          <w:sz w:val="12"/>
        </w:rPr>
        <w:t>1</w:t>
      </w:r>
    </w:p>
    <w:p>
      <w:pPr>
        <w:pStyle w:val="BodyText"/>
        <w:rPr>
          <w:sz w:val="12"/>
        </w:rPr>
      </w:pPr>
    </w:p>
    <w:p>
      <w:pPr>
        <w:pStyle w:val="BodyText"/>
        <w:rPr>
          <w:sz w:val="12"/>
        </w:rPr>
      </w:pPr>
    </w:p>
    <w:p>
      <w:pPr>
        <w:spacing w:before="86"/>
        <w:ind w:left="0" w:right="38" w:firstLine="0"/>
        <w:jc w:val="right"/>
        <w:rPr>
          <w:sz w:val="12"/>
        </w:rPr>
      </w:pPr>
      <w:r>
        <w:rPr/>
        <w:pict>
          <v:shape style="position:absolute;margin-left:40.220001pt;margin-top:8.393567pt;width:5pt;height:.1pt;mso-position-horizontal-relative:page;mso-position-vertical-relative:paragraph;z-index:15942144" coordorigin="804,168" coordsize="100,0" path="m864,168l904,168m804,168l864,168e" filled="false" stroked="true" strokeweight=".5pt" strokecolor="#000000">
            <v:path arrowok="t"/>
            <v:stroke dashstyle="solid"/>
            <w10:wrap type="none"/>
          </v:shape>
        </w:pict>
      </w:r>
      <w:r>
        <w:rPr/>
        <w:pict>
          <v:shape style="position:absolute;margin-left:206.220001pt;margin-top:8.393567pt;width:5pt;height:.1pt;mso-position-horizontal-relative:page;mso-position-vertical-relative:paragraph;z-index:15944704" coordorigin="4124,168" coordsize="100,0" path="m4164,168l4224,168m4124,168l4164,168e" filled="false" stroked="true" strokeweight=".5pt" strokecolor="#000000">
            <v:path arrowok="t"/>
            <v:stroke dashstyle="solid"/>
            <w10:wrap type="none"/>
          </v:shape>
        </w:pict>
      </w:r>
      <w:r>
        <w:rPr>
          <w:sz w:val="12"/>
        </w:rPr>
        <w:t>2</w:t>
      </w:r>
    </w:p>
    <w:p>
      <w:pPr>
        <w:pStyle w:val="BodyText"/>
        <w:rPr>
          <w:sz w:val="12"/>
        </w:rPr>
      </w:pPr>
    </w:p>
    <w:p>
      <w:pPr>
        <w:pStyle w:val="BodyText"/>
        <w:rPr>
          <w:sz w:val="12"/>
        </w:rPr>
      </w:pPr>
    </w:p>
    <w:p>
      <w:pPr>
        <w:spacing w:before="86"/>
        <w:ind w:left="0" w:right="38" w:firstLine="0"/>
        <w:jc w:val="right"/>
        <w:rPr>
          <w:sz w:val="12"/>
        </w:rPr>
      </w:pPr>
      <w:r>
        <w:rPr/>
        <w:pict>
          <v:shape style="position:absolute;margin-left:40.220001pt;margin-top:8.391553pt;width:5pt;height:.1pt;mso-position-horizontal-relative:page;mso-position-vertical-relative:paragraph;z-index:15942656" coordorigin="804,168" coordsize="100,0" path="m864,168l904,168m804,168l864,168e" filled="false" stroked="true" strokeweight=".5pt" strokecolor="#000000">
            <v:path arrowok="t"/>
            <v:stroke dashstyle="solid"/>
            <w10:wrap type="none"/>
          </v:shape>
        </w:pict>
      </w:r>
      <w:r>
        <w:rPr/>
        <w:pict>
          <v:shape style="position:absolute;margin-left:206.220001pt;margin-top:8.391553pt;width:5pt;height:.1pt;mso-position-horizontal-relative:page;mso-position-vertical-relative:paragraph;z-index:15945216" coordorigin="4124,168" coordsize="100,0" path="m4164,168l4224,168m4124,168l4164,168e" filled="false" stroked="true" strokeweight=".5pt" strokecolor="#000000">
            <v:path arrowok="t"/>
            <v:stroke dashstyle="solid"/>
            <w10:wrap type="none"/>
          </v:shape>
        </w:pict>
      </w:r>
      <w:r>
        <w:rPr>
          <w:sz w:val="12"/>
        </w:rPr>
        <w:t>3</w:t>
      </w:r>
    </w:p>
    <w:p>
      <w:pPr>
        <w:pStyle w:val="BodyText"/>
        <w:rPr>
          <w:sz w:val="12"/>
        </w:rPr>
      </w:pPr>
    </w:p>
    <w:p>
      <w:pPr>
        <w:pStyle w:val="BodyText"/>
        <w:rPr>
          <w:sz w:val="12"/>
        </w:rPr>
      </w:pPr>
    </w:p>
    <w:p>
      <w:pPr>
        <w:tabs>
          <w:tab w:pos="399" w:val="left" w:leader="none"/>
          <w:tab w:pos="819" w:val="left" w:leader="none"/>
          <w:tab w:pos="1219" w:val="left" w:leader="none"/>
          <w:tab w:pos="1619" w:val="left" w:leader="none"/>
          <w:tab w:pos="2039" w:val="left" w:leader="none"/>
          <w:tab w:pos="2459" w:val="left" w:leader="none"/>
          <w:tab w:pos="2859" w:val="left" w:leader="none"/>
          <w:tab w:pos="3326" w:val="left" w:leader="none"/>
        </w:tabs>
        <w:spacing w:before="106"/>
        <w:ind w:left="0" w:right="38" w:firstLine="0"/>
        <w:jc w:val="right"/>
        <w:rPr>
          <w:sz w:val="12"/>
        </w:rPr>
      </w:pPr>
      <w:r>
        <w:rPr/>
        <w:pict>
          <v:shape style="position:absolute;margin-left:40.220001pt;margin-top:8.401563pt;width:5pt;height:.1pt;mso-position-horizontal-relative:page;mso-position-vertical-relative:paragraph;z-index:15943168" coordorigin="804,168" coordsize="100,0" path="m864,168l904,168m804,168l864,168e" filled="false" stroked="true" strokeweight=".5pt" strokecolor="#000000">
            <v:path arrowok="t"/>
            <v:stroke dashstyle="solid"/>
            <w10:wrap type="none"/>
          </v:shape>
        </w:pict>
      </w:r>
      <w:r>
        <w:rPr/>
        <w:pict>
          <v:shape style="position:absolute;margin-left:206.220001pt;margin-top:8.401563pt;width:5pt;height:.1pt;mso-position-horizontal-relative:page;mso-position-vertical-relative:paragraph;z-index:-20792320" coordorigin="4124,168" coordsize="100,0" path="m4164,168l4224,168m4124,168l4164,168e" filled="false" stroked="true" strokeweight=".5pt" strokecolor="#000000">
            <v:path arrowok="t"/>
            <v:stroke dashstyle="solid"/>
            <w10:wrap type="none"/>
          </v:shape>
        </w:pict>
      </w:r>
      <w:r>
        <w:rPr/>
        <w:pict>
          <v:shape style="position:absolute;margin-left:50.220001pt;margin-top:3.401562pt;width:151pt;height:5pt;mso-position-horizontal-relative:page;mso-position-vertical-relative:paragraph;z-index:-20791808" coordorigin="1004,68" coordsize="3020,100" path="m1104,168l1104,108m1204,168l1204,108m1324,168l1324,108m1524,168l1524,108m1624,168l1624,108m1724,168l1724,108m1944,168l1944,108m2044,168l2044,108m2144,168l2144,108m2364,168l2364,108m2464,168l2464,108m2564,168l2564,108m2764,168l2764,108m2884,168l2884,108m2984,168l2984,108m3184,168l3184,108m3284,168l3284,108m3404,168l3404,108m3604,168l3604,108m3704,168l3704,108m3804,168l3804,108m4024,168l4024,108m1004,168l4024,168m1004,168l1004,108m1424,168l1424,108m1844,168l1844,108m2244,168l2244,108m2664,168l2664,108m3084,168l3084,108m3504,168l3504,108m3924,168l3924,108m1004,108l1004,68m1424,108l1424,68m1844,108l1844,68m2244,108l2244,68m2664,108l2664,68m3084,108l3084,68m3504,108l3504,68m3924,108l3924,68e" filled="false" stroked="true" strokeweight=".5pt" strokecolor="#000000">
            <v:path arrowok="t"/>
            <v:stroke dashstyle="solid"/>
            <w10:wrap type="none"/>
          </v:shape>
        </w:pict>
      </w:r>
      <w:r>
        <w:rPr>
          <w:sz w:val="12"/>
        </w:rPr>
        <w:t>0</w:t>
        <w:tab/>
        <w:t>4</w:t>
        <w:tab/>
        <w:t>8</w:t>
        <w:tab/>
        <w:t>12</w:t>
        <w:tab/>
        <w:t>16</w:t>
        <w:tab/>
        <w:t>20</w:t>
        <w:tab/>
        <w:t>24</w:t>
        <w:tab/>
        <w:t>28</w:t>
        <w:tab/>
      </w:r>
      <w:r>
        <w:rPr>
          <w:position w:val="6"/>
          <w:sz w:val="12"/>
        </w:rPr>
        <w:t>4</w:t>
      </w:r>
    </w:p>
    <w:p>
      <w:pPr>
        <w:spacing w:line="511" w:lineRule="auto" w:before="22"/>
        <w:ind w:left="174" w:right="1475" w:firstLine="1120"/>
        <w:jc w:val="left"/>
        <w:rPr>
          <w:sz w:val="12"/>
        </w:rPr>
      </w:pPr>
      <w:r>
        <w:rPr>
          <w:sz w:val="12"/>
        </w:rPr>
        <w:t>Quarters after shock </w:t>
      </w:r>
      <w:r>
        <w:rPr>
          <w:color w:val="231F20"/>
          <w:sz w:val="12"/>
        </w:rPr>
        <w:t>Source: Ganley, J and Salmon, C (1996).</w:t>
      </w:r>
    </w:p>
    <w:p>
      <w:pPr>
        <w:pStyle w:val="Heading5"/>
        <w:spacing w:line="242" w:lineRule="auto" w:before="207"/>
        <w:ind w:left="174" w:right="125"/>
      </w:pPr>
      <w:r>
        <w:rPr/>
        <w:br w:type="column"/>
      </w:r>
      <w:r>
        <w:rPr>
          <w:color w:val="231F20"/>
        </w:rPr>
        <w:t>Economic Survey in 1997 Q3 noted that the peak of service sector activity may have passed, with the balance of firms reporting improved sales and orders falling below the peak recorded earlier in the year. The C</w:t>
      </w:r>
      <w:r>
        <w:rPr>
          <w:color w:val="231F20"/>
          <w:sz w:val="20"/>
        </w:rPr>
        <w:t>IPS </w:t>
      </w:r>
      <w:r>
        <w:rPr>
          <w:color w:val="231F20"/>
        </w:rPr>
        <w:t>survey also reported signs of slower service sector activity, but noted that there was some evidence of acceleration in October. The Bank’s regional Agencies conducted a small survey in November for the Monetary Policy Committee to examine developments in the service sector. The findings suggested that growth had been higher in 1997 Q3 than in the first half of the year. More respondents expected growth to increase in the coming quarters than expected it to fall, though some parts of the sector, notably financial services and hotels, anticipated some moderation.</w:t>
      </w:r>
    </w:p>
    <w:p>
      <w:pPr>
        <w:pStyle w:val="BodyText"/>
        <w:spacing w:before="7"/>
        <w:rPr>
          <w:sz w:val="22"/>
        </w:rPr>
      </w:pPr>
    </w:p>
    <w:p>
      <w:pPr>
        <w:spacing w:line="242" w:lineRule="auto" w:before="0"/>
        <w:ind w:left="174" w:right="192" w:firstLine="0"/>
        <w:jc w:val="left"/>
        <w:rPr>
          <w:sz w:val="24"/>
        </w:rPr>
      </w:pPr>
      <w:r>
        <w:rPr>
          <w:color w:val="231F20"/>
          <w:sz w:val="24"/>
        </w:rPr>
        <w:t>It is useful to place the latest output data in the context of the tightening of monetary policy that began six months ago. Chart 3.10 draws out the likely effects of monetary policy on output. It offers a stylised sense of the speed and magnitude of firms’ reactions to monetary policy by examining the responsiveness of the major sectors to an unexpected increase in interest rates.</w:t>
      </w:r>
      <w:r>
        <w:rPr>
          <w:color w:val="231F20"/>
          <w:position w:val="5"/>
          <w:sz w:val="16"/>
        </w:rPr>
        <w:t>(1) </w:t>
      </w:r>
      <w:r>
        <w:rPr>
          <w:color w:val="231F20"/>
          <w:sz w:val="24"/>
        </w:rPr>
        <w:t>The chart shows that monetary policy has its maximum impact at a horizon of some two years ahead and that different sectors respond differently and at different speeds. In particular, the largest absolute responses occur in the construction and production sectors. This is because the construction sector, which is closely linked to housing </w:t>
      </w:r>
      <w:r>
        <w:rPr>
          <w:color w:val="231F20"/>
          <w:spacing w:val="-3"/>
          <w:sz w:val="24"/>
        </w:rPr>
        <w:t>activity, </w:t>
      </w:r>
      <w:r>
        <w:rPr>
          <w:color w:val="231F20"/>
          <w:sz w:val="24"/>
        </w:rPr>
        <w:t>is more sensitive to interest rate changes than, </w:t>
      </w:r>
      <w:r>
        <w:rPr>
          <w:color w:val="231F20"/>
          <w:spacing w:val="-5"/>
          <w:sz w:val="24"/>
        </w:rPr>
        <w:t>say, </w:t>
      </w:r>
      <w:r>
        <w:rPr>
          <w:color w:val="231F20"/>
          <w:sz w:val="24"/>
        </w:rPr>
        <w:t>agriculture, which has long lags in its production cycle.  The reaction of the service sector to an interest rate increase is also quite swift. So some early signs of the recent monetary policy tightening should emerge in the construction and service</w:t>
      </w:r>
      <w:r>
        <w:rPr>
          <w:color w:val="231F20"/>
          <w:spacing w:val="-5"/>
          <w:sz w:val="24"/>
        </w:rPr>
        <w:t> </w:t>
      </w:r>
      <w:r>
        <w:rPr>
          <w:color w:val="231F20"/>
          <w:sz w:val="24"/>
        </w:rPr>
        <w:t>sectors.</w:t>
      </w:r>
    </w:p>
    <w:p>
      <w:pPr>
        <w:spacing w:line="242" w:lineRule="auto" w:before="24"/>
        <w:ind w:left="174" w:right="193" w:firstLine="0"/>
        <w:jc w:val="left"/>
        <w:rPr>
          <w:sz w:val="24"/>
        </w:rPr>
      </w:pPr>
      <w:r>
        <w:rPr>
          <w:color w:val="231F20"/>
          <w:sz w:val="24"/>
        </w:rPr>
        <w:t>But while there are some indications of growth slowing in the service sector, the construction sector shows no such signs as y</w:t>
      </w:r>
      <w:hyperlink w:history="true" w:anchor="_bookmark22">
        <w:r>
          <w:rPr>
            <w:color w:val="231F20"/>
            <w:sz w:val="24"/>
          </w:rPr>
          <w:t>et, as noted in the box</w:t>
        </w:r>
      </w:hyperlink>
      <w:r>
        <w:rPr>
          <w:color w:val="231F20"/>
          <w:sz w:val="24"/>
        </w:rPr>
        <w:t> on page 23.</w:t>
      </w:r>
    </w:p>
    <w:p>
      <w:pPr>
        <w:spacing w:after="0" w:line="242" w:lineRule="auto"/>
        <w:jc w:val="left"/>
        <w:rPr>
          <w:sz w:val="24"/>
        </w:rPr>
        <w:sectPr>
          <w:type w:val="continuous"/>
          <w:pgSz w:w="11900" w:h="16840"/>
          <w:pgMar w:top="1040" w:bottom="280" w:left="640" w:right="660"/>
          <w:cols w:num="2" w:equalWidth="0">
            <w:col w:w="3762" w:space="1027"/>
            <w:col w:w="5811"/>
          </w:cols>
        </w:sectPr>
      </w:pPr>
    </w:p>
    <w:p>
      <w:pPr>
        <w:pStyle w:val="BodyText"/>
        <w:spacing w:before="1"/>
        <w:rPr>
          <w:sz w:val="24"/>
        </w:rPr>
      </w:pPr>
    </w:p>
    <w:p>
      <w:pPr>
        <w:pStyle w:val="Heading3"/>
        <w:numPr>
          <w:ilvl w:val="1"/>
          <w:numId w:val="13"/>
        </w:numPr>
        <w:tabs>
          <w:tab w:pos="9061" w:val="left" w:leader="none"/>
          <w:tab w:pos="9062" w:val="left" w:leader="none"/>
          <w:tab w:pos="10462" w:val="left" w:leader="none"/>
        </w:tabs>
        <w:spacing w:line="240" w:lineRule="auto" w:before="89" w:after="0"/>
        <w:ind w:left="9061" w:right="0" w:hanging="4099"/>
        <w:jc w:val="left"/>
        <w:rPr>
          <w:color w:val="009483"/>
        </w:rPr>
      </w:pPr>
      <w:r>
        <w:rPr>
          <w:color w:val="009483"/>
          <w:u w:val="thick" w:color="0093C1"/>
        </w:rPr>
        <w:t>Summary</w:t>
        <w:tab/>
      </w:r>
    </w:p>
    <w:p>
      <w:pPr>
        <w:pStyle w:val="BodyText"/>
        <w:spacing w:before="10"/>
        <w:rPr>
          <w:b/>
          <w:sz w:val="23"/>
        </w:rPr>
      </w:pPr>
    </w:p>
    <w:p>
      <w:pPr>
        <w:spacing w:line="242" w:lineRule="auto" w:before="0"/>
        <w:ind w:left="4963" w:right="162" w:hanging="1"/>
        <w:jc w:val="left"/>
        <w:rPr>
          <w:sz w:val="24"/>
        </w:rPr>
      </w:pPr>
      <w:r>
        <w:rPr>
          <w:color w:val="231F20"/>
          <w:sz w:val="24"/>
        </w:rPr>
        <w:t>Real GDP continued to grow quickly in the third quarter of 1997. Domestically, private demand provided the momentum for above-average growth and reflected strong broad money growth and increased financial wealth from rising asset prices and windfall gains.</w:t>
      </w:r>
    </w:p>
    <w:p>
      <w:pPr>
        <w:spacing w:before="7"/>
        <w:ind w:left="4963" w:right="0" w:firstLine="0"/>
        <w:jc w:val="left"/>
        <w:rPr>
          <w:sz w:val="24"/>
        </w:rPr>
      </w:pPr>
      <w:r>
        <w:rPr>
          <w:color w:val="231F20"/>
          <w:sz w:val="24"/>
        </w:rPr>
        <w:t>Windfall-related spending has boosted consumption, and</w:t>
      </w:r>
    </w:p>
    <w:p>
      <w:pPr>
        <w:pStyle w:val="BodyText"/>
        <w:spacing w:before="1"/>
        <w:rPr>
          <w:sz w:val="12"/>
        </w:rPr>
      </w:pPr>
      <w:r>
        <w:rPr/>
        <w:pict>
          <v:shape style="position:absolute;margin-left:280.119995pt;margin-top:9.015127pt;width:276pt;height:.1pt;mso-position-horizontal-relative:page;mso-position-vertical-relative:paragraph;z-index:-15519744;mso-wrap-distance-left:0;mso-wrap-distance-right:0" coordorigin="5602,180" coordsize="5520,0" path="m5602,180l11122,180e" filled="false" stroked="true" strokeweight=".125pt" strokecolor="#231f20">
            <v:path arrowok="t"/>
            <v:stroke dashstyle="solid"/>
            <w10:wrap type="topAndBottom"/>
          </v:shape>
        </w:pict>
      </w:r>
    </w:p>
    <w:p>
      <w:pPr>
        <w:spacing w:line="208" w:lineRule="auto" w:before="0"/>
        <w:ind w:left="5203" w:right="660" w:hanging="240"/>
        <w:jc w:val="left"/>
        <w:rPr>
          <w:sz w:val="16"/>
        </w:rPr>
      </w:pPr>
      <w:r>
        <w:rPr>
          <w:color w:val="231F20"/>
          <w:sz w:val="16"/>
        </w:rPr>
        <w:t>(1) Ganley, J and Salmon, C (1996), ‘The industrial impact of monetary policy’, </w:t>
      </w:r>
      <w:r>
        <w:rPr>
          <w:i/>
          <w:color w:val="231F20"/>
          <w:sz w:val="16"/>
        </w:rPr>
        <w:t>Quarterly Bulletin</w:t>
      </w:r>
      <w:r>
        <w:rPr>
          <w:color w:val="231F20"/>
          <w:sz w:val="16"/>
        </w:rPr>
        <w:t>, August, pages 288–98. They estimate a set </w:t>
      </w:r>
      <w:r>
        <w:rPr>
          <w:color w:val="231F20"/>
          <w:spacing w:val="-8"/>
          <w:sz w:val="16"/>
        </w:rPr>
        <w:t>of </w:t>
      </w:r>
      <w:r>
        <w:rPr>
          <w:color w:val="231F20"/>
          <w:sz w:val="16"/>
        </w:rPr>
        <w:t>four equations for official interest rates, real GDP, the GDP deflator and industry output. The response of industry output to an unexpected increase in official interest rates of around 1 percentage point is then examined.</w:t>
      </w:r>
    </w:p>
    <w:p>
      <w:pPr>
        <w:spacing w:after="0" w:line="208" w:lineRule="auto"/>
        <w:jc w:val="left"/>
        <w:rPr>
          <w:sz w:val="16"/>
        </w:rPr>
        <w:sectPr>
          <w:type w:val="continuous"/>
          <w:pgSz w:w="11900" w:h="16840"/>
          <w:pgMar w:top="1040" w:bottom="280" w:left="640" w:right="660"/>
        </w:sectPr>
      </w:pPr>
    </w:p>
    <w:p>
      <w:pPr>
        <w:pStyle w:val="BodyText"/>
        <w:rPr>
          <w:sz w:val="20"/>
        </w:rPr>
      </w:pPr>
    </w:p>
    <w:p>
      <w:pPr>
        <w:pStyle w:val="Heading5"/>
        <w:spacing w:line="242" w:lineRule="auto" w:before="227"/>
        <w:ind w:left="4974" w:right="174" w:hanging="1"/>
      </w:pPr>
      <w:r>
        <w:rPr>
          <w:color w:val="231F20"/>
        </w:rPr>
        <w:t>a survey conducted by M</w:t>
      </w:r>
      <w:r>
        <w:rPr>
          <w:color w:val="231F20"/>
          <w:sz w:val="20"/>
        </w:rPr>
        <w:t>ORI </w:t>
      </w:r>
      <w:r>
        <w:rPr>
          <w:color w:val="231F20"/>
        </w:rPr>
        <w:t>on behalf of the Bank suggests that this effect will be concentrated in 1997. Evidence from GDP data in 1997 Q3 and recent surveys suggests that the pace of activity in the service sector may be slowing. A central issue, therefore, is how far the unwinding of the initial impact of windfall spending and the cumulative effect of recent interest rate </w:t>
      </w:r>
      <w:r>
        <w:rPr>
          <w:color w:val="231F20"/>
          <w:spacing w:val="-3"/>
        </w:rPr>
        <w:t>increases </w:t>
      </w:r>
      <w:r>
        <w:rPr>
          <w:color w:val="231F20"/>
        </w:rPr>
        <w:t>will slow demand growth in</w:t>
      </w:r>
      <w:r>
        <w:rPr>
          <w:color w:val="231F20"/>
          <w:spacing w:val="-2"/>
        </w:rPr>
        <w:t> </w:t>
      </w:r>
      <w:r>
        <w:rPr>
          <w:color w:val="231F20"/>
        </w:rPr>
        <w:t>1998.</w:t>
      </w:r>
    </w:p>
    <w:p>
      <w:pPr>
        <w:pStyle w:val="BodyText"/>
        <w:spacing w:before="3"/>
        <w:rPr>
          <w:sz w:val="25"/>
        </w:rPr>
      </w:pPr>
    </w:p>
    <w:p>
      <w:pPr>
        <w:spacing w:line="242" w:lineRule="auto" w:before="0"/>
        <w:ind w:left="4975" w:right="162" w:firstLine="0"/>
        <w:jc w:val="left"/>
        <w:rPr>
          <w:sz w:val="24"/>
        </w:rPr>
      </w:pPr>
      <w:r>
        <w:rPr>
          <w:color w:val="231F20"/>
          <w:sz w:val="24"/>
        </w:rPr>
        <w:t>On the external side, the exchange rate appreciation has had a smaller-than-expected effect on net exports. This largely reflects the limited pass-through to relative prices, as firms absorb the impact of the appreciation on their margins, and the strength of overseas demand.</w:t>
      </w:r>
    </w:p>
    <w:p>
      <w:pPr>
        <w:spacing w:line="242" w:lineRule="auto" w:before="7"/>
        <w:ind w:left="4976" w:right="162" w:firstLine="0"/>
        <w:jc w:val="left"/>
        <w:rPr>
          <w:sz w:val="24"/>
        </w:rPr>
      </w:pPr>
      <w:r>
        <w:rPr>
          <w:color w:val="231F20"/>
          <w:sz w:val="24"/>
        </w:rPr>
        <w:t>Nevertheless, it remains likely that net trade will continue to make negative contributions to GDP growth in the coming quarters.</w:t>
      </w:r>
    </w:p>
    <w:p>
      <w:pPr>
        <w:spacing w:after="0" w:line="242" w:lineRule="auto"/>
        <w:jc w:val="left"/>
        <w:rPr>
          <w:sz w:val="24"/>
        </w:rPr>
        <w:sectPr>
          <w:pgSz w:w="11900" w:h="16840"/>
          <w:pgMar w:header="586" w:footer="617" w:top="780" w:bottom="800" w:left="640" w:right="66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510016;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59"/>
                  <w:bookmarkEnd w:id="59"/>
                  <w:r>
                    <w:rPr/>
                  </w:r>
                  <w:bookmarkStart w:name="Nominal earnings" w:id="60"/>
                  <w:bookmarkEnd w:id="60"/>
                  <w:r>
                    <w:rPr/>
                  </w:r>
                  <w:bookmarkStart w:name="_bookmark28" w:id="61"/>
                  <w:bookmarkEnd w:id="61"/>
                  <w:r>
                    <w:rPr/>
                  </w:r>
                  <w:bookmarkStart w:name="_bookmark29" w:id="62"/>
                  <w:bookmarkEnd w:id="62"/>
                  <w:r>
                    <w:rPr/>
                  </w:r>
                  <w:r>
                    <w:rPr>
                      <w:b/>
                      <w:color w:val="009483"/>
                      <w:sz w:val="72"/>
                    </w:rPr>
                    <w:t>4</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61"/>
          <w:footerReference w:type="even" r:id="rId62"/>
          <w:footerReference w:type="default" r:id="rId63"/>
          <w:pgSz w:w="11880" w:h="16840"/>
          <w:pgMar w:header="0" w:footer="904" w:top="760" w:bottom="1100" w:left="640" w:right="6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7"/>
        </w:rPr>
      </w:pPr>
    </w:p>
    <w:p>
      <w:pPr>
        <w:pStyle w:val="Heading9"/>
        <w:spacing w:before="0"/>
      </w:pPr>
      <w:r>
        <w:rPr>
          <w:color w:val="0093C1"/>
        </w:rPr>
        <w:t>Chart 4.1</w:t>
      </w:r>
    </w:p>
    <w:p>
      <w:pPr>
        <w:spacing w:before="11"/>
        <w:ind w:left="180" w:right="0" w:firstLine="0"/>
        <w:jc w:val="left"/>
        <w:rPr>
          <w:sz w:val="12"/>
        </w:rPr>
      </w:pPr>
      <w:r>
        <w:rPr>
          <w:b/>
          <w:color w:val="0093C1"/>
          <w:sz w:val="20"/>
        </w:rPr>
        <w:t>Underlying earnings growth</w:t>
      </w:r>
      <w:r>
        <w:rPr>
          <w:color w:val="231F20"/>
          <w:position w:val="4"/>
          <w:sz w:val="12"/>
        </w:rPr>
        <w:t>(a)</w:t>
      </w:r>
    </w:p>
    <w:p>
      <w:pPr>
        <w:spacing w:before="89"/>
        <w:ind w:left="1920" w:right="0" w:firstLine="0"/>
        <w:jc w:val="left"/>
        <w:rPr>
          <w:sz w:val="12"/>
        </w:rPr>
      </w:pPr>
      <w:r>
        <w:rPr/>
        <w:pict>
          <v:line style="position:absolute;mso-position-horizontal-relative:page;mso-position-vertical-relative:paragraph;z-index:15950336" from="52.5pt,11.801562pt" to="47.5pt,11.801562pt" stroked="true" strokeweight=".5pt" strokecolor="#000000">
            <v:stroke dashstyle="solid"/>
            <w10:wrap type="none"/>
          </v:line>
        </w:pict>
      </w:r>
      <w:r>
        <w:rPr>
          <w:sz w:val="12"/>
        </w:rPr>
        <w:t>Percentage change on a year earl</w:t>
      </w:r>
      <w:r>
        <w:rPr>
          <w:sz w:val="12"/>
          <w:u w:val="single"/>
        </w:rPr>
        <w:t>ie</w:t>
      </w:r>
      <w:r>
        <w:rPr>
          <w:sz w:val="12"/>
        </w:rPr>
        <w:t>r </w:t>
      </w:r>
      <w:r>
        <w:rPr>
          <w:position w:val="-6"/>
          <w:sz w:val="12"/>
        </w:rPr>
        <w:t>8</w:t>
      </w:r>
    </w:p>
    <w:p>
      <w:pPr>
        <w:pStyle w:val="BodyText"/>
        <w:spacing w:before="10"/>
      </w:pPr>
    </w:p>
    <w:p>
      <w:pPr>
        <w:spacing w:before="0"/>
        <w:ind w:left="0" w:right="38" w:firstLine="0"/>
        <w:jc w:val="right"/>
        <w:rPr>
          <w:sz w:val="12"/>
        </w:rPr>
      </w:pPr>
      <w:r>
        <w:rPr/>
        <w:pict>
          <v:group style="position:absolute;margin-left:47.5pt;margin-top:-5.398438pt;width:165pt;height:86pt;mso-position-horizontal-relative:page;mso-position-vertical-relative:paragraph;z-index:15949824" coordorigin="950,-108" coordsize="3300,1720">
            <v:shape style="position:absolute;left:950;top:102;width:100;height:1120" coordorigin="950,102" coordsize="100,1120" path="m1050,1222l950,1222m1050,842l950,842m1050,482l950,482m1050,102l950,102e" filled="false" stroked="true" strokeweight=".5pt" strokecolor="#000000">
              <v:path arrowok="t"/>
              <v:stroke dashstyle="solid"/>
            </v:shape>
            <v:shape style="position:absolute;left:1090;top:-98;width:2560;height:1700" coordorigin="1090,-98" coordsize="2560,1700" path="m1090,2l1130,-98,1170,-98,1230,102,1270,382,1310,382,1350,482,1410,562,1490,762,1530,842,1590,942,1630,942,1670,1042,1710,1222,1750,1222,1810,1322,1850,1322,1890,1402,1950,1502m1950,1502l1990,1602,2070,1602,2130,1502,2170,1322,2210,1322,2250,1222,2310,1322,2350,1222,2390,1322,2710,1322,2750,1402,2790,1402m2790,1402l2830,1322,2890,1402,2930,1402,2970,1502,3210,1502,3250,1402,3290,1322,3470,1322,3510,1222,3650,1222e" filled="false" stroked="true" strokeweight="1pt" strokecolor="#ed1b2d">
              <v:path arrowok="t"/>
              <v:stroke dashstyle="solid"/>
            </v:shape>
            <v:line style="position:absolute" from="4250,1222" to="4150,1222" stroked="true" strokeweight=".5pt" strokecolor="#000000">
              <v:stroke dashstyle="solid"/>
            </v:line>
            <v:shape style="position:absolute;left:3650;top:942;width:440;height:280" coordorigin="3650,942" coordsize="440,280" path="m3650,1222l3690,1142,3730,942,3790,942,3830,1042,3910,1042,3970,1142,4010,1142,4050,1042,4090,1042e" filled="false" stroked="true" strokeweight="1pt" strokecolor="#ed1b2d">
              <v:path arrowok="t"/>
              <v:stroke dashstyle="solid"/>
            </v:shape>
            <w10:wrap type="none"/>
          </v:group>
        </w:pict>
      </w:r>
      <w:r>
        <w:rPr/>
        <w:pict>
          <v:line style="position:absolute;mso-position-horizontal-relative:page;mso-position-vertical-relative:paragraph;z-index:15953408" from="212.5pt,5.101563pt" to="207.5pt,5.101563pt" stroked="true" strokeweight=".5pt" strokecolor="#000000">
            <v:stroke dashstyle="solid"/>
            <w10:wrap type="none"/>
          </v:line>
        </w:pict>
      </w:r>
      <w:r>
        <w:rPr>
          <w:sz w:val="12"/>
        </w:rPr>
        <w:t>7</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52896" from="212.5pt,10.301562pt" to="207.5pt,10.301562pt" stroked="true" strokeweight=".5pt" strokecolor="#000000">
            <v:stroke dashstyle="solid"/>
            <w10:wrap type="none"/>
          </v:line>
        </w:pict>
      </w:r>
      <w:r>
        <w:rPr>
          <w:sz w:val="12"/>
        </w:rPr>
        <w:t>6</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52384" from="212.5pt,9.301562pt" to="207.5pt,9.301562pt" stroked="true" strokeweight=".5pt" strokecolor="#000000">
            <v:stroke dashstyle="solid"/>
            <w10:wrap type="none"/>
          </v:line>
        </w:pict>
      </w:r>
      <w:r>
        <w:rPr>
          <w:sz w:val="12"/>
        </w:rPr>
        <w:t>5</w:t>
      </w:r>
    </w:p>
    <w:p>
      <w:pPr>
        <w:pStyle w:val="BodyText"/>
        <w:rPr>
          <w:sz w:val="12"/>
        </w:rPr>
      </w:pPr>
    </w:p>
    <w:p>
      <w:pPr>
        <w:spacing w:before="105"/>
        <w:ind w:left="0" w:right="38" w:firstLine="0"/>
        <w:jc w:val="right"/>
        <w:rPr>
          <w:sz w:val="12"/>
        </w:rPr>
      </w:pPr>
      <w:r>
        <w:rPr>
          <w:sz w:val="12"/>
        </w:rPr>
        <w:t>4</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49312" from="52.5pt,9.301562pt" to="47.5pt,9.301562pt" stroked="true" strokeweight=".5pt" strokecolor="#000000">
            <v:stroke dashstyle="solid"/>
            <w10:wrap type="none"/>
          </v:line>
        </w:pict>
      </w:r>
      <w:r>
        <w:rPr/>
        <w:pict>
          <v:line style="position:absolute;mso-position-horizontal-relative:page;mso-position-vertical-relative:paragraph;z-index:15951872" from="212.5pt,9.301562pt" to="207.5pt,9.301562pt" stroked="true" strokeweight=".5pt" strokecolor="#000000">
            <v:stroke dashstyle="solid"/>
            <w10:wrap type="none"/>
          </v:line>
        </w:pict>
      </w:r>
      <w:r>
        <w:rPr>
          <w:sz w:val="12"/>
        </w:rPr>
        <w:t>3</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48800" from="52.5pt,9.301562pt" to="47.5pt,9.301562pt" stroked="true" strokeweight=".5pt" strokecolor="#000000">
            <v:stroke dashstyle="solid"/>
            <w10:wrap type="none"/>
          </v:line>
        </w:pict>
      </w:r>
      <w:r>
        <w:rPr/>
        <w:pict>
          <v:line style="position:absolute;mso-position-horizontal-relative:page;mso-position-vertical-relative:paragraph;z-index:15951360" from="212.5pt,9.301562pt" to="207.5pt,9.301562pt" stroked="true" strokeweight=".5pt" strokecolor="#000000">
            <v:stroke dashstyle="solid"/>
            <w10:wrap type="none"/>
          </v:line>
        </w:pict>
      </w:r>
      <w:r>
        <w:rPr>
          <w:sz w:val="12"/>
        </w:rPr>
        <w:t>2</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48288" from="52.5pt,9.301562pt" to="47.5pt,9.301562pt" stroked="true" strokeweight=".5pt" strokecolor="#000000">
            <v:stroke dashstyle="solid"/>
            <w10:wrap type="none"/>
          </v:line>
        </w:pict>
      </w:r>
      <w:r>
        <w:rPr/>
        <w:pict>
          <v:line style="position:absolute;mso-position-horizontal-relative:page;mso-position-vertical-relative:paragraph;z-index:15950848" from="212.5pt,9.301562pt" to="207.5pt,9.301562pt" stroked="true" strokeweight=".5pt" strokecolor="#000000">
            <v:stroke dashstyle="solid"/>
            <w10:wrap type="none"/>
          </v:line>
        </w:pict>
      </w:r>
      <w:r>
        <w:rPr>
          <w:sz w:val="12"/>
        </w:rPr>
        <w:t>1</w:t>
      </w:r>
    </w:p>
    <w:p>
      <w:pPr>
        <w:pStyle w:val="BodyText"/>
        <w:rPr>
          <w:sz w:val="12"/>
        </w:rPr>
      </w:pPr>
    </w:p>
    <w:p>
      <w:pPr>
        <w:spacing w:line="119" w:lineRule="exact" w:before="84"/>
        <w:ind w:left="3660" w:right="0" w:firstLine="0"/>
        <w:jc w:val="left"/>
        <w:rPr>
          <w:sz w:val="12"/>
        </w:rPr>
      </w:pPr>
      <w:r>
        <w:rPr/>
        <w:pict>
          <v:shape style="position:absolute;margin-left:47.5pt;margin-top:4.301562pt;width:165pt;height:4pt;mso-position-horizontal-relative:page;mso-position-vertical-relative:paragraph;z-index:15947776" coordorigin="950,86" coordsize="3300,80" path="m3770,166l3770,86m3250,166l3250,86m2710,166l2710,86m2170,166l2170,86m1630,166l1630,86m1090,166l1090,86m1050,166l950,166m4250,166l4150,166m1090,166l4090,166m1225,166l1225,126m1360,166l1360,126m1495,166l1495,126m1765,166l1765,126m1900,166l1900,126m2035,166l2035,126m2305,166l2305,126m2440,166l2440,126m2575,166l2575,126m2845,166l2845,126m2980,166l2980,126m3115,166l3115,126m3380,166l3380,126m3510,166l3510,126m3640,166l3640,126m3910,166l3910,126m4050,166l4050,126e" filled="false" stroked="true" strokeweight=".5pt" strokecolor="#000000">
            <v:path arrowok="t"/>
            <v:stroke dashstyle="solid"/>
            <w10:wrap type="none"/>
          </v:shape>
        </w:pict>
      </w:r>
      <w:r>
        <w:rPr>
          <w:sz w:val="12"/>
        </w:rPr>
        <w:t>0</w:t>
      </w:r>
    </w:p>
    <w:p>
      <w:pPr>
        <w:tabs>
          <w:tab w:pos="1179" w:val="left" w:leader="none"/>
          <w:tab w:pos="1719" w:val="left" w:leader="none"/>
          <w:tab w:pos="2259" w:val="left" w:leader="none"/>
          <w:tab w:pos="2799" w:val="left" w:leader="none"/>
          <w:tab w:pos="3279" w:val="left" w:leader="none"/>
        </w:tabs>
        <w:spacing w:line="119" w:lineRule="exact" w:before="0"/>
        <w:ind w:left="579" w:right="0" w:firstLine="0"/>
        <w:jc w:val="left"/>
        <w:rPr>
          <w:sz w:val="12"/>
        </w:rPr>
      </w:pPr>
      <w:r>
        <w:rPr>
          <w:sz w:val="12"/>
        </w:rPr>
        <w:t>1992</w:t>
        <w:tab/>
        <w:t>93</w:t>
        <w:tab/>
        <w:t>94</w:t>
        <w:tab/>
        <w:t>95</w:t>
        <w:tab/>
        <w:t>96</w:t>
        <w:tab/>
        <w:t>97</w:t>
      </w:r>
    </w:p>
    <w:p>
      <w:pPr>
        <w:spacing w:line="208" w:lineRule="auto" w:before="80"/>
        <w:ind w:left="420" w:right="83" w:hanging="240"/>
        <w:jc w:val="left"/>
        <w:rPr>
          <w:sz w:val="12"/>
        </w:rPr>
      </w:pPr>
      <w:r>
        <w:rPr>
          <w:color w:val="231F20"/>
          <w:sz w:val="12"/>
        </w:rPr>
        <w:t>(a) Underlying earnings growth for Great Britain makes allowances for temporary influences such as arrears, variations in the timing of settlements, industrial disputes and the influence of public holidays in relation to the survey period.</w:t>
      </w:r>
    </w:p>
    <w:p>
      <w:pPr>
        <w:pStyle w:val="BodyText"/>
        <w:rPr>
          <w:sz w:val="12"/>
        </w:rPr>
      </w:pPr>
    </w:p>
    <w:p>
      <w:pPr>
        <w:pStyle w:val="BodyText"/>
        <w:rPr>
          <w:sz w:val="12"/>
        </w:rPr>
      </w:pPr>
    </w:p>
    <w:p>
      <w:pPr>
        <w:pStyle w:val="BodyText"/>
        <w:rPr>
          <w:sz w:val="12"/>
        </w:rPr>
      </w:pPr>
    </w:p>
    <w:p>
      <w:pPr>
        <w:pStyle w:val="Heading9"/>
        <w:spacing w:before="83"/>
      </w:pPr>
      <w:r>
        <w:rPr>
          <w:color w:val="0093C1"/>
        </w:rPr>
        <w:t>Chart 4.2</w:t>
      </w:r>
    </w:p>
    <w:p>
      <w:pPr>
        <w:spacing w:before="10"/>
        <w:ind w:left="180" w:right="0" w:firstLine="0"/>
        <w:jc w:val="left"/>
        <w:rPr>
          <w:b/>
          <w:sz w:val="20"/>
        </w:rPr>
      </w:pPr>
      <w:r>
        <w:rPr>
          <w:b/>
          <w:color w:val="0093C1"/>
          <w:sz w:val="20"/>
        </w:rPr>
        <w:t>Whole-economy average earnings growth</w:t>
      </w:r>
    </w:p>
    <w:p>
      <w:pPr>
        <w:spacing w:line="295" w:lineRule="auto" w:before="145"/>
        <w:ind w:left="730" w:right="83" w:firstLine="1089"/>
        <w:jc w:val="left"/>
        <w:rPr>
          <w:sz w:val="12"/>
        </w:rPr>
      </w:pPr>
      <w:r>
        <w:rPr/>
        <w:pict>
          <v:group style="position:absolute;margin-left:46pt;margin-top:14.101563pt;width:164pt;height:67.75pt;mso-position-horizontal-relative:page;mso-position-vertical-relative:paragraph;z-index:-20782592" coordorigin="920,282" coordsize="3280,1355">
            <v:shape style="position:absolute;left:920;top:887;width:80;height:600" coordorigin="920,887" coordsize="80,600" path="m1000,1487l920,1487m1000,887l920,887e" filled="false" stroked="true" strokeweight=".5pt" strokecolor="#000000">
              <v:path arrowok="t"/>
              <v:stroke dashstyle="solid"/>
            </v:shape>
            <v:shape style="position:absolute;left:1060;top:587;width:3000;height:1040" coordorigin="1060,587" coordsize="3000,1040" path="m1060,1627l1220,1467,1380,1207,1540,1007,1700,847,1840,947,2000,787,2160,907,2320,707,2640,707,2800,687,2960,747,3120,627,3280,667,3440,587,3600,647,3740,607,3900,767,4060,787e" filled="false" stroked="true" strokeweight="1pt" strokecolor="#522e91">
              <v:path arrowok="t"/>
              <v:stroke dashstyle="solid"/>
            </v:shape>
            <v:line style="position:absolute" from="1000,287" to="920,287" stroked="true" strokeweight=".5pt" strokecolor="#000000">
              <v:stroke dashstyle="solid"/>
            </v:line>
            <v:shape style="position:absolute;left:1060;top:307;width:3000;height:1060" coordorigin="1060,307" coordsize="3000,1060" path="m1060,1227l1380,907,1540,947,1700,1367,1840,947,2000,887,2160,987,2320,767,2480,1027,2640,827,2800,307,2960,427,3120,747,3280,407,3440,787,3600,747,3740,707,3900,587,4060,627e" filled="false" stroked="true" strokeweight="1pt" strokecolor="#f7941d">
              <v:path arrowok="t"/>
              <v:stroke dashstyle="solid"/>
            </v:shape>
            <v:shape style="position:absolute;left:1060;top:587;width:3000;height:640" coordorigin="1060,587" coordsize="3000,640" path="m1060,1227l1220,1187,1380,1127,1540,1087,1700,1067,1840,987,2000,927,2160,887,2320,827,2480,787,2800,627,2960,607,3120,647,3280,647,3440,667,3600,667,3740,647,3900,607,4060,587e" filled="false" stroked="true" strokeweight="1pt" strokecolor="#939598">
              <v:path arrowok="t"/>
              <v:stroke dashstyle="solid"/>
            </v:shape>
            <v:shape style="position:absolute;left:2510;top:287;width:1690;height:1200" coordorigin="2510,287" coordsize="1690,1200" path="m4200,1487l4120,1487m4200,887l4120,887m4200,287l4120,287m2510,1292l2510,887e" filled="false" stroked="true" strokeweight=".5pt" strokecolor="#000000">
              <v:path arrowok="t"/>
              <v:stroke dashstyle="solid"/>
            </v:shape>
            <v:shape style="position:absolute;left:2484;top:819;width:51;height:85" coordorigin="2485,819" coordsize="51,85" path="m2510,819l2485,904,2535,904,2514,839,2511,828,2510,819xe" filled="true" fillcolor="#000000" stroked="false">
              <v:path arrowok="t"/>
              <v:fill type="solid"/>
            </v:shape>
            <w10:wrap type="none"/>
          </v:group>
        </w:pict>
      </w:r>
      <w:r>
        <w:rPr>
          <w:sz w:val="12"/>
        </w:rPr>
        <w:t>Percentage changes on a year earlier </w:t>
      </w:r>
      <w:r>
        <w:rPr>
          <w:position w:val="-5"/>
          <w:sz w:val="12"/>
        </w:rPr>
        <w:t>5 </w:t>
      </w:r>
      <w:r>
        <w:rPr>
          <w:sz w:val="12"/>
        </w:rPr>
        <w:t>Actual adjusted earnings (a)</w:t>
      </w:r>
    </w:p>
    <w:p>
      <w:pPr>
        <w:pStyle w:val="Heading5"/>
        <w:spacing w:line="242" w:lineRule="auto" w:before="208"/>
        <w:ind w:right="181"/>
      </w:pPr>
      <w:r>
        <w:rPr/>
        <w:br w:type="column"/>
      </w:r>
      <w:r>
        <w:rPr>
          <w:color w:val="231F20"/>
        </w:rPr>
        <w:t>Unemployment fell by around 40,000 and employment rose by around 90,000 during the summer, according to the Labour Force Survey. Despite this tightening of the labour market, annual nominal earnings growth, adjusting for the temporary effects of bonuses, has been just under 4</w:t>
      </w:r>
      <w:r>
        <w:rPr>
          <w:color w:val="231F20"/>
          <w:position w:val="8"/>
          <w:sz w:val="12"/>
        </w:rPr>
        <w:t>1</w:t>
      </w:r>
      <w:r>
        <w:rPr>
          <w:color w:val="231F20"/>
        </w:rPr>
        <w:t>/</w:t>
      </w:r>
      <w:r>
        <w:rPr>
          <w:color w:val="231F20"/>
          <w:sz w:val="12"/>
        </w:rPr>
        <w:t>2</w:t>
      </w:r>
      <w:r>
        <w:rPr>
          <w:color w:val="231F20"/>
        </w:rPr>
        <w:t>% since the start of 1997.</w:t>
      </w:r>
    </w:p>
    <w:p>
      <w:pPr>
        <w:pStyle w:val="BodyText"/>
        <w:spacing w:before="9"/>
        <w:rPr>
          <w:sz w:val="28"/>
        </w:rPr>
      </w:pPr>
    </w:p>
    <w:p>
      <w:pPr>
        <w:pStyle w:val="ListParagraph"/>
        <w:numPr>
          <w:ilvl w:val="1"/>
          <w:numId w:val="21"/>
        </w:numPr>
        <w:tabs>
          <w:tab w:pos="3340" w:val="left" w:leader="none"/>
          <w:tab w:pos="3341" w:val="left" w:leader="none"/>
          <w:tab w:pos="5679" w:val="left" w:leader="none"/>
        </w:tabs>
        <w:spacing w:line="240" w:lineRule="auto" w:before="0" w:after="0"/>
        <w:ind w:left="3340" w:right="0" w:hanging="3161"/>
        <w:jc w:val="left"/>
        <w:rPr>
          <w:b/>
          <w:sz w:val="28"/>
        </w:rPr>
      </w:pPr>
      <w:r>
        <w:rPr>
          <w:b/>
          <w:color w:val="009483"/>
          <w:sz w:val="28"/>
          <w:u w:val="thick" w:color="0093C1"/>
        </w:rPr>
        <w:t>Nominal</w:t>
      </w:r>
      <w:r>
        <w:rPr>
          <w:b/>
          <w:color w:val="009483"/>
          <w:spacing w:val="-5"/>
          <w:sz w:val="28"/>
          <w:u w:val="thick" w:color="0093C1"/>
        </w:rPr>
        <w:t> </w:t>
      </w:r>
      <w:r>
        <w:rPr>
          <w:b/>
          <w:color w:val="009483"/>
          <w:sz w:val="28"/>
          <w:u w:val="thick" w:color="0093C1"/>
        </w:rPr>
        <w:t>earnings</w:t>
        <w:tab/>
      </w:r>
    </w:p>
    <w:p>
      <w:pPr>
        <w:spacing w:line="242" w:lineRule="auto" w:before="264"/>
        <w:ind w:left="180" w:right="178" w:firstLine="0"/>
        <w:jc w:val="left"/>
        <w:rPr>
          <w:sz w:val="24"/>
        </w:rPr>
      </w:pPr>
      <w:r>
        <w:rPr>
          <w:color w:val="231F20"/>
          <w:sz w:val="24"/>
        </w:rPr>
        <w:t>Whole-economy underlying average earnings growth in the twelve months to August was 4</w:t>
      </w:r>
      <w:r>
        <w:rPr>
          <w:color w:val="231F20"/>
          <w:position w:val="8"/>
          <w:sz w:val="12"/>
        </w:rPr>
        <w:t>1</w:t>
      </w:r>
      <w:r>
        <w:rPr>
          <w:color w:val="231F20"/>
          <w:sz w:val="24"/>
        </w:rPr>
        <w:t>/</w:t>
      </w:r>
      <w:r>
        <w:rPr>
          <w:color w:val="231F20"/>
          <w:sz w:val="12"/>
        </w:rPr>
        <w:t>2</w:t>
      </w:r>
      <w:r>
        <w:rPr>
          <w:color w:val="231F20"/>
          <w:sz w:val="24"/>
        </w:rPr>
        <w:t>% (see Chart 4.1). This was </w:t>
      </w:r>
      <w:r>
        <w:rPr>
          <w:color w:val="231F20"/>
          <w:position w:val="8"/>
          <w:sz w:val="12"/>
        </w:rPr>
        <w:t>1</w:t>
      </w:r>
      <w:r>
        <w:rPr>
          <w:color w:val="231F20"/>
          <w:sz w:val="24"/>
        </w:rPr>
        <w:t>/</w:t>
      </w:r>
      <w:r>
        <w:rPr>
          <w:color w:val="231F20"/>
          <w:sz w:val="12"/>
        </w:rPr>
        <w:t>4 </w:t>
      </w:r>
      <w:r>
        <w:rPr>
          <w:color w:val="231F20"/>
          <w:sz w:val="24"/>
        </w:rPr>
        <w:t>percentage point higher than in </w:t>
      </w:r>
      <w:r>
        <w:rPr>
          <w:color w:val="231F20"/>
          <w:spacing w:val="-4"/>
          <w:sz w:val="24"/>
        </w:rPr>
        <w:t>May, </w:t>
      </w:r>
      <w:r>
        <w:rPr>
          <w:color w:val="231F20"/>
          <w:sz w:val="24"/>
        </w:rPr>
        <w:t>the latest figure available at the time of the August </w:t>
      </w:r>
      <w:r>
        <w:rPr>
          <w:i/>
          <w:color w:val="231F20"/>
          <w:sz w:val="24"/>
        </w:rPr>
        <w:t>Report</w:t>
      </w:r>
      <w:r>
        <w:rPr>
          <w:color w:val="231F20"/>
          <w:sz w:val="24"/>
        </w:rPr>
        <w:t>. Earnings in July were distorted by large bonus payments in the telecommunications sector. A box in the previous </w:t>
      </w:r>
      <w:r>
        <w:rPr>
          <w:i/>
          <w:color w:val="231F20"/>
          <w:sz w:val="24"/>
        </w:rPr>
        <w:t>Report </w:t>
      </w:r>
      <w:r>
        <w:rPr>
          <w:color w:val="231F20"/>
          <w:sz w:val="24"/>
        </w:rPr>
        <w:t>suggested two methods for smoothing such effects to reduce distortions to earnings growth.</w:t>
      </w:r>
      <w:r>
        <w:rPr>
          <w:color w:val="231F20"/>
          <w:position w:val="5"/>
          <w:sz w:val="16"/>
        </w:rPr>
        <w:t>(1) </w:t>
      </w:r>
      <w:r>
        <w:rPr>
          <w:color w:val="231F20"/>
          <w:sz w:val="24"/>
        </w:rPr>
        <w:t>Annual earnings growth, after smoothing of bonuses, </w:t>
      </w:r>
      <w:r>
        <w:rPr>
          <w:color w:val="231F20"/>
          <w:spacing w:val="-6"/>
          <w:sz w:val="24"/>
        </w:rPr>
        <w:t>has </w:t>
      </w:r>
      <w:r>
        <w:rPr>
          <w:color w:val="231F20"/>
          <w:sz w:val="24"/>
        </w:rPr>
        <w:t>not picked up during the past few months, and remains just under 4</w:t>
      </w:r>
      <w:r>
        <w:rPr>
          <w:color w:val="231F20"/>
          <w:position w:val="8"/>
          <w:sz w:val="12"/>
        </w:rPr>
        <w:t>1</w:t>
      </w:r>
      <w:r>
        <w:rPr>
          <w:color w:val="231F20"/>
          <w:sz w:val="24"/>
        </w:rPr>
        <w:t>/</w:t>
      </w:r>
      <w:r>
        <w:rPr>
          <w:color w:val="231F20"/>
          <w:sz w:val="12"/>
        </w:rPr>
        <w:t>2</w:t>
      </w:r>
      <w:r>
        <w:rPr>
          <w:color w:val="231F20"/>
          <w:sz w:val="24"/>
        </w:rPr>
        <w:t>%, as shown in Chart 4.2. This is</w:t>
      </w:r>
      <w:r>
        <w:rPr>
          <w:color w:val="231F20"/>
          <w:spacing w:val="-6"/>
          <w:sz w:val="24"/>
        </w:rPr>
        <w:t> </w:t>
      </w:r>
      <w:r>
        <w:rPr>
          <w:color w:val="231F20"/>
          <w:sz w:val="24"/>
        </w:rPr>
        <w:t>around</w:t>
      </w:r>
    </w:p>
    <w:p>
      <w:pPr>
        <w:spacing w:line="242" w:lineRule="auto" w:before="13"/>
        <w:ind w:left="180" w:right="322" w:firstLine="0"/>
        <w:jc w:val="left"/>
        <w:rPr>
          <w:sz w:val="24"/>
        </w:rPr>
      </w:pPr>
      <w:r>
        <w:rPr>
          <w:color w:val="231F20"/>
          <w:sz w:val="24"/>
        </w:rPr>
        <w:t>1 percentage point higher than at the start of 1996. Whole-economy productivity growth has averaged just above 2% per year in the past 40 years. So if real earnings grow in line with productivity, any increase in the current growth rate of nominal earnings would be difficult to reconcile with the inflation target of 2</w:t>
      </w:r>
      <w:r>
        <w:rPr>
          <w:color w:val="231F20"/>
          <w:position w:val="8"/>
          <w:sz w:val="12"/>
        </w:rPr>
        <w:t>1</w:t>
      </w:r>
      <w:r>
        <w:rPr>
          <w:color w:val="231F20"/>
          <w:sz w:val="24"/>
        </w:rPr>
        <w:t>/</w:t>
      </w:r>
      <w:r>
        <w:rPr>
          <w:color w:val="231F20"/>
          <w:sz w:val="12"/>
        </w:rPr>
        <w:t>2</w:t>
      </w:r>
      <w:r>
        <w:rPr>
          <w:color w:val="231F20"/>
          <w:sz w:val="24"/>
        </w:rPr>
        <w:t>%. Though higher earnings growth might be absorbed by falling margins, this could not continue indefinitely.</w:t>
      </w:r>
    </w:p>
    <w:p>
      <w:pPr>
        <w:spacing w:after="0" w:line="242" w:lineRule="auto"/>
        <w:jc w:val="left"/>
        <w:rPr>
          <w:sz w:val="24"/>
        </w:rPr>
        <w:sectPr>
          <w:type w:val="continuous"/>
          <w:pgSz w:w="11880" w:h="16840"/>
          <w:pgMar w:top="1040" w:bottom="280" w:left="640" w:right="620"/>
          <w:cols w:num="2" w:equalWidth="0">
            <w:col w:w="3761" w:space="1019"/>
            <w:col w:w="584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spacing w:line="45" w:lineRule="exact" w:before="0"/>
        <w:ind w:left="589" w:right="0" w:firstLine="0"/>
        <w:jc w:val="left"/>
        <w:rPr>
          <w:sz w:val="12"/>
        </w:rPr>
      </w:pPr>
      <w:r>
        <w:rPr>
          <w:sz w:val="12"/>
        </w:rPr>
        <w:t>Earnings growth</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before="104"/>
        <w:ind w:left="143" w:right="0" w:firstLine="0"/>
        <w:jc w:val="left"/>
        <w:rPr>
          <w:sz w:val="12"/>
        </w:rPr>
      </w:pPr>
      <w:r>
        <w:rPr>
          <w:sz w:val="12"/>
        </w:rPr>
        <w:t>Kalman filter</w:t>
      </w:r>
    </w:p>
    <w:p>
      <w:pPr>
        <w:pStyle w:val="BodyText"/>
        <w:spacing w:before="10"/>
        <w:rPr>
          <w:sz w:val="14"/>
        </w:rPr>
      </w:pPr>
      <w:r>
        <w:rPr/>
        <w:br w:type="column"/>
      </w:r>
      <w:r>
        <w:rPr>
          <w:sz w:val="14"/>
        </w:rPr>
      </w:r>
    </w:p>
    <w:p>
      <w:pPr>
        <w:spacing w:before="0"/>
        <w:ind w:left="589" w:right="0" w:firstLine="0"/>
        <w:jc w:val="left"/>
        <w:rPr>
          <w:sz w:val="12"/>
        </w:rPr>
      </w:pPr>
      <w:r>
        <w:rPr>
          <w:sz w:val="12"/>
        </w:rPr>
        <w:t>4</w:t>
      </w:r>
    </w:p>
    <w:p>
      <w:pPr>
        <w:pStyle w:val="Heading5"/>
        <w:spacing w:before="2"/>
        <w:ind w:left="1955"/>
      </w:pPr>
      <w:r>
        <w:rPr>
          <w:color w:val="231F20"/>
        </w:rPr>
        <w:t>The measures described above are of weekly earnings,</w:t>
      </w:r>
    </w:p>
    <w:p>
      <w:pPr>
        <w:tabs>
          <w:tab w:pos="1954" w:val="left" w:leader="none"/>
        </w:tabs>
        <w:spacing w:line="290" w:lineRule="exact" w:before="4"/>
        <w:ind w:left="589" w:right="0" w:firstLine="0"/>
        <w:jc w:val="left"/>
        <w:rPr>
          <w:sz w:val="24"/>
        </w:rPr>
      </w:pPr>
      <w:r>
        <w:rPr>
          <w:position w:val="-6"/>
          <w:sz w:val="12"/>
        </w:rPr>
        <w:t>3</w:t>
        <w:tab/>
      </w:r>
      <w:r>
        <w:rPr>
          <w:color w:val="231F20"/>
          <w:sz w:val="24"/>
        </w:rPr>
        <w:t>which are likely to depend on the number of</w:t>
      </w:r>
      <w:r>
        <w:rPr>
          <w:color w:val="231F20"/>
          <w:spacing w:val="-2"/>
          <w:sz w:val="24"/>
        </w:rPr>
        <w:t> </w:t>
      </w:r>
      <w:r>
        <w:rPr>
          <w:color w:val="231F20"/>
          <w:sz w:val="24"/>
        </w:rPr>
        <w:t>hours</w:t>
      </w:r>
    </w:p>
    <w:p>
      <w:pPr>
        <w:spacing w:after="0" w:line="290" w:lineRule="exact"/>
        <w:jc w:val="left"/>
        <w:rPr>
          <w:sz w:val="24"/>
        </w:rPr>
        <w:sectPr>
          <w:type w:val="continuous"/>
          <w:pgSz w:w="11880" w:h="16840"/>
          <w:pgMar w:top="1040" w:bottom="280" w:left="640" w:right="620"/>
          <w:cols w:num="3" w:equalWidth="0">
            <w:col w:w="1387" w:space="40"/>
            <w:col w:w="827" w:space="751"/>
            <w:col w:w="7615"/>
          </w:cols>
        </w:sectPr>
      </w:pPr>
    </w:p>
    <w:p>
      <w:pPr>
        <w:spacing w:line="242" w:lineRule="auto" w:before="95"/>
        <w:ind w:left="649" w:right="2080" w:firstLine="0"/>
        <w:jc w:val="left"/>
        <w:rPr>
          <w:sz w:val="12"/>
        </w:rPr>
      </w:pPr>
      <w:r>
        <w:rPr>
          <w:sz w:val="12"/>
        </w:rPr>
        <w:t>adjusted for uneven bonus effects (b)</w:t>
      </w:r>
    </w:p>
    <w:p>
      <w:pPr>
        <w:pStyle w:val="BodyText"/>
        <w:spacing w:before="1"/>
        <w:rPr>
          <w:sz w:val="10"/>
        </w:rPr>
      </w:pPr>
    </w:p>
    <w:p>
      <w:pPr>
        <w:spacing w:before="0"/>
        <w:ind w:left="3595" w:right="0" w:firstLine="0"/>
        <w:jc w:val="left"/>
        <w:rPr>
          <w:sz w:val="12"/>
        </w:rPr>
      </w:pPr>
      <w:r>
        <w:rPr/>
        <w:pict>
          <v:line style="position:absolute;mso-position-horizontal-relative:page;mso-position-vertical-relative:paragraph;z-index:15954944" from="50pt,5.351563pt" to="46pt,5.351563pt" stroked="true" strokeweight=".5pt" strokecolor="#000000">
            <v:stroke dashstyle="solid"/>
            <w10:wrap type="none"/>
          </v:line>
        </w:pict>
      </w:r>
      <w:r>
        <w:rPr/>
        <w:pict>
          <v:line style="position:absolute;mso-position-horizontal-relative:page;mso-position-vertical-relative:paragraph;z-index:15956480" from="210pt,5.351563pt" to="206pt,5.351563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11"/>
        <w:rPr>
          <w:sz w:val="17"/>
        </w:rPr>
      </w:pPr>
    </w:p>
    <w:p>
      <w:pPr>
        <w:spacing w:before="0"/>
        <w:ind w:left="3595" w:right="0" w:firstLine="0"/>
        <w:jc w:val="left"/>
        <w:rPr>
          <w:sz w:val="12"/>
        </w:rPr>
      </w:pPr>
      <w:r>
        <w:rPr/>
        <w:pict>
          <v:line style="position:absolute;mso-position-horizontal-relative:page;mso-position-vertical-relative:paragraph;z-index:15954432" from="50pt,4.351563pt" to="46pt,4.351563pt" stroked="true" strokeweight=".5pt" strokecolor="#000000">
            <v:stroke dashstyle="solid"/>
            <w10:wrap type="none"/>
          </v:line>
        </w:pict>
      </w:r>
      <w:r>
        <w:rPr/>
        <w:pict>
          <v:line style="position:absolute;mso-position-horizontal-relative:page;mso-position-vertical-relative:paragraph;z-index:15955968" from="210pt,4.351563pt" to="206pt,4.351563pt" stroked="true" strokeweight=".5pt" strokecolor="#000000">
            <v:stroke dashstyle="solid"/>
            <w10:wrap type="none"/>
          </v:line>
        </w:pict>
      </w:r>
      <w:r>
        <w:rPr>
          <w:sz w:val="12"/>
        </w:rPr>
        <w:t>1</w:t>
      </w:r>
    </w:p>
    <w:p>
      <w:pPr>
        <w:pStyle w:val="BodyText"/>
        <w:rPr>
          <w:sz w:val="12"/>
        </w:rPr>
      </w:pPr>
    </w:p>
    <w:p>
      <w:pPr>
        <w:pStyle w:val="BodyText"/>
        <w:rPr>
          <w:sz w:val="12"/>
        </w:rPr>
      </w:pPr>
    </w:p>
    <w:p>
      <w:pPr>
        <w:pStyle w:val="BodyText"/>
        <w:spacing w:before="2"/>
        <w:rPr>
          <w:sz w:val="16"/>
        </w:rPr>
      </w:pPr>
    </w:p>
    <w:p>
      <w:pPr>
        <w:spacing w:line="122" w:lineRule="exact" w:before="0"/>
        <w:ind w:left="3595" w:right="0" w:firstLine="0"/>
        <w:jc w:val="left"/>
        <w:rPr>
          <w:sz w:val="12"/>
        </w:rPr>
      </w:pPr>
      <w:r>
        <w:rPr/>
        <w:pict>
          <v:shape style="position:absolute;margin-left:46pt;margin-top:-.648438pt;width:164pt;height:5pt;mso-position-horizontal-relative:page;mso-position-vertical-relative:paragraph;z-index:15953920" coordorigin="920,-13" coordsize="3280,100" path="m2960,87l2960,-13m1060,87l1060,-13m1000,87l920,87m4200,87l4120,87m1060,87l4060,87m1218,87l1218,47m1377,87l1377,47m1535,87l1535,47m1693,87l1693,47m1852,87l1852,47m2010,87l2010,47m2168,87l2168,47m2327,87l2327,47m2485,87l2485,47m2643,87l2643,47m2802,87l2802,47m3117,87l3117,47m3274,87l3274,47m3431,87l3431,47m3589,87l3589,47m3746,87l3746,47m3903,87l3903,47m4060,87l4060,47e" filled="false" stroked="true" strokeweight=".5pt" strokecolor="#000000">
            <v:path arrowok="t"/>
            <v:stroke dashstyle="solid"/>
            <w10:wrap type="none"/>
          </v:shape>
        </w:pict>
      </w:r>
      <w:r>
        <w:rPr>
          <w:sz w:val="12"/>
        </w:rPr>
        <w:t>0</w:t>
      </w:r>
    </w:p>
    <w:p>
      <w:pPr>
        <w:tabs>
          <w:tab w:pos="2829" w:val="left" w:leader="none"/>
        </w:tabs>
        <w:spacing w:line="122" w:lineRule="exact" w:before="0"/>
        <w:ind w:left="1090" w:right="0" w:firstLine="0"/>
        <w:jc w:val="left"/>
        <w:rPr>
          <w:sz w:val="12"/>
        </w:rPr>
      </w:pPr>
      <w:r>
        <w:rPr>
          <w:sz w:val="12"/>
        </w:rPr>
        <w:t>1996</w:t>
        <w:tab/>
        <w:t>97</w:t>
      </w:r>
    </w:p>
    <w:p>
      <w:pPr>
        <w:pStyle w:val="BodyText"/>
        <w:spacing w:before="1"/>
        <w:rPr>
          <w:sz w:val="10"/>
        </w:rPr>
      </w:pPr>
    </w:p>
    <w:p>
      <w:pPr>
        <w:spacing w:before="0"/>
        <w:ind w:left="180" w:right="0" w:firstLine="0"/>
        <w:jc w:val="left"/>
        <w:rPr>
          <w:sz w:val="12"/>
        </w:rPr>
      </w:pPr>
      <w:r>
        <w:rPr>
          <w:color w:val="231F20"/>
          <w:sz w:val="12"/>
        </w:rPr>
        <w:t>Sources: ONS and Bank of England.</w:t>
      </w:r>
    </w:p>
    <w:p>
      <w:pPr>
        <w:pStyle w:val="ListParagraph"/>
        <w:numPr>
          <w:ilvl w:val="0"/>
          <w:numId w:val="22"/>
        </w:numPr>
        <w:tabs>
          <w:tab w:pos="420" w:val="left" w:leader="none"/>
        </w:tabs>
        <w:spacing w:line="129" w:lineRule="exact" w:before="102" w:after="0"/>
        <w:ind w:left="419" w:right="0" w:hanging="240"/>
        <w:jc w:val="left"/>
        <w:rPr>
          <w:sz w:val="12"/>
        </w:rPr>
      </w:pPr>
      <w:r>
        <w:rPr>
          <w:color w:val="231F20"/>
          <w:sz w:val="12"/>
        </w:rPr>
        <w:t>Three-month moving average.</w:t>
      </w:r>
    </w:p>
    <w:p>
      <w:pPr>
        <w:pStyle w:val="ListParagraph"/>
        <w:numPr>
          <w:ilvl w:val="0"/>
          <w:numId w:val="22"/>
        </w:numPr>
        <w:tabs>
          <w:tab w:pos="421" w:val="left" w:leader="none"/>
        </w:tabs>
        <w:spacing w:line="208" w:lineRule="auto" w:before="5" w:after="0"/>
        <w:ind w:left="420" w:right="93" w:hanging="240"/>
        <w:jc w:val="left"/>
        <w:rPr>
          <w:sz w:val="12"/>
        </w:rPr>
      </w:pPr>
      <w:r>
        <w:rPr>
          <w:color w:val="231F20"/>
          <w:sz w:val="12"/>
        </w:rPr>
        <w:t>Three-month moving average of earnings growth, adjusted by subtracting monthly bonus effect and adding back a </w:t>
      </w:r>
      <w:r>
        <w:rPr>
          <w:color w:val="231F20"/>
          <w:spacing w:val="-2"/>
          <w:sz w:val="12"/>
        </w:rPr>
        <w:t>twelve-month </w:t>
      </w:r>
      <w:r>
        <w:rPr>
          <w:color w:val="231F20"/>
          <w:sz w:val="12"/>
        </w:rPr>
        <w:t>moving average of bonus effects.</w:t>
      </w:r>
    </w:p>
    <w:p>
      <w:pPr>
        <w:pStyle w:val="Heading5"/>
        <w:spacing w:line="242" w:lineRule="auto"/>
        <w:ind w:right="140"/>
      </w:pPr>
      <w:r>
        <w:rPr/>
        <w:br w:type="column"/>
      </w:r>
      <w:r>
        <w:rPr>
          <w:color w:val="231F20"/>
        </w:rPr>
        <w:t>worked per week (hours worked are discussed later in this section). Variations in these measures would not necessarily reflect labour market tightness; a better measure might be hourly earnings. The New Earnings Survey obtains detailed information on the gross pay (ie before tax or other deductions) of a sample of 1% of workers in April of each year. According to this survey, average gross hourly earnings, excluding overtime, rose by 4.9% in the twelve months to April 1997. Weekly wages and salaries increased by 4.4% in the same period.</w:t>
      </w:r>
    </w:p>
    <w:p>
      <w:pPr>
        <w:pStyle w:val="BodyText"/>
        <w:rPr>
          <w:sz w:val="21"/>
        </w:rPr>
      </w:pPr>
    </w:p>
    <w:p>
      <w:pPr>
        <w:pStyle w:val="ListParagraph"/>
        <w:numPr>
          <w:ilvl w:val="1"/>
          <w:numId w:val="22"/>
        </w:numPr>
        <w:tabs>
          <w:tab w:pos="431" w:val="left" w:leader="none"/>
        </w:tabs>
        <w:spacing w:line="208" w:lineRule="auto" w:before="0" w:after="0"/>
        <w:ind w:left="429" w:right="662" w:hanging="240"/>
        <w:jc w:val="left"/>
        <w:rPr>
          <w:sz w:val="16"/>
        </w:rPr>
      </w:pPr>
      <w:r>
        <w:rPr>
          <w:color w:val="231F20"/>
          <w:sz w:val="16"/>
        </w:rPr>
        <w:t>In one method, monthly bonus effects are identified by looking for large changes in earnings in individual sectors. The estimated bonus effects </w:t>
      </w:r>
      <w:r>
        <w:rPr>
          <w:color w:val="231F20"/>
          <w:spacing w:val="-6"/>
          <w:sz w:val="16"/>
        </w:rPr>
        <w:t>are </w:t>
      </w:r>
      <w:r>
        <w:rPr>
          <w:color w:val="231F20"/>
          <w:sz w:val="16"/>
        </w:rPr>
        <w:t>removed from actual earnings and a twelve-month moving average of such effects is added back. The other method uses a statistical technique such as the Kalman filter. See the box ‘Adjusting earnings for temporary bonus effects’ on page 27 of the August 1997</w:t>
      </w:r>
      <w:r>
        <w:rPr>
          <w:color w:val="231F20"/>
          <w:spacing w:val="-2"/>
          <w:sz w:val="16"/>
        </w:rPr>
        <w:t> </w:t>
      </w:r>
      <w:r>
        <w:rPr>
          <w:i/>
          <w:color w:val="231F20"/>
          <w:sz w:val="16"/>
        </w:rPr>
        <w:t>Report</w:t>
      </w:r>
      <w:r>
        <w:rPr>
          <w:color w:val="231F20"/>
          <w:sz w:val="16"/>
        </w:rPr>
        <w:t>.</w:t>
      </w:r>
    </w:p>
    <w:p>
      <w:pPr>
        <w:spacing w:after="0" w:line="208" w:lineRule="auto"/>
        <w:jc w:val="left"/>
        <w:rPr>
          <w:sz w:val="16"/>
        </w:rPr>
        <w:sectPr>
          <w:type w:val="continuous"/>
          <w:pgSz w:w="11880" w:h="16840"/>
          <w:pgMar w:top="1040" w:bottom="280" w:left="640" w:right="620"/>
          <w:cols w:num="2" w:equalWidth="0">
            <w:col w:w="3696" w:space="1085"/>
            <w:col w:w="5839"/>
          </w:cols>
        </w:sectPr>
      </w:pPr>
    </w:p>
    <w:p>
      <w:pPr>
        <w:pStyle w:val="BodyText"/>
        <w:rPr>
          <w:sz w:val="20"/>
        </w:rPr>
      </w:pPr>
    </w:p>
    <w:p>
      <w:pPr>
        <w:pStyle w:val="Heading5"/>
        <w:spacing w:line="242" w:lineRule="auto" w:before="207"/>
        <w:ind w:left="4945" w:right="157" w:hanging="1"/>
      </w:pPr>
      <w:bookmarkStart w:name="Real earnings" w:id="63"/>
      <w:bookmarkEnd w:id="63"/>
      <w:r>
        <w:rPr/>
      </w:r>
      <w:bookmarkStart w:name="Explaining real earnings behaviour" w:id="64"/>
      <w:bookmarkEnd w:id="64"/>
      <w:r>
        <w:rPr/>
      </w:r>
      <w:bookmarkStart w:name="Labour market tightness" w:id="65"/>
      <w:bookmarkEnd w:id="65"/>
      <w:r>
        <w:rPr/>
      </w:r>
      <w:bookmarkStart w:name="_bookmark30" w:id="66"/>
      <w:bookmarkEnd w:id="66"/>
      <w:r>
        <w:rPr/>
      </w:r>
      <w:r>
        <w:rPr>
          <w:color w:val="231F20"/>
        </w:rPr>
        <w:t>So earnings per hour rose more quickly than earnings per week.</w:t>
      </w:r>
    </w:p>
    <w:p>
      <w:pPr>
        <w:pStyle w:val="BodyText"/>
        <w:rPr>
          <w:sz w:val="28"/>
        </w:rPr>
      </w:pPr>
    </w:p>
    <w:p>
      <w:pPr>
        <w:spacing w:line="242" w:lineRule="auto" w:before="1"/>
        <w:ind w:left="4945" w:right="528" w:firstLine="0"/>
        <w:jc w:val="both"/>
        <w:rPr>
          <w:sz w:val="24"/>
        </w:rPr>
      </w:pPr>
      <w:r>
        <w:rPr>
          <w:color w:val="231F20"/>
          <w:sz w:val="24"/>
        </w:rPr>
        <w:t>Settlements in the private sector averaged 3.6% in</w:t>
      </w:r>
      <w:r>
        <w:rPr>
          <w:color w:val="231F20"/>
          <w:spacing w:val="-22"/>
          <w:sz w:val="24"/>
        </w:rPr>
        <w:t> </w:t>
      </w:r>
      <w:r>
        <w:rPr>
          <w:color w:val="231F20"/>
          <w:spacing w:val="-5"/>
          <w:sz w:val="24"/>
        </w:rPr>
        <w:t>the </w:t>
      </w:r>
      <w:r>
        <w:rPr>
          <w:color w:val="231F20"/>
          <w:sz w:val="24"/>
        </w:rPr>
        <w:t>twelve months to September, according to the </w:t>
      </w:r>
      <w:r>
        <w:rPr>
          <w:color w:val="231F20"/>
          <w:spacing w:val="-3"/>
          <w:sz w:val="24"/>
        </w:rPr>
        <w:t>Bank’s </w:t>
      </w:r>
      <w:r>
        <w:rPr>
          <w:color w:val="231F20"/>
          <w:sz w:val="24"/>
        </w:rPr>
        <w:t>employment-weighted settlements database,</w:t>
      </w:r>
      <w:r>
        <w:rPr>
          <w:color w:val="231F20"/>
          <w:spacing w:val="-2"/>
          <w:sz w:val="24"/>
        </w:rPr>
        <w:t> </w:t>
      </w:r>
      <w:r>
        <w:rPr>
          <w:color w:val="231F20"/>
          <w:sz w:val="24"/>
        </w:rPr>
        <w:t>about</w:t>
      </w:r>
    </w:p>
    <w:p>
      <w:pPr>
        <w:spacing w:line="242" w:lineRule="auto" w:before="3"/>
        <w:ind w:left="4945" w:right="158" w:hanging="1"/>
        <w:jc w:val="left"/>
        <w:rPr>
          <w:sz w:val="24"/>
        </w:rPr>
      </w:pPr>
      <w:r>
        <w:rPr>
          <w:color w:val="231F20"/>
          <w:position w:val="8"/>
          <w:sz w:val="12"/>
        </w:rPr>
        <w:t>1</w:t>
      </w:r>
      <w:r>
        <w:rPr>
          <w:color w:val="231F20"/>
          <w:sz w:val="24"/>
        </w:rPr>
        <w:t>/</w:t>
      </w:r>
      <w:r>
        <w:rPr>
          <w:color w:val="231F20"/>
          <w:sz w:val="12"/>
        </w:rPr>
        <w:t>4 </w:t>
      </w:r>
      <w:r>
        <w:rPr>
          <w:color w:val="231F20"/>
          <w:sz w:val="24"/>
        </w:rPr>
        <w:t>percentage point higher than three months earlier. </w:t>
      </w:r>
      <w:r>
        <w:rPr>
          <w:color w:val="231F20"/>
          <w:spacing w:val="-5"/>
          <w:sz w:val="24"/>
        </w:rPr>
        <w:t>Part </w:t>
      </w:r>
      <w:r>
        <w:rPr>
          <w:color w:val="231F20"/>
          <w:sz w:val="24"/>
        </w:rPr>
        <w:t>of the reason for the pick-up was a settlement in August of around 5.5% in the construction sector, covering 600,000 employees. This followed increasing recruitment difficulties in the industry in the first half of the year, according to the Building Employers’ Confederation. But it also reflected the withdrawal of some allowances for construction workers, so the actual pay bill effect was only around 3.5%. This settlement also included double-digit increases in craft-workers’ pay for 1998 and 1999. Settlements in the public sector, at 2.8% in September, remained lower than in the private sector. This was also true of earnings: in the twelve months to August, public sector earnings grew much less quickly than earnings in the private</w:t>
      </w:r>
      <w:r>
        <w:rPr>
          <w:color w:val="231F20"/>
          <w:spacing w:val="-6"/>
          <w:sz w:val="24"/>
        </w:rPr>
        <w:t> </w:t>
      </w:r>
      <w:r>
        <w:rPr>
          <w:color w:val="231F20"/>
          <w:sz w:val="24"/>
        </w:rPr>
        <w:t>sector.</w:t>
      </w:r>
    </w:p>
    <w:p>
      <w:pPr>
        <w:pStyle w:val="BodyText"/>
        <w:spacing w:before="9"/>
        <w:rPr>
          <w:sz w:val="23"/>
        </w:rPr>
      </w:pPr>
    </w:p>
    <w:p>
      <w:pPr>
        <w:pStyle w:val="ListParagraph"/>
        <w:numPr>
          <w:ilvl w:val="1"/>
          <w:numId w:val="21"/>
        </w:numPr>
        <w:tabs>
          <w:tab w:pos="8588" w:val="left" w:leader="none"/>
          <w:tab w:pos="8589" w:val="left" w:leader="none"/>
          <w:tab w:pos="10459" w:val="left" w:leader="none"/>
        </w:tabs>
        <w:spacing w:line="240" w:lineRule="auto" w:before="89" w:after="0"/>
        <w:ind w:left="8588" w:right="0" w:hanging="3644"/>
        <w:jc w:val="left"/>
        <w:rPr>
          <w:b/>
          <w:sz w:val="28"/>
        </w:rPr>
      </w:pPr>
      <w:r>
        <w:rPr>
          <w:b/>
          <w:color w:val="009483"/>
          <w:sz w:val="28"/>
          <w:u w:val="thick" w:color="0093C1"/>
        </w:rPr>
        <w:t>Real</w:t>
      </w:r>
      <w:r>
        <w:rPr>
          <w:b/>
          <w:color w:val="009483"/>
          <w:spacing w:val="-5"/>
          <w:sz w:val="28"/>
          <w:u w:val="thick" w:color="0093C1"/>
        </w:rPr>
        <w:t> </w:t>
      </w:r>
      <w:r>
        <w:rPr>
          <w:b/>
          <w:color w:val="009483"/>
          <w:sz w:val="28"/>
          <w:u w:val="thick" w:color="0093C1"/>
        </w:rPr>
        <w:t>earnings</w:t>
        <w:tab/>
      </w:r>
    </w:p>
    <w:p>
      <w:pPr>
        <w:pStyle w:val="BodyText"/>
        <w:spacing w:before="1"/>
        <w:rPr>
          <w:b/>
          <w:sz w:val="15"/>
        </w:rPr>
      </w:pPr>
    </w:p>
    <w:p>
      <w:pPr>
        <w:spacing w:after="0"/>
        <w:rPr>
          <w:sz w:val="15"/>
        </w:rPr>
        <w:sectPr>
          <w:headerReference w:type="default" r:id="rId64"/>
          <w:headerReference w:type="even" r:id="rId65"/>
          <w:pgSz w:w="11880" w:h="16840"/>
          <w:pgMar w:header="566" w:footer="597" w:top="760" w:bottom="780" w:left="640" w:right="6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4"/>
        <w:rPr>
          <w:b/>
          <w:sz w:val="20"/>
        </w:rPr>
      </w:pPr>
    </w:p>
    <w:p>
      <w:pPr>
        <w:pStyle w:val="Heading9"/>
        <w:spacing w:before="0"/>
        <w:ind w:left="150"/>
      </w:pPr>
      <w:r>
        <w:rPr>
          <w:color w:val="0093C1"/>
        </w:rPr>
        <w:t>Table 4.A</w:t>
      </w:r>
    </w:p>
    <w:p>
      <w:pPr>
        <w:spacing w:line="249" w:lineRule="auto" w:before="10"/>
        <w:ind w:left="150" w:right="43" w:firstLine="0"/>
        <w:jc w:val="left"/>
        <w:rPr>
          <w:sz w:val="12"/>
        </w:rPr>
      </w:pPr>
      <w:r>
        <w:rPr>
          <w:b/>
          <w:color w:val="0093C1"/>
          <w:sz w:val="20"/>
        </w:rPr>
        <w:t>Growth in the real product and real consumption wage</w:t>
      </w:r>
      <w:r>
        <w:rPr>
          <w:color w:val="231F20"/>
          <w:position w:val="4"/>
          <w:sz w:val="12"/>
        </w:rPr>
        <w:t>(a)</w:t>
      </w:r>
    </w:p>
    <w:p>
      <w:pPr>
        <w:spacing w:before="51"/>
        <w:ind w:left="150" w:right="0" w:firstLine="0"/>
        <w:jc w:val="left"/>
        <w:rPr>
          <w:sz w:val="14"/>
        </w:rPr>
      </w:pPr>
      <w:r>
        <w:rPr>
          <w:color w:val="231F20"/>
          <w:sz w:val="14"/>
        </w:rPr>
        <w:t>Percentage change on a year earlier</w:t>
      </w:r>
    </w:p>
    <w:p>
      <w:pPr>
        <w:pStyle w:val="BodyText"/>
        <w:spacing w:before="10"/>
        <w:rPr>
          <w:sz w:val="1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750"/>
        <w:gridCol w:w="527"/>
        <w:gridCol w:w="521"/>
        <w:gridCol w:w="431"/>
      </w:tblGrid>
      <w:tr>
        <w:trPr>
          <w:trHeight w:val="377" w:hRule="atLeast"/>
        </w:trPr>
        <w:tc>
          <w:tcPr>
            <w:tcW w:w="1613" w:type="dxa"/>
          </w:tcPr>
          <w:p>
            <w:pPr>
              <w:pStyle w:val="TableParagraph"/>
              <w:rPr>
                <w:sz w:val="20"/>
              </w:rPr>
            </w:pPr>
          </w:p>
        </w:tc>
        <w:tc>
          <w:tcPr>
            <w:tcW w:w="750" w:type="dxa"/>
          </w:tcPr>
          <w:p>
            <w:pPr>
              <w:pStyle w:val="TableParagraph"/>
              <w:spacing w:line="237" w:lineRule="auto"/>
              <w:ind w:left="217" w:right="77"/>
              <w:rPr>
                <w:sz w:val="14"/>
              </w:rPr>
            </w:pPr>
            <w:r>
              <w:rPr>
                <w:color w:val="231F20"/>
                <w:sz w:val="14"/>
              </w:rPr>
              <w:t>20-year </w:t>
            </w:r>
            <w:r>
              <w:rPr>
                <w:color w:val="231F20"/>
                <w:sz w:val="14"/>
                <w:u w:val="single" w:color="231F20"/>
              </w:rPr>
              <w:t>average</w:t>
            </w:r>
          </w:p>
        </w:tc>
        <w:tc>
          <w:tcPr>
            <w:tcW w:w="527" w:type="dxa"/>
          </w:tcPr>
          <w:p>
            <w:pPr>
              <w:pStyle w:val="TableParagraph"/>
              <w:spacing w:line="155" w:lineRule="exact"/>
              <w:ind w:left="97"/>
              <w:rPr>
                <w:sz w:val="14"/>
              </w:rPr>
            </w:pPr>
            <w:r>
              <w:rPr>
                <w:color w:val="231F20"/>
                <w:sz w:val="14"/>
                <w:u w:val="single" w:color="231F20"/>
              </w:rPr>
              <w:t>1995</w:t>
            </w:r>
          </w:p>
          <w:p>
            <w:pPr>
              <w:pStyle w:val="TableParagraph"/>
              <w:spacing w:line="161" w:lineRule="exact"/>
              <w:ind w:left="97"/>
              <w:rPr>
                <w:sz w:val="14"/>
              </w:rPr>
            </w:pPr>
            <w:r>
              <w:rPr>
                <w:color w:val="231F20"/>
                <w:sz w:val="14"/>
                <w:u w:val="single" w:color="231F20"/>
              </w:rPr>
              <w:t>Q2 </w:t>
            </w:r>
          </w:p>
        </w:tc>
        <w:tc>
          <w:tcPr>
            <w:tcW w:w="521" w:type="dxa"/>
          </w:tcPr>
          <w:p>
            <w:pPr>
              <w:pStyle w:val="TableParagraph"/>
              <w:spacing w:line="155" w:lineRule="exact"/>
              <w:ind w:left="140"/>
              <w:rPr>
                <w:sz w:val="14"/>
              </w:rPr>
            </w:pPr>
            <w:r>
              <w:rPr>
                <w:color w:val="231F20"/>
                <w:sz w:val="14"/>
                <w:u w:val="single" w:color="231F20"/>
              </w:rPr>
              <w:t>1996</w:t>
            </w:r>
          </w:p>
          <w:p>
            <w:pPr>
              <w:pStyle w:val="TableParagraph"/>
              <w:spacing w:line="161" w:lineRule="exact"/>
              <w:ind w:left="140"/>
              <w:rPr>
                <w:sz w:val="14"/>
              </w:rPr>
            </w:pPr>
            <w:r>
              <w:rPr>
                <w:color w:val="231F20"/>
                <w:sz w:val="14"/>
                <w:u w:val="single" w:color="231F20"/>
              </w:rPr>
              <w:t>Q2 </w:t>
            </w:r>
          </w:p>
        </w:tc>
        <w:tc>
          <w:tcPr>
            <w:tcW w:w="431" w:type="dxa"/>
          </w:tcPr>
          <w:p>
            <w:pPr>
              <w:pStyle w:val="TableParagraph"/>
              <w:spacing w:line="155" w:lineRule="exact"/>
              <w:ind w:left="99"/>
              <w:rPr>
                <w:sz w:val="14"/>
              </w:rPr>
            </w:pPr>
            <w:r>
              <w:rPr>
                <w:color w:val="231F20"/>
                <w:sz w:val="14"/>
                <w:u w:val="single" w:color="231F20"/>
              </w:rPr>
              <w:t>1997</w:t>
            </w:r>
          </w:p>
          <w:p>
            <w:pPr>
              <w:pStyle w:val="TableParagraph"/>
              <w:spacing w:line="161" w:lineRule="exact"/>
              <w:ind w:left="99"/>
              <w:rPr>
                <w:sz w:val="14"/>
              </w:rPr>
            </w:pPr>
            <w:r>
              <w:rPr>
                <w:color w:val="231F20"/>
                <w:sz w:val="14"/>
                <w:u w:val="single" w:color="231F20"/>
              </w:rPr>
              <w:t>Q2 </w:t>
            </w:r>
          </w:p>
        </w:tc>
      </w:tr>
      <w:tr>
        <w:trPr>
          <w:trHeight w:val="210" w:hRule="atLeast"/>
        </w:trPr>
        <w:tc>
          <w:tcPr>
            <w:tcW w:w="1613" w:type="dxa"/>
          </w:tcPr>
          <w:p>
            <w:pPr>
              <w:pStyle w:val="TableParagraph"/>
              <w:spacing w:line="133" w:lineRule="exact" w:before="56"/>
              <w:ind w:left="50"/>
              <w:rPr>
                <w:sz w:val="14"/>
              </w:rPr>
            </w:pPr>
            <w:r>
              <w:rPr>
                <w:color w:val="231F20"/>
                <w:sz w:val="14"/>
              </w:rPr>
              <w:t>Real product wage</w:t>
            </w:r>
          </w:p>
        </w:tc>
        <w:tc>
          <w:tcPr>
            <w:tcW w:w="750" w:type="dxa"/>
          </w:tcPr>
          <w:p>
            <w:pPr>
              <w:pStyle w:val="TableParagraph"/>
              <w:spacing w:line="133" w:lineRule="exact" w:before="56"/>
              <w:ind w:right="235"/>
              <w:jc w:val="right"/>
              <w:rPr>
                <w:sz w:val="14"/>
              </w:rPr>
            </w:pPr>
            <w:r>
              <w:rPr>
                <w:color w:val="231F20"/>
                <w:sz w:val="14"/>
              </w:rPr>
              <w:t>1.7</w:t>
            </w:r>
          </w:p>
        </w:tc>
        <w:tc>
          <w:tcPr>
            <w:tcW w:w="527" w:type="dxa"/>
          </w:tcPr>
          <w:p>
            <w:pPr>
              <w:pStyle w:val="TableParagraph"/>
              <w:spacing w:line="133" w:lineRule="exact" w:before="56"/>
              <w:ind w:right="172"/>
              <w:jc w:val="right"/>
              <w:rPr>
                <w:sz w:val="14"/>
              </w:rPr>
            </w:pPr>
            <w:r>
              <w:rPr>
                <w:color w:val="231F20"/>
                <w:sz w:val="14"/>
              </w:rPr>
              <w:t>1.0</w:t>
            </w:r>
          </w:p>
        </w:tc>
        <w:tc>
          <w:tcPr>
            <w:tcW w:w="521" w:type="dxa"/>
          </w:tcPr>
          <w:p>
            <w:pPr>
              <w:pStyle w:val="TableParagraph"/>
              <w:spacing w:line="133" w:lineRule="exact" w:before="56"/>
              <w:ind w:right="143"/>
              <w:jc w:val="right"/>
              <w:rPr>
                <w:sz w:val="14"/>
              </w:rPr>
            </w:pPr>
            <w:r>
              <w:rPr>
                <w:color w:val="231F20"/>
                <w:sz w:val="14"/>
              </w:rPr>
              <w:t>0.5</w:t>
            </w:r>
          </w:p>
        </w:tc>
        <w:tc>
          <w:tcPr>
            <w:tcW w:w="431" w:type="dxa"/>
          </w:tcPr>
          <w:p>
            <w:pPr>
              <w:pStyle w:val="TableParagraph"/>
              <w:spacing w:line="133" w:lineRule="exact" w:before="56"/>
              <w:ind w:right="74"/>
              <w:jc w:val="right"/>
              <w:rPr>
                <w:sz w:val="14"/>
              </w:rPr>
            </w:pPr>
            <w:r>
              <w:rPr>
                <w:color w:val="231F20"/>
                <w:sz w:val="14"/>
              </w:rPr>
              <w:t>1.6</w:t>
            </w:r>
          </w:p>
        </w:tc>
      </w:tr>
      <w:tr>
        <w:trPr>
          <w:trHeight w:val="147" w:hRule="atLeast"/>
        </w:trPr>
        <w:tc>
          <w:tcPr>
            <w:tcW w:w="1613" w:type="dxa"/>
          </w:tcPr>
          <w:p>
            <w:pPr>
              <w:pStyle w:val="TableParagraph"/>
              <w:spacing w:line="128" w:lineRule="exact"/>
              <w:ind w:left="50"/>
              <w:rPr>
                <w:sz w:val="14"/>
              </w:rPr>
            </w:pPr>
            <w:r>
              <w:rPr>
                <w:color w:val="231F20"/>
                <w:sz w:val="14"/>
              </w:rPr>
              <w:t>Real consumption wage</w:t>
            </w:r>
          </w:p>
        </w:tc>
        <w:tc>
          <w:tcPr>
            <w:tcW w:w="750" w:type="dxa"/>
          </w:tcPr>
          <w:p>
            <w:pPr>
              <w:pStyle w:val="TableParagraph"/>
              <w:spacing w:line="128" w:lineRule="exact"/>
              <w:ind w:right="236"/>
              <w:jc w:val="right"/>
              <w:rPr>
                <w:sz w:val="14"/>
              </w:rPr>
            </w:pPr>
            <w:r>
              <w:rPr>
                <w:color w:val="231F20"/>
                <w:sz w:val="14"/>
              </w:rPr>
              <w:t>2.6</w:t>
            </w:r>
          </w:p>
        </w:tc>
        <w:tc>
          <w:tcPr>
            <w:tcW w:w="527" w:type="dxa"/>
          </w:tcPr>
          <w:p>
            <w:pPr>
              <w:pStyle w:val="TableParagraph"/>
              <w:spacing w:line="128" w:lineRule="exact"/>
              <w:ind w:right="173"/>
              <w:jc w:val="right"/>
              <w:rPr>
                <w:sz w:val="14"/>
              </w:rPr>
            </w:pPr>
            <w:r>
              <w:rPr>
                <w:color w:val="231F20"/>
                <w:sz w:val="14"/>
              </w:rPr>
              <w:t>-0.4</w:t>
            </w:r>
          </w:p>
        </w:tc>
        <w:tc>
          <w:tcPr>
            <w:tcW w:w="521" w:type="dxa"/>
          </w:tcPr>
          <w:p>
            <w:pPr>
              <w:pStyle w:val="TableParagraph"/>
              <w:spacing w:line="128" w:lineRule="exact"/>
              <w:ind w:right="144"/>
              <w:jc w:val="right"/>
              <w:rPr>
                <w:sz w:val="14"/>
              </w:rPr>
            </w:pPr>
            <w:r>
              <w:rPr>
                <w:color w:val="231F20"/>
                <w:sz w:val="14"/>
              </w:rPr>
              <w:t>1.8</w:t>
            </w:r>
          </w:p>
        </w:tc>
        <w:tc>
          <w:tcPr>
            <w:tcW w:w="431" w:type="dxa"/>
          </w:tcPr>
          <w:p>
            <w:pPr>
              <w:pStyle w:val="TableParagraph"/>
              <w:spacing w:line="128" w:lineRule="exact"/>
              <w:ind w:right="75"/>
              <w:jc w:val="right"/>
              <w:rPr>
                <w:sz w:val="14"/>
              </w:rPr>
            </w:pPr>
            <w:r>
              <w:rPr>
                <w:color w:val="231F20"/>
                <w:sz w:val="14"/>
              </w:rPr>
              <w:t>2.6</w:t>
            </w:r>
          </w:p>
        </w:tc>
      </w:tr>
    </w:tbl>
    <w:p>
      <w:pPr>
        <w:pStyle w:val="ListParagraph"/>
        <w:numPr>
          <w:ilvl w:val="2"/>
          <w:numId w:val="22"/>
        </w:numPr>
        <w:tabs>
          <w:tab w:pos="391" w:val="left" w:leader="none"/>
        </w:tabs>
        <w:spacing w:line="208" w:lineRule="auto" w:before="119" w:after="0"/>
        <w:ind w:left="390" w:right="38" w:hanging="240"/>
        <w:jc w:val="left"/>
        <w:rPr>
          <w:sz w:val="12"/>
        </w:rPr>
      </w:pPr>
      <w:r>
        <w:rPr>
          <w:color w:val="231F20"/>
          <w:sz w:val="12"/>
        </w:rPr>
        <w:t>The real product wage, which includes both wages and salaries and employers’ social security contributions and deflates these by the GDP deflator at factor cost, measures the real cost of labour to employers. The real consumption wage </w:t>
      </w:r>
      <w:r>
        <w:rPr>
          <w:color w:val="231F20"/>
          <w:spacing w:val="-3"/>
          <w:sz w:val="12"/>
        </w:rPr>
        <w:t>deflates </w:t>
      </w:r>
      <w:r>
        <w:rPr>
          <w:color w:val="231F20"/>
          <w:sz w:val="12"/>
        </w:rPr>
        <w:t>earnings by the tax and price index (TPI). The TPI measures changes in both retail prices and direct taxes. So the real consumption wage is a measure of the purchasing power of post-tax income.</w:t>
      </w:r>
    </w:p>
    <w:p>
      <w:pPr>
        <w:pStyle w:val="Heading5"/>
        <w:spacing w:line="242" w:lineRule="auto" w:before="90"/>
        <w:ind w:left="151" w:right="216"/>
      </w:pPr>
      <w:r>
        <w:rPr/>
        <w:br w:type="column"/>
      </w:r>
      <w:r>
        <w:rPr>
          <w:color w:val="231F20"/>
        </w:rPr>
        <w:t>Employers wish to preserve their prices relative to costs, and employees their real income. Expectations about inflation for the next year or so are an important part of the wage-bargaining process, as earnings are often agreed in nominal terms. According to the Merrill Lynch-Gallup and Barclays Basix Surveys, short-term inflation expectations have risen slightly during the past few months (see Tables 7.B and 7.C). This could feed through to higher settlements. Inflation outturns often differ from expectations, so it is useful to estimate real earnings based on actual price changes. Employers are concerned about the real product wage; employees are concerned about the real consumption wage. Table 4.A shows that both measures of real earnings growth have picked up during the past year or so to around their</w:t>
      </w:r>
    </w:p>
    <w:p>
      <w:pPr>
        <w:spacing w:before="20"/>
        <w:ind w:left="151" w:right="0" w:firstLine="0"/>
        <w:jc w:val="left"/>
        <w:rPr>
          <w:sz w:val="24"/>
        </w:rPr>
      </w:pPr>
      <w:r>
        <w:rPr>
          <w:color w:val="231F20"/>
          <w:sz w:val="24"/>
        </w:rPr>
        <w:t>20-year averages.</w:t>
      </w:r>
    </w:p>
    <w:p>
      <w:pPr>
        <w:spacing w:after="0"/>
        <w:jc w:val="left"/>
        <w:rPr>
          <w:sz w:val="24"/>
        </w:rPr>
        <w:sectPr>
          <w:type w:val="continuous"/>
          <w:pgSz w:w="11880" w:h="16840"/>
          <w:pgMar w:top="1040" w:bottom="280" w:left="640" w:right="620"/>
          <w:cols w:num="2" w:equalWidth="0">
            <w:col w:w="4430" w:space="364"/>
            <w:col w:w="5826"/>
          </w:cols>
        </w:sectPr>
      </w:pPr>
    </w:p>
    <w:p>
      <w:pPr>
        <w:pStyle w:val="BodyText"/>
        <w:spacing w:before="4"/>
        <w:rPr>
          <w:sz w:val="22"/>
        </w:rPr>
      </w:pPr>
    </w:p>
    <w:p>
      <w:pPr>
        <w:pStyle w:val="ListParagraph"/>
        <w:numPr>
          <w:ilvl w:val="1"/>
          <w:numId w:val="21"/>
        </w:numPr>
        <w:tabs>
          <w:tab w:pos="6018" w:val="left" w:leader="none"/>
          <w:tab w:pos="6019" w:val="left" w:leader="none"/>
          <w:tab w:pos="10459" w:val="left" w:leader="none"/>
        </w:tabs>
        <w:spacing w:line="240" w:lineRule="auto" w:before="88" w:after="0"/>
        <w:ind w:left="6018" w:right="0" w:hanging="1074"/>
        <w:jc w:val="left"/>
        <w:rPr>
          <w:b/>
          <w:sz w:val="28"/>
        </w:rPr>
      </w:pPr>
      <w:r>
        <w:rPr>
          <w:b/>
          <w:color w:val="009483"/>
          <w:sz w:val="28"/>
          <w:u w:val="thick" w:color="0093C1"/>
        </w:rPr>
        <w:t>Explaining real earnings</w:t>
      </w:r>
      <w:r>
        <w:rPr>
          <w:b/>
          <w:color w:val="009483"/>
          <w:spacing w:val="-19"/>
          <w:sz w:val="28"/>
          <w:u w:val="thick" w:color="0093C1"/>
        </w:rPr>
        <w:t> </w:t>
      </w:r>
      <w:r>
        <w:rPr>
          <w:b/>
          <w:color w:val="009483"/>
          <w:sz w:val="28"/>
          <w:u w:val="thick" w:color="0093C1"/>
        </w:rPr>
        <w:t>behaviour</w:t>
        <w:tab/>
      </w:r>
    </w:p>
    <w:p>
      <w:pPr>
        <w:pStyle w:val="BodyText"/>
        <w:spacing w:before="8"/>
        <w:rPr>
          <w:b/>
          <w:sz w:val="25"/>
        </w:rPr>
      </w:pPr>
    </w:p>
    <w:p>
      <w:pPr>
        <w:pStyle w:val="Heading6"/>
        <w:ind w:left="4945"/>
        <w:rPr>
          <w:i/>
        </w:rPr>
      </w:pPr>
      <w:r>
        <w:rPr>
          <w:i/>
          <w:color w:val="009483"/>
        </w:rPr>
        <w:t>Labour market tightness</w:t>
      </w:r>
    </w:p>
    <w:p>
      <w:pPr>
        <w:spacing w:line="242" w:lineRule="auto" w:before="164"/>
        <w:ind w:left="4945" w:right="236" w:hanging="1"/>
        <w:jc w:val="left"/>
        <w:rPr>
          <w:sz w:val="24"/>
        </w:rPr>
      </w:pPr>
      <w:r>
        <w:rPr>
          <w:color w:val="231F20"/>
          <w:sz w:val="24"/>
        </w:rPr>
        <w:t>There are several indicators of tightness, including unemployment, the non-participation rate, employment, the gap between hours offered and hours worked, vacancies, and skill shortages. Almost all suggest that the labour market has continued to tighten since the previous </w:t>
      </w:r>
      <w:r>
        <w:rPr>
          <w:i/>
          <w:color w:val="231F20"/>
          <w:sz w:val="24"/>
        </w:rPr>
        <w:t>Report</w:t>
      </w:r>
      <w:r>
        <w:rPr>
          <w:color w:val="231F20"/>
          <w:sz w:val="24"/>
        </w:rPr>
        <w:t>.</w:t>
      </w:r>
    </w:p>
    <w:p>
      <w:pPr>
        <w:spacing w:after="0" w:line="242" w:lineRule="auto"/>
        <w:jc w:val="left"/>
        <w:rPr>
          <w:sz w:val="24"/>
        </w:rPr>
        <w:sectPr>
          <w:type w:val="continuous"/>
          <w:pgSz w:w="11880" w:h="16840"/>
          <w:pgMar w:top="1040" w:bottom="280" w:left="640" w:right="620"/>
        </w:sectPr>
      </w:pPr>
    </w:p>
    <w:p>
      <w:pPr>
        <w:pStyle w:val="BodyText"/>
        <w:rPr>
          <w:sz w:val="20"/>
        </w:rPr>
      </w:pPr>
    </w:p>
    <w:p>
      <w:pPr>
        <w:spacing w:after="0"/>
        <w:rPr>
          <w:sz w:val="20"/>
        </w:rPr>
        <w:sectPr>
          <w:footerReference w:type="even" r:id="rId66"/>
          <w:footerReference w:type="default" r:id="rId67"/>
          <w:pgSz w:w="11880" w:h="16840"/>
          <w:pgMar w:footer="597" w:header="566" w:top="760" w:bottom="780" w:left="640" w:right="620"/>
          <w:pgNumType w:start="32"/>
        </w:sectPr>
      </w:pPr>
    </w:p>
    <w:p>
      <w:pPr>
        <w:pStyle w:val="BodyText"/>
        <w:spacing w:before="3"/>
        <w:rPr>
          <w:sz w:val="21"/>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595"/>
        <w:gridCol w:w="599"/>
        <w:gridCol w:w="651"/>
        <w:gridCol w:w="733"/>
      </w:tblGrid>
      <w:tr>
        <w:trPr>
          <w:trHeight w:val="790" w:hRule="atLeast"/>
        </w:trPr>
        <w:tc>
          <w:tcPr>
            <w:tcW w:w="2088" w:type="dxa"/>
            <w:gridSpan w:val="2"/>
          </w:tcPr>
          <w:p>
            <w:pPr>
              <w:pStyle w:val="TableParagraph"/>
              <w:spacing w:line="249" w:lineRule="auto"/>
              <w:ind w:left="50" w:right="101"/>
              <w:rPr>
                <w:sz w:val="12"/>
              </w:rPr>
            </w:pPr>
            <w:r>
              <w:rPr>
                <w:b/>
                <w:color w:val="0093C1"/>
                <w:sz w:val="20"/>
              </w:rPr>
              <w:t>Table 4.B Unemployment rates</w:t>
            </w:r>
            <w:r>
              <w:rPr>
                <w:color w:val="231F20"/>
                <w:position w:val="4"/>
                <w:sz w:val="12"/>
              </w:rPr>
              <w:t>(a)</w:t>
            </w:r>
          </w:p>
          <w:p>
            <w:pPr>
              <w:pStyle w:val="TableParagraph"/>
              <w:spacing w:before="89"/>
              <w:ind w:left="50"/>
              <w:rPr>
                <w:sz w:val="14"/>
              </w:rPr>
            </w:pPr>
            <w:r>
              <w:rPr>
                <w:color w:val="231F20"/>
                <w:sz w:val="14"/>
              </w:rPr>
              <w:t>Per cent</w:t>
            </w:r>
          </w:p>
        </w:tc>
        <w:tc>
          <w:tcPr>
            <w:tcW w:w="1983" w:type="dxa"/>
            <w:gridSpan w:val="3"/>
          </w:tcPr>
          <w:p>
            <w:pPr>
              <w:pStyle w:val="TableParagraph"/>
              <w:rPr>
                <w:sz w:val="18"/>
              </w:rPr>
            </w:pPr>
          </w:p>
        </w:tc>
      </w:tr>
      <w:tr>
        <w:trPr>
          <w:trHeight w:val="217" w:hRule="atLeast"/>
        </w:trPr>
        <w:tc>
          <w:tcPr>
            <w:tcW w:w="2088" w:type="dxa"/>
            <w:gridSpan w:val="2"/>
          </w:tcPr>
          <w:p>
            <w:pPr>
              <w:pStyle w:val="TableParagraph"/>
              <w:spacing w:line="141" w:lineRule="exact" w:before="56"/>
              <w:ind w:right="217"/>
              <w:jc w:val="right"/>
              <w:rPr>
                <w:sz w:val="14"/>
              </w:rPr>
            </w:pPr>
            <w:r>
              <w:rPr>
                <w:color w:val="231F20"/>
                <w:sz w:val="14"/>
                <w:u w:val="single" w:color="231F20"/>
              </w:rPr>
              <w:t>1996</w:t>
            </w:r>
          </w:p>
        </w:tc>
        <w:tc>
          <w:tcPr>
            <w:tcW w:w="1983" w:type="dxa"/>
            <w:gridSpan w:val="3"/>
          </w:tcPr>
          <w:p>
            <w:pPr>
              <w:pStyle w:val="TableParagraph"/>
              <w:tabs>
                <w:tab w:pos="1931" w:val="left" w:leader="none"/>
              </w:tabs>
              <w:spacing w:line="141" w:lineRule="exact" w:before="56"/>
              <w:ind w:left="122"/>
              <w:rPr>
                <w:sz w:val="14"/>
              </w:rPr>
            </w:pPr>
            <w:r>
              <w:rPr>
                <w:color w:val="231F20"/>
                <w:sz w:val="14"/>
                <w:u w:val="single" w:color="231F20"/>
              </w:rPr>
              <w:t>1997</w:t>
              <w:tab/>
            </w:r>
          </w:p>
        </w:tc>
      </w:tr>
      <w:tr>
        <w:trPr>
          <w:trHeight w:val="222" w:hRule="atLeast"/>
        </w:trPr>
        <w:tc>
          <w:tcPr>
            <w:tcW w:w="1493" w:type="dxa"/>
          </w:tcPr>
          <w:p>
            <w:pPr>
              <w:pStyle w:val="TableParagraph"/>
              <w:rPr>
                <w:sz w:val="14"/>
              </w:rPr>
            </w:pPr>
          </w:p>
        </w:tc>
        <w:tc>
          <w:tcPr>
            <w:tcW w:w="595" w:type="dxa"/>
          </w:tcPr>
          <w:p>
            <w:pPr>
              <w:pStyle w:val="TableParagraph"/>
              <w:spacing w:line="155" w:lineRule="exact"/>
              <w:ind w:right="225"/>
              <w:jc w:val="right"/>
              <w:rPr>
                <w:sz w:val="14"/>
              </w:rPr>
            </w:pPr>
            <w:r>
              <w:rPr>
                <w:color w:val="231F20"/>
                <w:sz w:val="14"/>
                <w:u w:val="single" w:color="231F20"/>
              </w:rPr>
              <w:t>Year</w:t>
            </w:r>
          </w:p>
        </w:tc>
        <w:tc>
          <w:tcPr>
            <w:tcW w:w="599" w:type="dxa"/>
          </w:tcPr>
          <w:p>
            <w:pPr>
              <w:pStyle w:val="TableParagraph"/>
              <w:spacing w:line="155" w:lineRule="exact"/>
              <w:ind w:left="101" w:right="83"/>
              <w:jc w:val="center"/>
              <w:rPr>
                <w:sz w:val="14"/>
              </w:rPr>
            </w:pPr>
            <w:r>
              <w:rPr>
                <w:color w:val="231F20"/>
                <w:sz w:val="14"/>
                <w:u w:val="single" w:color="231F20"/>
              </w:rPr>
              <w:t>Spring</w:t>
            </w:r>
          </w:p>
        </w:tc>
        <w:tc>
          <w:tcPr>
            <w:tcW w:w="651" w:type="dxa"/>
          </w:tcPr>
          <w:p>
            <w:pPr>
              <w:pStyle w:val="TableParagraph"/>
              <w:spacing w:line="155" w:lineRule="exact"/>
              <w:ind w:left="82" w:right="53"/>
              <w:jc w:val="center"/>
              <w:rPr>
                <w:sz w:val="14"/>
              </w:rPr>
            </w:pPr>
            <w:r>
              <w:rPr>
                <w:color w:val="231F20"/>
                <w:sz w:val="14"/>
                <w:u w:val="single" w:color="231F20"/>
              </w:rPr>
              <w:t>Summe</w:t>
            </w:r>
            <w:r>
              <w:rPr>
                <w:color w:val="231F20"/>
                <w:sz w:val="14"/>
              </w:rPr>
              <w:t>r</w:t>
            </w:r>
          </w:p>
        </w:tc>
        <w:tc>
          <w:tcPr>
            <w:tcW w:w="733" w:type="dxa"/>
          </w:tcPr>
          <w:p>
            <w:pPr>
              <w:pStyle w:val="TableParagraph"/>
              <w:spacing w:line="155" w:lineRule="exact"/>
              <w:ind w:left="51" w:right="42"/>
              <w:jc w:val="center"/>
              <w:rPr>
                <w:sz w:val="14"/>
              </w:rPr>
            </w:pPr>
            <w:r>
              <w:rPr>
                <w:color w:val="231F20"/>
                <w:sz w:val="14"/>
                <w:u w:val="single" w:color="231F20"/>
              </w:rPr>
              <w:t>September</w:t>
            </w:r>
          </w:p>
        </w:tc>
      </w:tr>
      <w:tr>
        <w:trPr>
          <w:trHeight w:val="210" w:hRule="atLeast"/>
        </w:trPr>
        <w:tc>
          <w:tcPr>
            <w:tcW w:w="1493" w:type="dxa"/>
          </w:tcPr>
          <w:p>
            <w:pPr>
              <w:pStyle w:val="TableParagraph"/>
              <w:spacing w:line="133" w:lineRule="exact" w:before="56"/>
              <w:ind w:left="50"/>
              <w:rPr>
                <w:sz w:val="14"/>
              </w:rPr>
            </w:pPr>
            <w:r>
              <w:rPr>
                <w:color w:val="231F20"/>
                <w:sz w:val="14"/>
              </w:rPr>
              <w:t>LFS GB unemployment</w:t>
            </w:r>
          </w:p>
        </w:tc>
        <w:tc>
          <w:tcPr>
            <w:tcW w:w="595" w:type="dxa"/>
          </w:tcPr>
          <w:p>
            <w:pPr>
              <w:pStyle w:val="TableParagraph"/>
              <w:spacing w:line="133" w:lineRule="exact" w:before="56"/>
              <w:ind w:right="240"/>
              <w:jc w:val="right"/>
              <w:rPr>
                <w:sz w:val="14"/>
              </w:rPr>
            </w:pPr>
            <w:r>
              <w:rPr>
                <w:color w:val="231F20"/>
                <w:sz w:val="14"/>
              </w:rPr>
              <w:t>8.0</w:t>
            </w:r>
          </w:p>
        </w:tc>
        <w:tc>
          <w:tcPr>
            <w:tcW w:w="599" w:type="dxa"/>
          </w:tcPr>
          <w:p>
            <w:pPr>
              <w:pStyle w:val="TableParagraph"/>
              <w:spacing w:line="133" w:lineRule="exact" w:before="56"/>
              <w:ind w:left="83" w:right="83"/>
              <w:jc w:val="center"/>
              <w:rPr>
                <w:sz w:val="14"/>
              </w:rPr>
            </w:pPr>
            <w:r>
              <w:rPr>
                <w:color w:val="231F20"/>
                <w:sz w:val="14"/>
              </w:rPr>
              <w:t>7.2</w:t>
            </w:r>
          </w:p>
        </w:tc>
        <w:tc>
          <w:tcPr>
            <w:tcW w:w="651" w:type="dxa"/>
          </w:tcPr>
          <w:p>
            <w:pPr>
              <w:pStyle w:val="TableParagraph"/>
              <w:spacing w:line="133" w:lineRule="exact" w:before="56"/>
              <w:ind w:left="82" w:right="52"/>
              <w:jc w:val="center"/>
              <w:rPr>
                <w:sz w:val="14"/>
              </w:rPr>
            </w:pPr>
            <w:r>
              <w:rPr>
                <w:color w:val="231F20"/>
                <w:sz w:val="14"/>
              </w:rPr>
              <w:t>7.1</w:t>
            </w:r>
          </w:p>
        </w:tc>
        <w:tc>
          <w:tcPr>
            <w:tcW w:w="733" w:type="dxa"/>
          </w:tcPr>
          <w:p>
            <w:pPr>
              <w:pStyle w:val="TableParagraph"/>
              <w:spacing w:line="133" w:lineRule="exact" w:before="56"/>
              <w:ind w:left="51" w:right="18"/>
              <w:jc w:val="center"/>
              <w:rPr>
                <w:sz w:val="14"/>
              </w:rPr>
            </w:pPr>
            <w:r>
              <w:rPr>
                <w:color w:val="231F20"/>
                <w:sz w:val="14"/>
              </w:rPr>
              <w:t>n.a.</w:t>
            </w:r>
          </w:p>
        </w:tc>
      </w:tr>
      <w:tr>
        <w:trPr>
          <w:trHeight w:val="198" w:hRule="atLeast"/>
        </w:trPr>
        <w:tc>
          <w:tcPr>
            <w:tcW w:w="1493" w:type="dxa"/>
          </w:tcPr>
          <w:p>
            <w:pPr>
              <w:pStyle w:val="TableParagraph"/>
              <w:spacing w:line="148" w:lineRule="exact"/>
              <w:ind w:left="50"/>
              <w:rPr>
                <w:sz w:val="14"/>
              </w:rPr>
            </w:pPr>
            <w:r>
              <w:rPr>
                <w:color w:val="231F20"/>
                <w:sz w:val="14"/>
              </w:rPr>
              <w:t>UK claimant count</w:t>
            </w:r>
          </w:p>
        </w:tc>
        <w:tc>
          <w:tcPr>
            <w:tcW w:w="595" w:type="dxa"/>
          </w:tcPr>
          <w:p>
            <w:pPr>
              <w:pStyle w:val="TableParagraph"/>
              <w:spacing w:line="148" w:lineRule="exact"/>
              <w:ind w:right="240"/>
              <w:jc w:val="right"/>
              <w:rPr>
                <w:sz w:val="14"/>
              </w:rPr>
            </w:pPr>
            <w:r>
              <w:rPr>
                <w:color w:val="231F20"/>
                <w:sz w:val="14"/>
              </w:rPr>
              <w:t>7.3</w:t>
            </w:r>
          </w:p>
        </w:tc>
        <w:tc>
          <w:tcPr>
            <w:tcW w:w="599" w:type="dxa"/>
          </w:tcPr>
          <w:p>
            <w:pPr>
              <w:pStyle w:val="TableParagraph"/>
              <w:spacing w:line="148" w:lineRule="exact"/>
              <w:ind w:left="83" w:right="83"/>
              <w:jc w:val="center"/>
              <w:rPr>
                <w:sz w:val="14"/>
              </w:rPr>
            </w:pPr>
            <w:r>
              <w:rPr>
                <w:color w:val="231F20"/>
                <w:sz w:val="14"/>
              </w:rPr>
              <w:t>5.9</w:t>
            </w:r>
          </w:p>
        </w:tc>
        <w:tc>
          <w:tcPr>
            <w:tcW w:w="651" w:type="dxa"/>
          </w:tcPr>
          <w:p>
            <w:pPr>
              <w:pStyle w:val="TableParagraph"/>
              <w:spacing w:line="148" w:lineRule="exact"/>
              <w:ind w:left="82" w:right="52"/>
              <w:jc w:val="center"/>
              <w:rPr>
                <w:sz w:val="14"/>
              </w:rPr>
            </w:pPr>
            <w:r>
              <w:rPr>
                <w:color w:val="231F20"/>
                <w:sz w:val="14"/>
              </w:rPr>
              <w:t>5.5</w:t>
            </w:r>
          </w:p>
        </w:tc>
        <w:tc>
          <w:tcPr>
            <w:tcW w:w="733" w:type="dxa"/>
          </w:tcPr>
          <w:p>
            <w:pPr>
              <w:pStyle w:val="TableParagraph"/>
              <w:spacing w:line="148" w:lineRule="exact"/>
              <w:ind w:left="48" w:right="42"/>
              <w:jc w:val="center"/>
              <w:rPr>
                <w:sz w:val="14"/>
              </w:rPr>
            </w:pPr>
            <w:r>
              <w:rPr>
                <w:color w:val="231F20"/>
                <w:sz w:val="14"/>
              </w:rPr>
              <w:t>5.2</w:t>
            </w:r>
          </w:p>
        </w:tc>
      </w:tr>
      <w:tr>
        <w:trPr>
          <w:trHeight w:val="184" w:hRule="atLeast"/>
        </w:trPr>
        <w:tc>
          <w:tcPr>
            <w:tcW w:w="1493" w:type="dxa"/>
          </w:tcPr>
          <w:p>
            <w:pPr>
              <w:pStyle w:val="TableParagraph"/>
              <w:spacing w:line="118" w:lineRule="exact" w:before="46"/>
              <w:ind w:left="50"/>
              <w:rPr>
                <w:sz w:val="12"/>
              </w:rPr>
            </w:pPr>
            <w:r>
              <w:rPr>
                <w:color w:val="231F20"/>
                <w:sz w:val="12"/>
              </w:rPr>
              <w:t>Sources: LFS and ONS.</w:t>
            </w:r>
          </w:p>
        </w:tc>
        <w:tc>
          <w:tcPr>
            <w:tcW w:w="595" w:type="dxa"/>
          </w:tcPr>
          <w:p>
            <w:pPr>
              <w:pStyle w:val="TableParagraph"/>
              <w:rPr>
                <w:sz w:val="12"/>
              </w:rPr>
            </w:pPr>
          </w:p>
        </w:tc>
        <w:tc>
          <w:tcPr>
            <w:tcW w:w="599" w:type="dxa"/>
          </w:tcPr>
          <w:p>
            <w:pPr>
              <w:pStyle w:val="TableParagraph"/>
              <w:rPr>
                <w:sz w:val="12"/>
              </w:rPr>
            </w:pPr>
          </w:p>
        </w:tc>
        <w:tc>
          <w:tcPr>
            <w:tcW w:w="651" w:type="dxa"/>
          </w:tcPr>
          <w:p>
            <w:pPr>
              <w:pStyle w:val="TableParagraph"/>
              <w:rPr>
                <w:sz w:val="12"/>
              </w:rPr>
            </w:pPr>
          </w:p>
        </w:tc>
        <w:tc>
          <w:tcPr>
            <w:tcW w:w="733" w:type="dxa"/>
          </w:tcPr>
          <w:p>
            <w:pPr>
              <w:pStyle w:val="TableParagraph"/>
              <w:rPr>
                <w:sz w:val="12"/>
              </w:rPr>
            </w:pPr>
          </w:p>
        </w:tc>
      </w:tr>
    </w:tbl>
    <w:p>
      <w:pPr>
        <w:pStyle w:val="BodyText"/>
        <w:spacing w:before="1"/>
        <w:rPr>
          <w:sz w:val="10"/>
        </w:rPr>
      </w:pPr>
    </w:p>
    <w:p>
      <w:pPr>
        <w:spacing w:line="208" w:lineRule="auto" w:before="0"/>
        <w:ind w:left="419" w:right="0" w:hanging="240"/>
        <w:jc w:val="left"/>
        <w:rPr>
          <w:sz w:val="12"/>
        </w:rPr>
      </w:pPr>
      <w:r>
        <w:rPr>
          <w:color w:val="231F20"/>
          <w:sz w:val="12"/>
        </w:rPr>
        <w:t>(a) Claimant unemployment constructed to align with LFS periods (eg summer = June, July and August).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9"/>
        <w:spacing w:before="71"/>
        <w:ind w:left="200"/>
      </w:pPr>
      <w:r>
        <w:rPr>
          <w:color w:val="0093C1"/>
        </w:rPr>
        <w:t>Chart 4.3</w:t>
      </w:r>
    </w:p>
    <w:p>
      <w:pPr>
        <w:spacing w:line="240" w:lineRule="atLeast" w:before="0"/>
        <w:ind w:left="200" w:right="537" w:firstLine="0"/>
        <w:jc w:val="left"/>
        <w:rPr>
          <w:sz w:val="12"/>
        </w:rPr>
      </w:pPr>
      <w:r>
        <w:rPr>
          <w:b/>
          <w:color w:val="0093C1"/>
          <w:sz w:val="20"/>
        </w:rPr>
        <w:t>Short-term unemployment in Great Britain and the United States</w:t>
      </w:r>
      <w:r>
        <w:rPr>
          <w:color w:val="231F20"/>
          <w:position w:val="4"/>
          <w:sz w:val="12"/>
        </w:rPr>
        <w:t>(a)</w:t>
      </w:r>
    </w:p>
    <w:p>
      <w:pPr>
        <w:spacing w:line="242" w:lineRule="auto" w:before="207"/>
        <w:ind w:left="180" w:right="294" w:firstLine="0"/>
        <w:jc w:val="left"/>
        <w:rPr>
          <w:sz w:val="24"/>
        </w:rPr>
      </w:pPr>
      <w:r>
        <w:rPr/>
        <w:br w:type="column"/>
      </w:r>
      <w:r>
        <w:rPr>
          <w:color w:val="231F20"/>
          <w:sz w:val="24"/>
        </w:rPr>
        <w:t>The claimant count for unemployment benefits fell by 28,000 in September, to 5.2% of the workforce (see Table 4.B). During the past year, the claimant unemployment rate has fallen by around 2</w:t>
      </w:r>
      <w:r>
        <w:rPr>
          <w:color w:val="231F20"/>
          <w:position w:val="8"/>
          <w:sz w:val="12"/>
        </w:rPr>
        <w:t>1</w:t>
      </w:r>
      <w:r>
        <w:rPr>
          <w:color w:val="231F20"/>
          <w:sz w:val="24"/>
        </w:rPr>
        <w:t>/</w:t>
      </w:r>
      <w:r>
        <w:rPr>
          <w:color w:val="231F20"/>
          <w:sz w:val="12"/>
        </w:rPr>
        <w:t>4 </w:t>
      </w:r>
      <w:r>
        <w:rPr>
          <w:color w:val="231F20"/>
          <w:sz w:val="24"/>
        </w:rPr>
        <w:t>percentage points. But the claimant count has been affected by the introduction of the Jobseeker’s Allowance (JSA) in October 1996.</w:t>
      </w:r>
      <w:r>
        <w:rPr>
          <w:color w:val="231F20"/>
          <w:position w:val="5"/>
          <w:sz w:val="16"/>
        </w:rPr>
        <w:t>(1) </w:t>
      </w:r>
      <w:r>
        <w:rPr>
          <w:color w:val="231F20"/>
          <w:sz w:val="24"/>
        </w:rPr>
        <w:t>The less timely Labour Force Survey measure of unemployment should not be affected as much as the claimant count by the JSA. LFS unemployment fell by 40,000 in summer 1997, around 80,000 less than the corresponding fall in the claimant count. The LFS unemployment rate was 7.1% in summer 1997. Since most of the direct effects of the JSA on the claimant count should have happened in the first six months of its introduction, why are the two measures of unemployment still diverging?</w:t>
      </w:r>
    </w:p>
    <w:p>
      <w:pPr>
        <w:pStyle w:val="BodyText"/>
        <w:spacing w:before="4"/>
        <w:rPr>
          <w:sz w:val="31"/>
        </w:rPr>
      </w:pPr>
    </w:p>
    <w:p>
      <w:pPr>
        <w:spacing w:line="242" w:lineRule="auto" w:before="0"/>
        <w:ind w:left="180" w:right="176" w:firstLine="0"/>
        <w:jc w:val="left"/>
        <w:rPr>
          <w:sz w:val="24"/>
        </w:rPr>
      </w:pPr>
      <w:r>
        <w:rPr>
          <w:color w:val="231F20"/>
          <w:sz w:val="24"/>
        </w:rPr>
        <w:t>An ONS study analysed the difference between the claimant count and LFS unemployment.</w:t>
      </w:r>
      <w:r>
        <w:rPr>
          <w:color w:val="231F20"/>
          <w:position w:val="5"/>
          <w:sz w:val="16"/>
        </w:rPr>
        <w:t>(2) </w:t>
      </w:r>
      <w:r>
        <w:rPr>
          <w:color w:val="231F20"/>
          <w:sz w:val="24"/>
        </w:rPr>
        <w:t>The claimant count can fall more quickly than LFS unemployment when there is an increase in the number of people looking for a job, but not claiming. The rise in LFS female unemployment in the summer is consistent with this effect. But this does not seem large enough to account for all of the difference in measured</w:t>
      </w:r>
    </w:p>
    <w:p>
      <w:pPr>
        <w:spacing w:after="0" w:line="242" w:lineRule="auto"/>
        <w:jc w:val="left"/>
        <w:rPr>
          <w:sz w:val="24"/>
        </w:rPr>
        <w:sectPr>
          <w:type w:val="continuous"/>
          <w:pgSz w:w="11880" w:h="16840"/>
          <w:pgMar w:top="1040" w:bottom="280" w:left="640" w:right="620"/>
          <w:cols w:num="2" w:equalWidth="0">
            <w:col w:w="4468" w:space="332"/>
            <w:col w:w="5820"/>
          </w:cols>
        </w:sectPr>
      </w:pPr>
    </w:p>
    <w:p>
      <w:pPr>
        <w:pStyle w:val="BodyText"/>
        <w:rPr>
          <w:sz w:val="12"/>
        </w:rPr>
      </w:pPr>
    </w:p>
    <w:p>
      <w:pPr>
        <w:spacing w:before="77"/>
        <w:ind w:left="0" w:right="0" w:firstLine="0"/>
        <w:jc w:val="right"/>
        <w:rPr>
          <w:sz w:val="12"/>
        </w:rPr>
      </w:pPr>
      <w:r>
        <w:rPr/>
        <w:pict>
          <v:line style="position:absolute;mso-position-horizontal-relative:page;mso-position-vertical-relative:paragraph;z-index:15961088" from="51.75pt,5.953577pt" to="46.75pt,5.953577pt" stroked="true" strokeweight=".5pt" strokecolor="#000000">
            <v:stroke dashstyle="solid"/>
            <w10:wrap type="none"/>
          </v:line>
        </w:pict>
      </w:r>
      <w:r>
        <w:rPr>
          <w:sz w:val="12"/>
        </w:rPr>
        <w:t>United States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shape style="position:absolute;margin-left:46.75pt;margin-top:14.231289pt;width:5pt;height:.1pt;mso-position-horizontal-relative:page;mso-position-vertical-relative:paragraph;z-index:-15500288;mso-wrap-distance-left:0;mso-wrap-distance-right:0" coordorigin="935,285" coordsize="100,0" path="m1035,285l935,285e" filled="false" stroked="true" strokeweight=".5pt" strokecolor="#000000">
            <v:path arrowok="t"/>
            <v:stroke dashstyle="solid"/>
            <w10:wrap type="topAndBottom"/>
          </v:shape>
        </w:pict>
      </w:r>
      <w:r>
        <w:rPr/>
        <w:pict>
          <v:shape style="position:absolute;margin-left:46.75pt;margin-top:35.231289pt;width:5pt;height:.1pt;mso-position-horizontal-relative:page;mso-position-vertical-relative:paragraph;z-index:-15499776;mso-wrap-distance-left:0;mso-wrap-distance-right:0" coordorigin="935,705" coordsize="100,0" path="m1035,705l935,705e" filled="false" stroked="true" strokeweight=".5pt" strokecolor="#000000">
            <v:path arrowok="t"/>
            <v:stroke dashstyle="solid"/>
            <w10:wrap type="topAndBottom"/>
          </v:shape>
        </w:pict>
      </w:r>
      <w:r>
        <w:rPr/>
        <w:pict>
          <v:shape style="position:absolute;margin-left:46.75pt;margin-top:56.231289pt;width:5pt;height:.1pt;mso-position-horizontal-relative:page;mso-position-vertical-relative:paragraph;z-index:-15499264;mso-wrap-distance-left:0;mso-wrap-distance-right:0" coordorigin="935,1125" coordsize="100,0" path="m1035,1125l935,1125e" filled="false" stroked="true" strokeweight=".5pt" strokecolor="#000000">
            <v:path arrowok="t"/>
            <v:stroke dashstyle="solid"/>
            <w10:wrap type="topAndBottom"/>
          </v:shape>
        </w:pict>
      </w:r>
    </w:p>
    <w:p>
      <w:pPr>
        <w:pStyle w:val="BodyText"/>
        <w:spacing w:before="8"/>
        <w:rPr>
          <w:sz w:val="29"/>
        </w:rPr>
      </w:pPr>
    </w:p>
    <w:p>
      <w:pPr>
        <w:pStyle w:val="BodyText"/>
        <w:spacing w:before="8"/>
        <w:rPr>
          <w:sz w:val="29"/>
        </w:rPr>
      </w:pPr>
    </w:p>
    <w:p>
      <w:pPr>
        <w:pStyle w:val="BodyText"/>
        <w:rPr>
          <w:sz w:val="20"/>
        </w:rPr>
      </w:pPr>
    </w:p>
    <w:p>
      <w:pPr>
        <w:pStyle w:val="BodyText"/>
        <w:spacing w:before="5"/>
        <w:rPr>
          <w:sz w:val="11"/>
        </w:rPr>
      </w:pPr>
      <w:r>
        <w:rPr/>
        <w:pict>
          <v:shape style="position:absolute;margin-left:46.75pt;margin-top:8.800977pt;width:5pt;height:.1pt;mso-position-horizontal-relative:page;mso-position-vertical-relative:paragraph;z-index:-15498752;mso-wrap-distance-left:0;mso-wrap-distance-right:0" coordorigin="935,176" coordsize="100,0" path="m1035,176l935,176e" filled="false" stroked="true" strokeweight=".5pt" strokecolor="#000000">
            <v:path arrowok="t"/>
            <v:stroke dashstyle="solid"/>
            <w10:wrap type="topAndBottom"/>
          </v:shape>
        </w:pict>
      </w:r>
    </w:p>
    <w:p>
      <w:pPr>
        <w:spacing w:before="100"/>
        <w:ind w:left="626" w:right="0" w:firstLine="0"/>
        <w:jc w:val="left"/>
        <w:rPr>
          <w:sz w:val="12"/>
        </w:rPr>
      </w:pPr>
      <w:r>
        <w:rPr/>
        <w:br w:type="column"/>
      </w:r>
      <w:r>
        <w:rPr>
          <w:sz w:val="12"/>
        </w:rPr>
        <w:t>Per ce</w:t>
      </w:r>
      <w:r>
        <w:rPr>
          <w:sz w:val="12"/>
          <w:u w:val="single"/>
        </w:rPr>
        <w:t>n</w:t>
      </w:r>
      <w:r>
        <w:rPr>
          <w:sz w:val="12"/>
        </w:rPr>
        <w:t>t </w:t>
      </w:r>
      <w:r>
        <w:rPr>
          <w:position w:val="-7"/>
          <w:sz w:val="12"/>
        </w:rPr>
        <w:t>7</w:t>
      </w:r>
    </w:p>
    <w:p>
      <w:pPr>
        <w:pStyle w:val="BodyText"/>
        <w:spacing w:before="1"/>
        <w:rPr>
          <w:sz w:val="24"/>
        </w:rPr>
      </w:pPr>
    </w:p>
    <w:p>
      <w:pPr>
        <w:spacing w:before="0"/>
        <w:ind w:left="0" w:right="0" w:firstLine="0"/>
        <w:jc w:val="right"/>
        <w:rPr>
          <w:sz w:val="12"/>
        </w:rPr>
      </w:pPr>
      <w:r>
        <w:rPr/>
        <w:pict>
          <v:group style="position:absolute;margin-left:46.75pt;margin-top:-12.398438pt;width:165.75pt;height:55.3pt;mso-position-horizontal-relative:page;mso-position-vertical-relative:paragraph;z-index:15960576" coordorigin="935,-248" coordsize="3315,1106">
            <v:shape style="position:absolute;left:935;top:82;width:100;height:440" coordorigin="935,82" coordsize="100,440" path="m1035,522l935,522m1035,82l935,82e" filled="false" stroked="true" strokeweight=".5pt" strokecolor="#000000">
              <v:path arrowok="t"/>
              <v:stroke dashstyle="solid"/>
            </v:shape>
            <v:shape style="position:absolute;left:1090;top:-238;width:2100;height:820" coordorigin="1090,-238" coordsize="2100,820" path="m1090,-218l1130,-118,1190,-178,1250,-118,1310,-138,1350,-158,1410,-158,1470,-78,1530,-78,1590,-138,1630,-78,1690,-18,1750,82,1810,202,1870,282,1910,342,1970,402,2030,502,2090,482,2130,522m2130,522l2190,582,2250,562,2370,482,2410,522,2470,502,2530,362,2590,182,2650,22,2690,-78,2750,-98,2810,-158,2870,-178,2910,-218,2970,-238,3030,-138,3090,-18,3150,-18,3190,62e" filled="false" stroked="true" strokeweight="1pt" strokecolor="#0066a5">
              <v:path arrowok="t"/>
              <v:stroke dashstyle="solid"/>
            </v:shape>
            <v:shape style="position:absolute;left:4150;top:82;width:100;height:440" coordorigin="4150,82" coordsize="100,440" path="m4250,522l4150,522m4250,82l4150,82e" filled="false" stroked="true" strokeweight=".5pt" strokecolor="#000000">
              <v:path arrowok="t"/>
              <v:stroke dashstyle="solid"/>
            </v:shape>
            <v:shape style="position:absolute;left:3190;top:62;width:900;height:700" coordorigin="3190,62" coordsize="900,700" path="m3190,62l3310,222,3370,362,3430,402,3470,522,3530,562,3590,482,3650,462,3690,502,3750,502,3810,582,3870,622,3930,602,3970,602,4030,722,4090,762e" filled="false" stroked="true" strokeweight="1pt" strokecolor="#0066a5">
              <v:path arrowok="t"/>
              <v:stroke dashstyle="solid"/>
            </v:shape>
            <v:shape style="position:absolute;left:1090;top:-98;width:2940;height:820" coordorigin="1090,-98" coordsize="2940,820" path="m1090,-18l1130,22,1310,142,1350,102,1530,42,1590,62,1630,82,1690,82,1750,102,1810,202,1870,282,1910,382,1970,462,2030,522,2090,602,2130,642m2130,642l2190,702,2250,702,2310,682,2370,682,2410,662,2470,522,2650,42,2690,2,2750,-38,2810,-58,2870,-98,2910,-18,2970,2,3030,-58,3090,62,3150,82,3190,182m3190,182l3250,242,3310,342,3370,342,3430,482,3470,502,3590,502,3650,482,3690,502,3750,482,3810,542,3870,562,3930,702,3970,722,4030,682e" filled="false" stroked="true" strokeweight="1pt" strokecolor="#008256">
              <v:path arrowok="t"/>
              <v:stroke dashstyle="solid"/>
            </v:shape>
            <v:shape style="position:absolute;left:2045;top:725;width:650;height:133" type="#_x0000_t202" filled="false" stroked="false">
              <v:textbox inset="0,0,0,0">
                <w:txbxContent>
                  <w:p>
                    <w:pPr>
                      <w:spacing w:line="133" w:lineRule="exact" w:before="0"/>
                      <w:ind w:left="0" w:right="0" w:firstLine="0"/>
                      <w:jc w:val="left"/>
                      <w:rPr>
                        <w:sz w:val="12"/>
                      </w:rPr>
                    </w:pPr>
                    <w:r>
                      <w:rPr>
                        <w:sz w:val="12"/>
                      </w:rPr>
                      <w:t>Great Britain</w:t>
                    </w:r>
                  </w:p>
                </w:txbxContent>
              </v:textbox>
              <w10:wrap type="none"/>
            </v:shape>
            <w10:wrap type="none"/>
          </v:group>
        </w:pict>
      </w:r>
      <w:r>
        <w:rPr>
          <w:sz w:val="12"/>
        </w:rPr>
        <w:t>6</w:t>
      </w:r>
    </w:p>
    <w:p>
      <w:pPr>
        <w:pStyle w:val="BodyText"/>
        <w:rPr>
          <w:sz w:val="12"/>
        </w:rPr>
      </w:pPr>
    </w:p>
    <w:p>
      <w:pPr>
        <w:pStyle w:val="BodyText"/>
        <w:spacing w:before="3"/>
        <w:rPr>
          <w:sz w:val="14"/>
        </w:rPr>
      </w:pPr>
    </w:p>
    <w:p>
      <w:pPr>
        <w:spacing w:before="0"/>
        <w:ind w:left="0" w:right="0" w:firstLine="0"/>
        <w:jc w:val="right"/>
        <w:rPr>
          <w:sz w:val="12"/>
        </w:rPr>
      </w:pPr>
      <w:r>
        <w:rPr>
          <w:sz w:val="12"/>
        </w:rPr>
        <w:t>5</w:t>
      </w:r>
    </w:p>
    <w:p>
      <w:pPr>
        <w:pStyle w:val="BodyText"/>
        <w:rPr>
          <w:sz w:val="12"/>
        </w:rPr>
      </w:pPr>
    </w:p>
    <w:p>
      <w:pPr>
        <w:pStyle w:val="BodyText"/>
        <w:spacing w:before="6"/>
        <w:rPr>
          <w:sz w:val="12"/>
        </w:rPr>
      </w:pPr>
    </w:p>
    <w:p>
      <w:pPr>
        <w:spacing w:before="0"/>
        <w:ind w:left="0" w:right="0" w:firstLine="0"/>
        <w:jc w:val="right"/>
        <w:rPr>
          <w:sz w:val="12"/>
        </w:rPr>
      </w:pPr>
      <w:r>
        <w:rPr/>
        <w:pict>
          <v:line style="position:absolute;mso-position-horizontal-relative:page;mso-position-vertical-relative:paragraph;z-index:15963136" from="212.5pt,5.101563pt" to="207.5pt,5.101563pt" stroked="true" strokeweight=".5pt" strokecolor="#000000">
            <v:stroke dashstyle="solid"/>
            <w10:wrap type="none"/>
          </v:line>
        </w:pict>
      </w:r>
      <w:r>
        <w:rPr>
          <w:sz w:val="12"/>
        </w:rPr>
        <w:t>4</w:t>
      </w:r>
    </w:p>
    <w:p>
      <w:pPr>
        <w:pStyle w:val="BodyText"/>
        <w:rPr>
          <w:sz w:val="12"/>
        </w:rPr>
      </w:pPr>
    </w:p>
    <w:p>
      <w:pPr>
        <w:pStyle w:val="BodyText"/>
        <w:spacing w:before="3"/>
        <w:rPr>
          <w:sz w:val="14"/>
        </w:rPr>
      </w:pPr>
    </w:p>
    <w:p>
      <w:pPr>
        <w:spacing w:before="0"/>
        <w:ind w:left="0" w:right="0" w:firstLine="0"/>
        <w:jc w:val="right"/>
        <w:rPr>
          <w:sz w:val="12"/>
        </w:rPr>
      </w:pPr>
      <w:r>
        <w:rPr/>
        <w:pict>
          <v:line style="position:absolute;mso-position-horizontal-relative:page;mso-position-vertical-relative:paragraph;z-index:15962624" from="212.5pt,4.101563pt" to="207.5pt,4.101563pt" stroked="true" strokeweight=".5pt" strokecolor="#000000">
            <v:stroke dashstyle="solid"/>
            <w10:wrap type="none"/>
          </v:line>
        </w:pict>
      </w:r>
      <w:r>
        <w:rPr>
          <w:sz w:val="12"/>
        </w:rPr>
        <w:t>3</w:t>
      </w:r>
    </w:p>
    <w:p>
      <w:pPr>
        <w:pStyle w:val="BodyText"/>
        <w:rPr>
          <w:sz w:val="12"/>
        </w:rPr>
      </w:pPr>
    </w:p>
    <w:p>
      <w:pPr>
        <w:pStyle w:val="BodyText"/>
        <w:spacing w:before="6"/>
        <w:rPr>
          <w:sz w:val="12"/>
        </w:rPr>
      </w:pPr>
    </w:p>
    <w:p>
      <w:pPr>
        <w:spacing w:before="0"/>
        <w:ind w:left="0" w:right="0" w:firstLine="0"/>
        <w:jc w:val="right"/>
        <w:rPr>
          <w:sz w:val="12"/>
        </w:rPr>
      </w:pPr>
      <w:r>
        <w:rPr/>
        <w:pict>
          <v:line style="position:absolute;mso-position-horizontal-relative:page;mso-position-vertical-relative:paragraph;z-index:15962112" from="212.5pt,4.101563pt" to="207.5pt,4.101563pt" stroked="true" strokeweight=".5pt" strokecolor="#000000">
            <v:stroke dashstyle="solid"/>
            <w10:wrap type="none"/>
          </v:line>
        </w:pict>
      </w:r>
      <w:r>
        <w:rPr>
          <w:sz w:val="12"/>
        </w:rPr>
        <w:t>2</w:t>
      </w:r>
    </w:p>
    <w:p>
      <w:pPr>
        <w:pStyle w:val="BodyText"/>
        <w:rPr>
          <w:sz w:val="12"/>
        </w:rPr>
      </w:pPr>
    </w:p>
    <w:p>
      <w:pPr>
        <w:pStyle w:val="BodyText"/>
        <w:spacing w:before="3"/>
        <w:rPr>
          <w:sz w:val="14"/>
        </w:rPr>
      </w:pPr>
    </w:p>
    <w:p>
      <w:pPr>
        <w:spacing w:before="0"/>
        <w:ind w:left="0" w:right="0" w:firstLine="0"/>
        <w:jc w:val="right"/>
        <w:rPr>
          <w:sz w:val="12"/>
        </w:rPr>
      </w:pPr>
      <w:r>
        <w:rPr/>
        <w:pict>
          <v:line style="position:absolute;mso-position-horizontal-relative:page;mso-position-vertical-relative:paragraph;z-index:15961600" from="212.5pt,4.101563pt" to="207.5pt,4.101563pt" stroked="true" strokeweight=".5pt" strokecolor="#000000">
            <v:stroke dashstyle="solid"/>
            <w10:wrap type="none"/>
          </v:line>
        </w:pict>
      </w:r>
      <w:r>
        <w:rPr>
          <w:sz w:val="12"/>
        </w:rPr>
        <w:t>1</w:t>
      </w:r>
    </w:p>
    <w:p>
      <w:pPr>
        <w:pStyle w:val="BodyText"/>
        <w:rPr>
          <w:sz w:val="12"/>
        </w:rPr>
      </w:pPr>
    </w:p>
    <w:p>
      <w:pPr>
        <w:pStyle w:val="BodyText"/>
        <w:spacing w:before="6"/>
        <w:rPr>
          <w:sz w:val="12"/>
        </w:rPr>
      </w:pPr>
    </w:p>
    <w:p>
      <w:pPr>
        <w:spacing w:line="85" w:lineRule="exact" w:before="0"/>
        <w:ind w:left="0" w:right="0" w:firstLine="0"/>
        <w:jc w:val="right"/>
        <w:rPr>
          <w:sz w:val="12"/>
        </w:rPr>
      </w:pPr>
      <w:r>
        <w:rPr/>
        <w:pict>
          <v:shape style="position:absolute;margin-left:46.75pt;margin-top:.101563pt;width:165.75pt;height:4pt;mso-position-horizontal-relative:page;mso-position-vertical-relative:paragraph;z-index:15959552" coordorigin="935,2" coordsize="3315,80" path="m3970,82l3970,2m3750,82l3750,2m3530,82l3530,2m3310,82l3310,2m3090,82l3090,2m2870,82l2870,2m2630,82l2630,2m2410,82l2410,2m2190,82l2190,2m1750,82l1750,2m1530,82l1530,2m1290,82l1290,2m1070,82l1070,2m1035,82l935,82m1070,82l4090,82m1125,82l1125,42m1180,82l1180,42m1235,82l1235,42m1350,82l1350,42m1410,82l1410,42m1470,82l1470,42m1585,82l1585,42m1640,82l1640,42m1695,82l1695,42m1805,82l1805,42m1860,82l1860,42m1915,82l1915,42m2025,82l2025,42m2080,82l2080,42m2135,82l2135,42m2245,82l2245,42m2300,82l2300,42m2355,82l2355,42m2465,82l2465,42m2520,82l2520,42m2575,82l2575,42m2690,82l2690,42m2750,82l2750,42m2810,82l2810,42m2925,82l2925,42m2980,82l2980,42m3035,82l3035,42m3145,82l3145,42m3200,82l3200,42m3255,82l3255,42m3365,82l3365,42m3420,82l3420,42m3475,82l3475,42m3585,82l3585,42m3640,82l3640,42m3695,82l3695,42m3805,82l3805,42m3860,82l3860,42m3915,82l3915,42m4030,82l4030,42m4090,82l4090,42m1970,82l1970,2m4250,82l4150,82e" filled="false" stroked="true" strokeweight=".5pt" strokecolor="#000000">
            <v:path arrowok="t"/>
            <v:stroke dashstyle="solid"/>
            <w10:wrap type="none"/>
          </v:shape>
        </w:pict>
      </w:r>
      <w:r>
        <w:rPr>
          <w:sz w:val="12"/>
        </w:rPr>
        <w:t>0</w:t>
      </w:r>
    </w:p>
    <w:p>
      <w:pPr>
        <w:pStyle w:val="Heading5"/>
        <w:spacing w:line="198" w:lineRule="exact"/>
        <w:ind w:left="1239"/>
        <w:jc w:val="both"/>
      </w:pPr>
      <w:r>
        <w:rPr/>
        <w:br w:type="column"/>
      </w:r>
      <w:r>
        <w:rPr>
          <w:color w:val="231F20"/>
        </w:rPr>
        <w:t>unemployment falls. It seems that there was also a large</w:t>
      </w:r>
    </w:p>
    <w:p>
      <w:pPr>
        <w:spacing w:line="242" w:lineRule="auto" w:before="4"/>
        <w:ind w:left="1239" w:right="347" w:firstLine="0"/>
        <w:jc w:val="both"/>
        <w:rPr>
          <w:sz w:val="24"/>
        </w:rPr>
      </w:pPr>
      <w:r>
        <w:rPr>
          <w:color w:val="231F20"/>
          <w:sz w:val="24"/>
        </w:rPr>
        <w:t>fall in the number of people claiming benefit who </w:t>
      </w:r>
      <w:r>
        <w:rPr>
          <w:color w:val="231F20"/>
          <w:spacing w:val="-4"/>
          <w:sz w:val="24"/>
        </w:rPr>
        <w:t>were </w:t>
      </w:r>
      <w:r>
        <w:rPr>
          <w:color w:val="231F20"/>
          <w:sz w:val="24"/>
        </w:rPr>
        <w:t>not previously actively seeking work, consistent with a continued deterrent effect from the JSA.</w:t>
      </w:r>
    </w:p>
    <w:p>
      <w:pPr>
        <w:pStyle w:val="BodyText"/>
        <w:spacing w:before="6"/>
        <w:rPr>
          <w:sz w:val="29"/>
        </w:rPr>
      </w:pPr>
    </w:p>
    <w:p>
      <w:pPr>
        <w:spacing w:line="280" w:lineRule="atLeast" w:before="0"/>
        <w:ind w:left="1240" w:right="168" w:firstLine="0"/>
        <w:jc w:val="left"/>
        <w:rPr>
          <w:sz w:val="24"/>
        </w:rPr>
      </w:pPr>
      <w:r>
        <w:rPr>
          <w:color w:val="231F20"/>
          <w:sz w:val="24"/>
        </w:rPr>
        <w:t>Those who have been unemployed for fewer than twelve months are more likely than other unemployed people to have the skills and experience that employers are seeking. So the short-term unemployment rate may be a better indicator than total unemployment of labour market tightness. Short-term unemployment in the first half of 1997 was lower than at any point since the</w:t>
      </w:r>
    </w:p>
    <w:p>
      <w:pPr>
        <w:spacing w:after="0" w:line="280" w:lineRule="atLeast"/>
        <w:jc w:val="left"/>
        <w:rPr>
          <w:sz w:val="24"/>
        </w:rPr>
        <w:sectPr>
          <w:type w:val="continuous"/>
          <w:pgSz w:w="11880" w:h="16840"/>
          <w:pgMar w:top="1040" w:bottom="280" w:left="640" w:right="620"/>
          <w:cols w:num="3" w:equalWidth="0">
            <w:col w:w="2549" w:space="40"/>
            <w:col w:w="1112" w:space="39"/>
            <w:col w:w="6880"/>
          </w:cols>
        </w:sectPr>
      </w:pPr>
    </w:p>
    <w:p>
      <w:pPr>
        <w:spacing w:line="56" w:lineRule="exact" w:before="0"/>
        <w:ind w:left="420" w:right="0" w:firstLine="0"/>
        <w:jc w:val="left"/>
        <w:rPr>
          <w:sz w:val="12"/>
        </w:rPr>
      </w:pPr>
      <w:r>
        <w:rPr>
          <w:sz w:val="12"/>
        </w:rPr>
        <w:t>1984 85 86 87 88 89 90 91 92 93 94 95 96 97</w:t>
      </w:r>
    </w:p>
    <w:p>
      <w:pPr>
        <w:spacing w:before="95"/>
        <w:ind w:left="180" w:right="0" w:firstLine="0"/>
        <w:jc w:val="left"/>
        <w:rPr>
          <w:sz w:val="12"/>
        </w:rPr>
      </w:pPr>
      <w:r>
        <w:rPr>
          <w:color w:val="231F20"/>
          <w:sz w:val="12"/>
        </w:rPr>
        <w:t>Sources: LFS, US Bureau of Labour Statistics and Bank of England.</w:t>
      </w:r>
    </w:p>
    <w:p>
      <w:pPr>
        <w:pStyle w:val="BodyText"/>
        <w:spacing w:before="2"/>
        <w:rPr>
          <w:sz w:val="10"/>
        </w:rPr>
      </w:pPr>
    </w:p>
    <w:p>
      <w:pPr>
        <w:spacing w:line="208" w:lineRule="auto" w:before="0"/>
        <w:ind w:left="420" w:right="38" w:hanging="240"/>
        <w:jc w:val="left"/>
        <w:rPr>
          <w:sz w:val="12"/>
        </w:rPr>
      </w:pPr>
      <w:r>
        <w:rPr>
          <w:color w:val="231F20"/>
          <w:sz w:val="12"/>
        </w:rPr>
        <w:t>(a)  Those unemployed for less than a year.  A seasonally adjusted estimate is calculated as the difference between the official seasonally adjusted measures of total unemployment and non-seasonally adjusted long-term unemployment, assuming there is no seasonal pattern in the latter. A measure of short-term unemployment seasonally adjusted by the Bank shows a similar pattern.</w:t>
      </w:r>
    </w:p>
    <w:p>
      <w:pPr>
        <w:pStyle w:val="Heading5"/>
        <w:spacing w:line="242" w:lineRule="auto" w:before="5"/>
        <w:ind w:right="262"/>
      </w:pPr>
      <w:r>
        <w:rPr/>
        <w:br w:type="column"/>
      </w:r>
      <w:r>
        <w:rPr>
          <w:color w:val="231F20"/>
        </w:rPr>
        <w:t>LFS was introduced in 1984. Chart 4.3 shows that short-term unemployment rates in Great Britain and the United States have been very similar during the past</w:t>
      </w:r>
    </w:p>
    <w:p>
      <w:pPr>
        <w:spacing w:line="242" w:lineRule="auto" w:before="4"/>
        <w:ind w:left="180" w:right="176" w:hanging="1"/>
        <w:jc w:val="left"/>
        <w:rPr>
          <w:sz w:val="24"/>
        </w:rPr>
      </w:pPr>
      <w:r>
        <w:rPr>
          <w:color w:val="231F20"/>
          <w:sz w:val="24"/>
        </w:rPr>
        <w:t>13 years. Since 1992, short-term unemployment in </w:t>
      </w:r>
      <w:r>
        <w:rPr>
          <w:color w:val="231F20"/>
          <w:spacing w:val="-4"/>
          <w:sz w:val="24"/>
        </w:rPr>
        <w:t>both </w:t>
      </w:r>
      <w:r>
        <w:rPr>
          <w:color w:val="231F20"/>
          <w:sz w:val="24"/>
        </w:rPr>
        <w:t>countries has fallen by around 2 percentage points.</w:t>
      </w:r>
      <w:r>
        <w:rPr>
          <w:color w:val="231F20"/>
          <w:spacing w:val="56"/>
          <w:sz w:val="24"/>
        </w:rPr>
        <w:t> </w:t>
      </w:r>
      <w:r>
        <w:rPr>
          <w:color w:val="231F20"/>
          <w:spacing w:val="-5"/>
          <w:sz w:val="24"/>
        </w:rPr>
        <w:t>And</w:t>
      </w:r>
    </w:p>
    <w:p>
      <w:pPr>
        <w:pStyle w:val="BodyText"/>
        <w:spacing w:before="6"/>
        <w:rPr>
          <w:sz w:val="20"/>
        </w:rPr>
      </w:pPr>
      <w:r>
        <w:rPr/>
        <w:pict>
          <v:shape style="position:absolute;margin-left:279pt;margin-top:13.868182pt;width:277.5pt;height:.1pt;mso-position-horizontal-relative:page;mso-position-vertical-relative:paragraph;z-index:-15498240;mso-wrap-distance-left:0;mso-wrap-distance-right:0" coordorigin="5580,277" coordsize="5550,0" path="m5580,277l11130,277e" filled="false" stroked="true" strokeweight=".125pt" strokecolor="#231f20">
            <v:path arrowok="t"/>
            <v:stroke dashstyle="solid"/>
            <w10:wrap type="topAndBottom"/>
          </v:shape>
        </w:pict>
      </w:r>
    </w:p>
    <w:p>
      <w:pPr>
        <w:pStyle w:val="ListParagraph"/>
        <w:numPr>
          <w:ilvl w:val="0"/>
          <w:numId w:val="23"/>
        </w:numPr>
        <w:tabs>
          <w:tab w:pos="420" w:val="left" w:leader="none"/>
        </w:tabs>
        <w:spacing w:line="208" w:lineRule="auto" w:before="1" w:after="0"/>
        <w:ind w:left="420" w:right="648" w:hanging="240"/>
        <w:jc w:val="left"/>
        <w:rPr>
          <w:sz w:val="16"/>
        </w:rPr>
      </w:pPr>
      <w:r>
        <w:rPr>
          <w:color w:val="231F20"/>
          <w:sz w:val="16"/>
        </w:rPr>
        <w:t>Previous </w:t>
      </w:r>
      <w:r>
        <w:rPr>
          <w:i/>
          <w:color w:val="231F20"/>
          <w:sz w:val="16"/>
        </w:rPr>
        <w:t>Reports </w:t>
      </w:r>
      <w:r>
        <w:rPr>
          <w:color w:val="231F20"/>
          <w:sz w:val="16"/>
        </w:rPr>
        <w:t>discussed the likely effects of the JSA on claimant unemployment. These include small one-off administrative effects, such as the introduction of means testing after six rather than twelve months. The JSA has also affected incentives: deterring some former claimants; and increasing the efficiency with which the unemployed search for </w:t>
      </w:r>
      <w:r>
        <w:rPr>
          <w:color w:val="231F20"/>
          <w:spacing w:val="-4"/>
          <w:sz w:val="16"/>
        </w:rPr>
        <w:t>work. </w:t>
      </w:r>
      <w:r>
        <w:rPr>
          <w:color w:val="231F20"/>
          <w:sz w:val="16"/>
        </w:rPr>
        <w:t>The overall result is likely to have been a fall in the rate of claimant unemployment consistent with the long-run equilibrium—or natural— rate.</w:t>
      </w:r>
    </w:p>
    <w:p>
      <w:pPr>
        <w:pStyle w:val="ListParagraph"/>
        <w:numPr>
          <w:ilvl w:val="0"/>
          <w:numId w:val="23"/>
        </w:numPr>
        <w:tabs>
          <w:tab w:pos="420" w:val="left" w:leader="none"/>
        </w:tabs>
        <w:spacing w:line="208" w:lineRule="auto" w:before="0" w:after="0"/>
        <w:ind w:left="420" w:right="790" w:hanging="240"/>
        <w:jc w:val="left"/>
        <w:rPr>
          <w:sz w:val="16"/>
        </w:rPr>
      </w:pPr>
      <w:r>
        <w:rPr>
          <w:color w:val="231F20"/>
          <w:sz w:val="16"/>
        </w:rPr>
        <w:t>See ‘LFS estimates of unemployed claimants: results of an ONS </w:t>
      </w:r>
      <w:r>
        <w:rPr>
          <w:color w:val="231F20"/>
          <w:spacing w:val="-3"/>
          <w:sz w:val="16"/>
        </w:rPr>
        <w:t>record </w:t>
      </w:r>
      <w:r>
        <w:rPr>
          <w:color w:val="231F20"/>
          <w:sz w:val="16"/>
        </w:rPr>
        <w:t>linkage study’ in </w:t>
      </w:r>
      <w:r>
        <w:rPr>
          <w:i/>
          <w:color w:val="231F20"/>
          <w:sz w:val="16"/>
        </w:rPr>
        <w:t>Labour Market Trends</w:t>
      </w:r>
      <w:r>
        <w:rPr>
          <w:color w:val="231F20"/>
          <w:sz w:val="16"/>
        </w:rPr>
        <w:t>, November 1997. That study was conducted in summer 1996; the introduction of the JSA in October last year means that the results may not apply beyond October 1996. Though the precise numbers may be affected, the qualitative results of using that study through to summer 1997 seem to be robust.</w:t>
      </w:r>
    </w:p>
    <w:p>
      <w:pPr>
        <w:spacing w:after="0" w:line="208" w:lineRule="auto"/>
        <w:jc w:val="left"/>
        <w:rPr>
          <w:sz w:val="16"/>
        </w:rPr>
        <w:sectPr>
          <w:type w:val="continuous"/>
          <w:pgSz w:w="11880" w:h="16840"/>
          <w:pgMar w:top="1040" w:bottom="280" w:left="640" w:right="620"/>
          <w:cols w:num="2" w:equalWidth="0">
            <w:col w:w="3916" w:space="884"/>
            <w:col w:w="5820"/>
          </w:cols>
        </w:sectPr>
      </w:pPr>
    </w:p>
    <w:p>
      <w:pPr>
        <w:pStyle w:val="BodyText"/>
        <w:rPr>
          <w:sz w:val="20"/>
        </w:rPr>
      </w:pPr>
    </w:p>
    <w:p>
      <w:pPr>
        <w:spacing w:after="0"/>
        <w:rPr>
          <w:sz w:val="20"/>
        </w:rPr>
        <w:sectPr>
          <w:pgSz w:w="11880" w:h="16840"/>
          <w:pgMar w:header="566" w:footer="597" w:top="760" w:bottom="780" w:left="640" w:right="620"/>
        </w:sectPr>
      </w:pPr>
    </w:p>
    <w:p>
      <w:pPr>
        <w:pStyle w:val="BodyText"/>
        <w:spacing w:before="6"/>
        <w:rPr>
          <w:sz w:val="20"/>
        </w:rPr>
      </w:pPr>
    </w:p>
    <w:p>
      <w:pPr>
        <w:pStyle w:val="Heading9"/>
        <w:spacing w:line="249" w:lineRule="auto" w:before="0"/>
        <w:ind w:left="155" w:right="2152"/>
        <w:rPr>
          <w:b w:val="0"/>
          <w:sz w:val="12"/>
        </w:rPr>
      </w:pPr>
      <w:r>
        <w:rPr>
          <w:color w:val="0093C1"/>
        </w:rPr>
        <w:t>Chart 4.4 Labour force</w:t>
      </w:r>
      <w:r>
        <w:rPr>
          <w:b w:val="0"/>
          <w:color w:val="231F20"/>
          <w:position w:val="4"/>
          <w:sz w:val="12"/>
        </w:rPr>
        <w:t>(a)</w:t>
      </w:r>
    </w:p>
    <w:p>
      <w:pPr>
        <w:spacing w:before="67"/>
        <w:ind w:left="165" w:right="0" w:firstLine="0"/>
        <w:jc w:val="left"/>
        <w:rPr>
          <w:sz w:val="12"/>
        </w:rPr>
      </w:pPr>
      <w:r>
        <w:rPr>
          <w:sz w:val="12"/>
        </w:rPr>
        <w:t>Thousands</w:t>
      </w:r>
    </w:p>
    <w:p>
      <w:pPr>
        <w:tabs>
          <w:tab w:pos="2597" w:val="left" w:leader="none"/>
        </w:tabs>
        <w:spacing w:before="88"/>
        <w:ind w:left="369" w:right="0" w:firstLine="0"/>
        <w:jc w:val="left"/>
        <w:rPr>
          <w:sz w:val="12"/>
        </w:rPr>
      </w:pPr>
      <w:r>
        <w:rPr>
          <w:sz w:val="12"/>
        </w:rPr>
        <w:t>Jobless  (18,553)</w:t>
        <w:tab/>
        <w:t>Workforce</w:t>
      </w:r>
      <w:r>
        <w:rPr>
          <w:spacing w:val="-5"/>
          <w:sz w:val="12"/>
        </w:rPr>
        <w:t> </w:t>
      </w:r>
      <w:r>
        <w:rPr>
          <w:sz w:val="12"/>
        </w:rPr>
        <w:t>(28,159)</w:t>
      </w:r>
    </w:p>
    <w:p>
      <w:pPr>
        <w:pStyle w:val="Heading5"/>
        <w:spacing w:line="242" w:lineRule="auto" w:before="207"/>
        <w:ind w:left="155" w:right="122"/>
      </w:pPr>
      <w:r>
        <w:rPr/>
        <w:br w:type="column"/>
      </w:r>
      <w:r>
        <w:rPr>
          <w:color w:val="231F20"/>
        </w:rPr>
        <w:t>in 1997, real hourly earnings growth in both countries was higher than in 1994, reflecting the tightening labour markets.</w:t>
      </w:r>
    </w:p>
    <w:p>
      <w:pPr>
        <w:pStyle w:val="BodyText"/>
        <w:spacing w:before="2"/>
        <w:rPr>
          <w:sz w:val="28"/>
        </w:rPr>
      </w:pPr>
    </w:p>
    <w:p>
      <w:pPr>
        <w:spacing w:line="242" w:lineRule="auto" w:before="0"/>
        <w:ind w:left="155" w:right="230" w:hanging="1"/>
        <w:jc w:val="left"/>
        <w:rPr>
          <w:sz w:val="24"/>
        </w:rPr>
      </w:pPr>
      <w:r>
        <w:rPr>
          <w:color w:val="231F20"/>
          <w:sz w:val="24"/>
        </w:rPr>
        <w:t>Chart 4.4 shows how various groups within the labour force are related. The non-participation rate refers to people of working age who are neither working nor actively seeking work. They include people looking for</w:t>
      </w:r>
    </w:p>
    <w:p>
      <w:pPr>
        <w:spacing w:after="0" w:line="242" w:lineRule="auto"/>
        <w:jc w:val="left"/>
        <w:rPr>
          <w:sz w:val="24"/>
        </w:rPr>
        <w:sectPr>
          <w:type w:val="continuous"/>
          <w:pgSz w:w="11880" w:h="16840"/>
          <w:pgMar w:top="1040" w:bottom="280" w:left="640" w:right="620"/>
          <w:cols w:num="2" w:equalWidth="0">
            <w:col w:w="3588" w:space="1222"/>
            <w:col w:w="5810"/>
          </w:cols>
        </w:sectPr>
      </w:pPr>
    </w:p>
    <w:p>
      <w:pPr>
        <w:pStyle w:val="BodyText"/>
        <w:spacing w:before="1"/>
        <w:rPr>
          <w:sz w:val="13"/>
        </w:rPr>
      </w:pPr>
    </w:p>
    <w:p>
      <w:pPr>
        <w:spacing w:line="242" w:lineRule="auto" w:before="0"/>
        <w:ind w:left="382" w:right="161" w:hanging="60"/>
        <w:jc w:val="both"/>
        <w:rPr>
          <w:sz w:val="12"/>
        </w:rPr>
      </w:pPr>
      <w:r>
        <w:rPr/>
        <w:pict>
          <v:group style="position:absolute;margin-left:50.929001pt;margin-top:-73.924431pt;width:168.55pt;height:117.75pt;mso-position-horizontal-relative:page;mso-position-vertical-relative:paragraph;z-index:-20774400" coordorigin="1019,-1478" coordsize="3371,2355">
            <v:shape style="position:absolute;left:1023;top:-1474;width:2250;height:1350" coordorigin="1024,-1473" coordsize="2250,1350" path="m2149,-1473l2056,-1471,1966,-1465,1878,-1454,1793,-1439,1711,-1420,1632,-1398,1556,-1372,1484,-1343,1416,-1311,1353,-1276,1294,-1238,1241,-1197,1192,-1154,1149,-1109,1112,-1061,1056,-961,1027,-854,1024,-798,1027,-743,1056,-636,1112,-536,1149,-488,1192,-443,1241,-400,1294,-359,1353,-321,1416,-286,1484,-254,1556,-225,1632,-199,1711,-177,1793,-158,1878,-143,1966,-132,2056,-126,2149,-123,2241,-126,2331,-132,2419,-143,2504,-158,2586,-177,2666,-199,2741,-225,2813,-254,2881,-286,2944,-321,3003,-359,3057,-400,3105,-443,3148,-488,3185,-536,3241,-636,3270,-743,3274,-798,3270,-854,3241,-961,3185,-1061,3148,-1109,3105,-1154,3057,-1197,3003,-1238,2944,-1276,2881,-1311,2813,-1343,2741,-1372,2666,-1398,2586,-1420,2504,-1439,2419,-1454,2331,-1465,2241,-1471,2149,-1473xe" filled="true" fillcolor="#fedbb3" stroked="false">
              <v:path arrowok="t"/>
              <v:fill type="solid"/>
            </v:shape>
            <v:shape style="position:absolute;left:1023;top:-1474;width:2250;height:1350" coordorigin="1024,-1473" coordsize="2250,1350" path="m2149,-123l2241,-126,2331,-132,2419,-143,2504,-158,2586,-177,2666,-199,2741,-225,2813,-254,2881,-286,2944,-321,3003,-359,3057,-400,3105,-443,3148,-488,3185,-536,3241,-636,3270,-743,3274,-798,3270,-854,3241,-961,3185,-1061,3148,-1109,3105,-1154,3057,-1197,3003,-1238,2944,-1276,2881,-1311,2813,-1343,2741,-1372,2666,-1398,2586,-1420,2504,-1439,2419,-1454,2331,-1465,2241,-1471,2149,-1473,2056,-1471,1966,-1465,1878,-1454,1793,-1439,1711,-1420,1632,-1398,1556,-1372,1484,-1343,1416,-1311,1353,-1276,1294,-1238,1241,-1197,1192,-1154,1149,-1109,1112,-1061,1056,-961,1027,-854,1024,-798,1027,-743,1056,-636,1112,-536,1149,-488,1192,-443,1241,-400,1294,-359,1353,-321,1416,-286,1484,-254,1556,-225,1632,-199,1711,-177,1793,-158,1878,-143,1966,-132,2056,-126,2149,-123xe" filled="false" stroked="true" strokeweight=".5pt" strokecolor="#df6f1d">
              <v:path arrowok="t"/>
              <v:stroke dashstyle="solid"/>
            </v:shape>
            <v:shape style="position:absolute;left:2134;top:-1474;width:2250;height:1350" coordorigin="2134,-1473" coordsize="2250,1350" path="m3259,-1473l3167,-1471,3077,-1465,2989,-1454,2904,-1439,2821,-1420,2742,-1398,2667,-1372,2595,-1343,2527,-1311,2464,-1276,2405,-1238,2351,-1197,2303,-1154,2260,-1109,2223,-1061,2167,-961,2138,-854,2134,-798,2138,-743,2167,-636,2223,-536,2260,-488,2303,-443,2351,-400,2405,-359,2464,-321,2527,-286,2595,-254,2667,-225,2742,-199,2821,-177,2904,-158,2989,-143,3077,-132,3167,-126,3259,-123,3352,-126,3442,-132,3530,-143,3615,-158,3697,-177,3776,-199,3852,-225,3924,-254,3991,-286,4055,-321,4114,-359,4167,-400,4216,-443,4259,-488,4296,-536,4352,-636,4381,-743,4384,-798,4381,-854,4352,-961,4296,-1061,4259,-1109,4216,-1154,4167,-1197,4114,-1238,4055,-1276,3991,-1311,3924,-1343,3852,-1372,3776,-1398,3697,-1420,3615,-1439,3530,-1454,3442,-1465,3352,-1471,3259,-1473xe" filled="true" fillcolor="#8ccaeb" stroked="false">
              <v:path arrowok="t"/>
              <v:fill type="solid"/>
            </v:shape>
            <v:shape style="position:absolute;left:2134;top:-1474;width:2250;height:1350" coordorigin="2134,-1473" coordsize="2250,1350" path="m3259,-123l3352,-126,3442,-132,3530,-143,3615,-158,3697,-177,3776,-199,3852,-225,3924,-254,3991,-286,4055,-321,4114,-359,4167,-400,4216,-443,4259,-488,4296,-536,4352,-636,4381,-743,4384,-798,4381,-854,4352,-961,4296,-1061,4259,-1109,4216,-1154,4167,-1197,4114,-1238,4055,-1276,3991,-1311,3924,-1343,3852,-1372,3776,-1398,3697,-1420,3615,-1439,3530,-1454,3442,-1465,3352,-1471,3259,-1473,3167,-1471,3077,-1465,2989,-1454,2904,-1439,2821,-1420,2742,-1398,2667,-1372,2595,-1343,2527,-1311,2464,-1276,2405,-1238,2351,-1197,2303,-1154,2260,-1109,2223,-1061,2167,-961,2138,-854,2134,-798,2138,-743,2167,-636,2223,-536,2260,-488,2303,-443,2351,-400,2405,-359,2464,-321,2527,-286,2595,-254,2667,-225,2742,-199,2821,-177,2904,-158,2989,-143,3077,-132,3167,-126,3259,-123xe" filled="false" stroked="true" strokeweight=".5pt" strokecolor="#0066a5">
              <v:path arrowok="t"/>
              <v:stroke dashstyle="solid"/>
            </v:shape>
            <v:shape style="position:absolute;left:2134;top:-1386;width:1140;height:1174" coordorigin="2134,-1385" coordsize="1140,1174" path="m2704,-1385l2621,-1354,2544,-1319,2471,-1280,2405,-1238,2345,-1192,2292,-1143,2245,-1091,2206,-1037,2175,-980,2153,-921,2139,-861,2134,-798,2139,-736,2153,-676,2175,-617,2206,-560,2245,-506,2292,-454,2345,-405,2405,-359,2471,-317,2544,-278,2621,-243,2704,-212,2787,-243,2864,-278,2936,-317,3003,-359,3063,-405,3116,-454,3163,-506,3201,-560,3232,-617,3255,-676,3269,-736,3274,-798,3269,-861,3255,-921,3232,-980,3201,-1037,3163,-1091,3116,-1143,3063,-1192,3003,-1238,2936,-1280,2864,-1319,2787,-1354,2704,-1385xe" filled="true" fillcolor="#8ec9c3" stroked="false">
              <v:path arrowok="t"/>
              <v:fill type="solid"/>
            </v:shape>
            <v:shape style="position:absolute;left:2134;top:-1386;width:1140;height:1174" coordorigin="2134,-1385" coordsize="1140,1174" path="m2704,-1385l2621,-1354,2544,-1319,2471,-1280,2405,-1238,2345,-1192,2292,-1143,2245,-1091,2206,-1037,2175,-980,2153,-921,2139,-861,2134,-798,2139,-736,2153,-676,2175,-617,2206,-560,2245,-506,2292,-454,2345,-405,2405,-359,2471,-317,2544,-278,2621,-243,2704,-212,2787,-243,2864,-278,2936,-317,3003,-359,3063,-405,3116,-454,3163,-506,3201,-560,3232,-617,3255,-676,3269,-736,3274,-798,3269,-861,3255,-921,3232,-980,3201,-1037,3163,-1091,3116,-1143,3063,-1192,3003,-1238,2936,-1280,2864,-1319,2787,-1354,2704,-1385xe" filled="false" stroked="true" strokeweight=".5pt" strokecolor="#008256">
              <v:path arrowok="t"/>
              <v:stroke dashstyle="solid"/>
            </v:shape>
            <v:shape style="position:absolute;left:1431;top:-1072;width:450;height:450" coordorigin="1432,-1071" coordsize="450,450" path="m1657,-1071l1586,-1060,1524,-1028,1475,-979,1443,-918,1432,-846,1443,-775,1475,-714,1524,-665,1586,-633,1657,-621,1728,-633,1790,-665,1838,-714,1870,-775,1882,-846,1870,-918,1838,-979,1790,-1028,1728,-1060,1657,-1071xe" filled="true" fillcolor="#ffe7bd" stroked="false">
              <v:path arrowok="t"/>
              <v:fill type="solid"/>
            </v:shape>
            <v:shape style="position:absolute;left:1431;top:-1072;width:450;height:450" coordorigin="1432,-1071" coordsize="450,450" path="m1657,-621l1728,-633,1790,-665,1838,-714,1870,-775,1882,-846,1870,-918,1838,-979,1790,-1028,1728,-1060,1657,-1071,1586,-1060,1524,-1028,1475,-979,1443,-918,1432,-846,1443,-775,1475,-714,1524,-665,1586,-633,1657,-621xe" filled="false" stroked="true" strokeweight=".5pt" strokecolor="#df6f1d">
              <v:path arrowok="t"/>
              <v:stroke dashstyle="solid"/>
            </v:shape>
            <v:shape style="position:absolute;left:3581;top:-1072;width:450;height:450" coordorigin="3582,-1071" coordsize="450,450" path="m3807,-1071l3736,-1060,3674,-1028,3625,-979,3593,-918,3582,-846,3593,-775,3625,-714,3674,-665,3736,-633,3807,-621,3878,-633,3940,-665,3988,-714,4020,-775,4032,-846,4020,-918,3988,-979,3940,-1028,3878,-1060,3807,-1071xe" filled="true" fillcolor="#b5e1e1" stroked="false">
              <v:path arrowok="t"/>
              <v:fill type="solid"/>
            </v:shape>
            <v:shape style="position:absolute;left:3581;top:-1072;width:450;height:450" coordorigin="3582,-1071" coordsize="450,450" path="m3807,-621l3878,-633,3940,-665,3988,-714,4020,-775,4032,-846,4020,-918,3988,-979,3940,-1028,3878,-1060,3807,-1071,3736,-1060,3674,-1028,3625,-979,3593,-918,3582,-846,3593,-775,3625,-714,3674,-665,3736,-633,3807,-621xe" filled="false" stroked="true" strokeweight=".5pt" strokecolor="#0066a5">
              <v:path arrowok="t"/>
              <v:stroke dashstyle="solid"/>
            </v:shape>
            <v:shape style="position:absolute;left:2456;top:-1072;width:450;height:450" coordorigin="2457,-1071" coordsize="450,450" path="m2682,-1071l2611,-1060,2549,-1028,2500,-979,2468,-918,2457,-846,2468,-775,2500,-714,2549,-665,2611,-633,2682,-621,2753,-633,2815,-665,2863,-714,2895,-775,2907,-846,2895,-918,2863,-979,2815,-1028,2753,-1060,2682,-1071xe" filled="true" fillcolor="#e1eecd" stroked="false">
              <v:path arrowok="t"/>
              <v:fill type="solid"/>
            </v:shape>
            <v:shape style="position:absolute;left:2456;top:-1072;width:450;height:450" coordorigin="2457,-1071" coordsize="450,450" path="m2682,-621l2753,-633,2815,-665,2863,-714,2895,-775,2907,-846,2895,-918,2863,-979,2815,-1028,2753,-1060,2682,-1071,2611,-1060,2549,-1028,2500,-979,2468,-918,2457,-846,2468,-775,2500,-714,2549,-665,2611,-633,2682,-621xe" filled="false" stroked="true" strokeweight=".5pt" strokecolor="#008256">
              <v:path arrowok="t"/>
              <v:stroke dashstyle="solid"/>
            </v:shape>
            <v:line style="position:absolute" from="3452,308" to="3239,-242" stroked="true" strokeweight=".5pt" strokecolor="#000000">
              <v:stroke dashstyle="solid"/>
            </v:line>
            <v:shape style="position:absolute;left:3208;top:-321;width:68;height:111" coordorigin="3209,-321" coordsize="68,111" path="m3209,-321l3217,-250,3217,-211,3276,-233,3230,-287,3214,-311,3209,-321xe" filled="true" fillcolor="#000000" stroked="false">
              <v:path arrowok="t"/>
              <v:fill type="solid"/>
            </v:shape>
            <v:line style="position:absolute" from="3087,747" to="2664,-349" stroked="true" strokeweight=".5pt" strokecolor="#000000">
              <v:stroke dashstyle="solid"/>
            </v:line>
            <v:shape style="position:absolute;left:2633;top:-429;width:69;height:111" coordorigin="2633,-428" coordsize="69,111" path="m2633,-428l2642,-357,2643,-318,2701,-341,2655,-395,2639,-419,2633,-428xe" filled="true" fillcolor="#000000" stroked="false">
              <v:path arrowok="t"/>
              <v:fill type="solid"/>
            </v:shape>
            <v:line style="position:absolute" from="2068,871" to="2647,-721" stroked="true" strokeweight=".5pt" strokecolor="#000000">
              <v:stroke dashstyle="solid"/>
            </v:line>
            <v:shape style="position:absolute;left:2610;top:-801;width:66;height:111" coordorigin="2610,-800" coordsize="66,111" path="m2676,-800l2636,-741,2610,-712,2669,-690,2668,-712,2669,-728,2669,-744,2670,-761,2672,-776,2674,-790,2676,-800xe" filled="true" fillcolor="#000000" stroked="false">
              <v:path arrowok="t"/>
              <v:fill type="solid"/>
            </v:shape>
            <v:line style="position:absolute" from="1044,-57" to="1550,-732" stroked="true" strokeweight=".5pt" strokecolor="#000000">
              <v:stroke dashstyle="solid"/>
            </v:line>
            <v:shape style="position:absolute;left:1512;top:-800;width:89;height:104" coordorigin="1513,-800" coordsize="89,104" path="m1601,-800l1546,-755,1513,-734,1563,-696,1584,-763,1596,-790,1601,-800xe" filled="true" fillcolor="#000000" stroked="false">
              <v:path arrowok="t"/>
              <v:fill type="solid"/>
            </v:shape>
            <v:line style="position:absolute" from="1536,632" to="2193,-223" stroked="true" strokeweight=".5pt" strokecolor="#000000">
              <v:stroke dashstyle="solid"/>
            </v:line>
            <v:shape style="position:absolute;left:2154;top:-291;width:89;height:104" coordorigin="2155,-291" coordsize="89,104" path="m2244,-291l2188,-246,2155,-225,2205,-187,2227,-255,2238,-281,2244,-291xe" filled="true" fillcolor="#000000" stroked="false">
              <v:path arrowok="t"/>
              <v:fill type="solid"/>
            </v:shape>
            <v:line style="position:absolute" from="4056,-65" to="3794,-755" stroked="true" strokeweight=".5pt" strokecolor="#000000">
              <v:stroke dashstyle="solid"/>
            </v:line>
            <v:shape style="position:absolute;left:3763;top:-835;width:68;height:111" coordorigin="3764,-834" coordsize="68,111" path="m3764,-834l3772,-763,3772,-724,3831,-747,3785,-801,3769,-824,3764,-834xe" filled="true" fillcolor="#000000" stroked="false">
              <v:path arrowok="t"/>
              <v:fill type="solid"/>
            </v:shape>
            <w10:wrap type="none"/>
          </v:group>
        </w:pict>
      </w:r>
      <w:r>
        <w:rPr>
          <w:sz w:val="12"/>
        </w:rPr>
        <w:t>Non-participants over retirement age (7,375)</w:t>
      </w:r>
    </w:p>
    <w:p>
      <w:pPr>
        <w:pStyle w:val="BodyText"/>
        <w:rPr>
          <w:sz w:val="12"/>
        </w:rPr>
      </w:pPr>
    </w:p>
    <w:p>
      <w:pPr>
        <w:spacing w:line="242" w:lineRule="auto" w:before="78"/>
        <w:ind w:left="546" w:right="-19" w:hanging="60"/>
        <w:jc w:val="left"/>
        <w:rPr>
          <w:sz w:val="12"/>
        </w:rPr>
      </w:pPr>
      <w:r>
        <w:rPr>
          <w:sz w:val="12"/>
        </w:rPr>
        <w:t>Non-participants (16,556)</w:t>
      </w:r>
    </w:p>
    <w:p>
      <w:pPr>
        <w:pStyle w:val="BodyText"/>
        <w:rPr>
          <w:sz w:val="12"/>
        </w:rPr>
      </w:pPr>
    </w:p>
    <w:p>
      <w:pPr>
        <w:pStyle w:val="BodyText"/>
        <w:rPr>
          <w:sz w:val="12"/>
        </w:rPr>
      </w:pPr>
    </w:p>
    <w:p>
      <w:pPr>
        <w:pStyle w:val="BodyText"/>
        <w:rPr>
          <w:sz w:val="12"/>
        </w:rPr>
      </w:pPr>
    </w:p>
    <w:p>
      <w:pPr>
        <w:pStyle w:val="BodyText"/>
        <w:rPr>
          <w:sz w:val="12"/>
        </w:rPr>
      </w:pPr>
    </w:p>
    <w:p>
      <w:pPr>
        <w:spacing w:before="98"/>
        <w:ind w:left="155" w:right="0" w:firstLine="0"/>
        <w:jc w:val="left"/>
        <w:rPr>
          <w:sz w:val="12"/>
        </w:rPr>
      </w:pPr>
      <w:r>
        <w:rPr>
          <w:color w:val="231F20"/>
          <w:sz w:val="12"/>
        </w:rPr>
        <w:t>Source: LFS.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line="242" w:lineRule="auto" w:before="1"/>
        <w:ind w:left="103" w:right="-20" w:hanging="60"/>
        <w:jc w:val="left"/>
        <w:rPr>
          <w:sz w:val="12"/>
        </w:rPr>
      </w:pPr>
      <w:r>
        <w:rPr>
          <w:sz w:val="12"/>
        </w:rPr>
        <w:t>Short-term unemployment (1,306)</w:t>
      </w:r>
    </w:p>
    <w:p>
      <w:pPr>
        <w:pStyle w:val="BodyText"/>
        <w:spacing w:before="5"/>
        <w:rPr>
          <w:sz w:val="11"/>
        </w:rPr>
      </w:pPr>
      <w:r>
        <w:rPr/>
        <w:br w:type="column"/>
      </w:r>
      <w:r>
        <w:rPr>
          <w:sz w:val="11"/>
        </w:rPr>
      </w:r>
    </w:p>
    <w:p>
      <w:pPr>
        <w:spacing w:line="242" w:lineRule="auto" w:before="0"/>
        <w:ind w:left="858" w:right="19" w:hanging="60"/>
        <w:jc w:val="left"/>
        <w:rPr>
          <w:sz w:val="12"/>
        </w:rPr>
      </w:pPr>
      <w:r>
        <w:rPr>
          <w:sz w:val="12"/>
        </w:rPr>
        <w:t>Self-employment (3,245)</w:t>
      </w:r>
    </w:p>
    <w:p>
      <w:pPr>
        <w:spacing w:line="242" w:lineRule="auto" w:before="79"/>
        <w:ind w:left="555" w:right="19" w:hanging="60"/>
        <w:jc w:val="left"/>
        <w:rPr>
          <w:sz w:val="12"/>
        </w:rPr>
      </w:pPr>
      <w:r>
        <w:rPr>
          <w:sz w:val="12"/>
        </w:rPr>
        <w:t>Total in employment (26,162)</w:t>
      </w:r>
    </w:p>
    <w:p>
      <w:pPr>
        <w:pStyle w:val="BodyText"/>
        <w:spacing w:before="6"/>
        <w:rPr>
          <w:sz w:val="12"/>
        </w:rPr>
      </w:pPr>
    </w:p>
    <w:p>
      <w:pPr>
        <w:spacing w:line="242" w:lineRule="auto" w:before="0"/>
        <w:ind w:left="118" w:right="846" w:hanging="60"/>
        <w:jc w:val="left"/>
        <w:rPr>
          <w:sz w:val="12"/>
        </w:rPr>
      </w:pPr>
      <w:r>
        <w:rPr>
          <w:sz w:val="12"/>
        </w:rPr>
        <w:t>Unemployment (1,997)</w:t>
      </w:r>
    </w:p>
    <w:p>
      <w:pPr>
        <w:pStyle w:val="Heading5"/>
        <w:spacing w:line="242" w:lineRule="auto" w:before="5"/>
        <w:ind w:left="155" w:right="196"/>
      </w:pPr>
      <w:r>
        <w:rPr/>
        <w:br w:type="column"/>
      </w:r>
      <w:r>
        <w:rPr>
          <w:color w:val="231F20"/>
        </w:rPr>
        <w:t>work, but not available to start within the next two weeks, such as final-year students and people on</w:t>
      </w:r>
    </w:p>
    <w:p>
      <w:pPr>
        <w:spacing w:line="242" w:lineRule="auto" w:before="3"/>
        <w:ind w:left="155" w:right="196" w:firstLine="0"/>
        <w:jc w:val="left"/>
        <w:rPr>
          <w:sz w:val="24"/>
        </w:rPr>
      </w:pPr>
      <w:r>
        <w:rPr>
          <w:color w:val="231F20"/>
          <w:sz w:val="24"/>
        </w:rPr>
        <w:t>short-term training courses. They could enter the labour market after a lag. Discouraged workers are also included in the non-participation rate; they could rejoin the labour force if employment prospects improve. So the non-participation rate is another indicator of labour</w:t>
      </w:r>
    </w:p>
    <w:p>
      <w:pPr>
        <w:spacing w:after="0" w:line="242" w:lineRule="auto"/>
        <w:jc w:val="left"/>
        <w:rPr>
          <w:sz w:val="24"/>
        </w:rPr>
        <w:sectPr>
          <w:type w:val="continuous"/>
          <w:pgSz w:w="11880" w:h="16840"/>
          <w:pgMar w:top="1040" w:bottom="280" w:left="640" w:right="620"/>
          <w:cols w:num="4" w:equalWidth="0">
            <w:col w:w="1294" w:space="40"/>
            <w:col w:w="823" w:space="39"/>
            <w:col w:w="1671" w:space="944"/>
            <w:col w:w="5809"/>
          </w:cols>
        </w:sectPr>
      </w:pPr>
    </w:p>
    <w:p>
      <w:pPr>
        <w:spacing w:line="132" w:lineRule="exact" w:before="0"/>
        <w:ind w:left="155" w:right="0" w:firstLine="0"/>
        <w:jc w:val="left"/>
        <w:rPr>
          <w:sz w:val="12"/>
        </w:rPr>
      </w:pPr>
      <w:r>
        <w:rPr>
          <w:color w:val="231F20"/>
          <w:sz w:val="12"/>
        </w:rPr>
        <w:t>(a) Figures in brackets refer to data for Great Britain in summer 1997.</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pStyle w:val="Heading9"/>
        <w:spacing w:before="0"/>
        <w:ind w:left="190"/>
      </w:pPr>
      <w:r>
        <w:rPr>
          <w:color w:val="0093C1"/>
        </w:rPr>
        <w:t>Chart 4.5</w:t>
      </w:r>
    </w:p>
    <w:p>
      <w:pPr>
        <w:spacing w:before="10"/>
        <w:ind w:left="190" w:right="0" w:firstLine="0"/>
        <w:jc w:val="left"/>
        <w:rPr>
          <w:b/>
          <w:sz w:val="20"/>
        </w:rPr>
      </w:pPr>
      <w:r>
        <w:rPr>
          <w:b/>
          <w:color w:val="0093C1"/>
          <w:sz w:val="20"/>
        </w:rPr>
        <w:t>Non-participation and unemployment</w:t>
      </w:r>
    </w:p>
    <w:p>
      <w:pPr>
        <w:spacing w:before="126"/>
        <w:ind w:left="0" w:right="757" w:firstLine="0"/>
        <w:jc w:val="right"/>
        <w:rPr>
          <w:sz w:val="12"/>
        </w:rPr>
      </w:pPr>
      <w:r>
        <w:rPr/>
        <w:pict>
          <v:line style="position:absolute;mso-position-horizontal-relative:page;mso-position-vertical-relative:paragraph;z-index:15969792" from="48.754002pt,13.735551pt" to="43.754002pt,13.735551pt" stroked="true" strokeweight=".5pt" strokecolor="#000000">
            <v:stroke dashstyle="solid"/>
            <w10:wrap type="none"/>
          </v:line>
        </w:pict>
      </w:r>
      <w:r>
        <w:rPr>
          <w:sz w:val="12"/>
        </w:rPr>
        <w:t>Per ce</w:t>
      </w:r>
      <w:r>
        <w:rPr>
          <w:sz w:val="12"/>
          <w:u w:val="single"/>
        </w:rPr>
        <w:t>n</w:t>
      </w:r>
      <w:r>
        <w:rPr>
          <w:sz w:val="12"/>
        </w:rPr>
        <w:t>t</w:t>
      </w:r>
      <w:r>
        <w:rPr>
          <w:spacing w:val="13"/>
          <w:sz w:val="12"/>
        </w:rPr>
        <w:t> </w:t>
      </w:r>
      <w:r>
        <w:rPr>
          <w:position w:val="-6"/>
          <w:sz w:val="12"/>
        </w:rPr>
        <w:t>24</w:t>
      </w:r>
    </w:p>
    <w:p>
      <w:pPr>
        <w:spacing w:before="99"/>
        <w:ind w:left="0" w:right="757" w:firstLine="0"/>
        <w:jc w:val="right"/>
        <w:rPr>
          <w:sz w:val="12"/>
        </w:rPr>
      </w:pPr>
      <w:r>
        <w:rPr/>
        <w:pict>
          <v:group style="position:absolute;margin-left:43.754002pt;margin-top:9.202887pt;width:165pt;height:18.350pt;mso-position-horizontal-relative:page;mso-position-vertical-relative:paragraph;z-index:15969280" coordorigin="875,184" coordsize="3300,367">
            <v:shape style="position:absolute;left:875;top:201;width:100;height:240" coordorigin="875,201" coordsize="100,240" path="m975,441l875,441m975,201l875,201e" filled="false" stroked="true" strokeweight=".5pt" strokecolor="#000000">
              <v:path arrowok="t"/>
              <v:stroke dashstyle="solid"/>
            </v:shape>
            <v:shape style="position:absolute;left:1015;top:221;width:2160;height:320" coordorigin="1015,221" coordsize="2160,320" path="m1015,221l1195,281,1235,301,1475,301,1535,321,1575,341,1635,341,1875,421,1915,441,2095,501m2095,501l2155,521,2255,521,2315,541,2375,541,2555,481,2615,481,2655,441,2715,421,2775,381,2895,341,2995,341,3055,301,3175,301e" filled="false" stroked="true" strokeweight="1pt" strokecolor="#df6f1d">
              <v:path arrowok="t"/>
              <v:stroke dashstyle="solid"/>
            </v:shape>
            <v:line style="position:absolute" from="4175,201" to="4075,201" stroked="true" strokeweight=".5pt" strokecolor="#000000">
              <v:stroke dashstyle="solid"/>
            </v:line>
            <v:shape style="position:absolute;left:3175;top:241;width:860;height:60" coordorigin="3175,241" coordsize="860,60" path="m3175,301l3235,301,3295,281,3335,301,3395,261,3455,241,3575,281,3735,281,3795,261,3855,301,3915,301,3975,281,4035,281e" filled="false" stroked="true" strokeweight="1pt" strokecolor="#df6f1d">
              <v:path arrowok="t"/>
              <v:stroke dashstyle="solid"/>
            </v:shape>
            <v:shape style="position:absolute;left:875;top:184;width:3300;height:367" type="#_x0000_t202" filled="false" stroked="false">
              <v:textbox inset="0,0,0,0">
                <w:txbxContent>
                  <w:p>
                    <w:pPr>
                      <w:spacing w:line="133" w:lineRule="exact" w:before="0"/>
                      <w:ind w:left="909" w:right="0" w:firstLine="0"/>
                      <w:jc w:val="left"/>
                      <w:rPr>
                        <w:sz w:val="12"/>
                      </w:rPr>
                    </w:pPr>
                    <w:r>
                      <w:rPr>
                        <w:sz w:val="12"/>
                      </w:rPr>
                      <w:t>Non-participation (a)</w:t>
                    </w:r>
                  </w:p>
                </w:txbxContent>
              </v:textbox>
              <w10:wrap type="none"/>
            </v:shape>
            <w10:wrap type="none"/>
          </v:group>
        </w:pict>
      </w:r>
      <w:r>
        <w:rPr>
          <w:sz w:val="12"/>
        </w:rPr>
        <w:t>22</w:t>
      </w:r>
    </w:p>
    <w:p>
      <w:pPr>
        <w:pStyle w:val="BodyText"/>
        <w:spacing w:before="7"/>
        <w:rPr>
          <w:sz w:val="10"/>
        </w:rPr>
      </w:pPr>
    </w:p>
    <w:p>
      <w:pPr>
        <w:spacing w:before="0"/>
        <w:ind w:left="0" w:right="757" w:firstLine="0"/>
        <w:jc w:val="right"/>
        <w:rPr>
          <w:sz w:val="12"/>
        </w:rPr>
      </w:pPr>
      <w:r>
        <w:rPr/>
        <w:pict>
          <v:line style="position:absolute;mso-position-horizontal-relative:page;mso-position-vertical-relative:paragraph;z-index:15973888" from="208.753998pt,4.101566pt" to="203.753998pt,4.101566pt" stroked="true" strokeweight=".5pt" strokecolor="#000000">
            <v:stroke dashstyle="solid"/>
            <w10:wrap type="none"/>
          </v:line>
        </w:pict>
      </w:r>
      <w:r>
        <w:rPr>
          <w:sz w:val="12"/>
        </w:rPr>
        <w:t>20</w:t>
      </w:r>
    </w:p>
    <w:p>
      <w:pPr>
        <w:spacing w:before="102"/>
        <w:ind w:left="0" w:right="757" w:firstLine="0"/>
        <w:jc w:val="right"/>
        <w:rPr>
          <w:sz w:val="12"/>
        </w:rPr>
      </w:pPr>
      <w:r>
        <w:rPr/>
        <w:pict>
          <v:group style="position:absolute;margin-left:43.754002pt;margin-top:13.350886pt;width:155.5pt;height:23.4pt;mso-position-horizontal-relative:page;mso-position-vertical-relative:paragraph;z-index:15967744" coordorigin="875,267" coordsize="3110,468">
            <v:shape style="position:absolute;left:875;top:444;width:100;height:260" coordorigin="875,444" coordsize="100,260" path="m975,704l875,704m975,444l875,444e" filled="false" stroked="true" strokeweight=".5pt" strokecolor="#000000">
              <v:path arrowok="t"/>
              <v:stroke dashstyle="solid"/>
            </v:shape>
            <v:shape style="position:absolute;left:1015;top:304;width:2960;height:420" coordorigin="1015,304" coordsize="2960,420" path="m1015,304l1135,344,1195,344,1235,364,1355,364,1415,384,1475,384,1535,404,1575,424,1755,484,1815,524,1875,544,1915,564,1975,604,2035,604,2095,644m2095,644l2155,664,2215,664,2255,684,2315,684,2375,704,2435,684,2495,684,2555,664,2615,664,2655,644,2775,604,2835,604,2895,584,2955,584,2995,604,3055,584,3115,584,3175,604m3175,604l3235,584,3395,584,3455,604,3515,604,3575,644,3635,644,3675,664,3735,664,3795,684,3855,724,3975,724e" filled="false" stroked="true" strokeweight="1pt" strokecolor="#faab54">
              <v:path arrowok="t"/>
              <v:stroke dashstyle="solid"/>
            </v:shape>
            <v:shape style="position:absolute;left:875;top:267;width:3110;height:468" type="#_x0000_t202" filled="false" stroked="false">
              <v:textbox inset="0,0,0,0">
                <w:txbxContent>
                  <w:p>
                    <w:pPr>
                      <w:spacing w:line="208" w:lineRule="auto" w:before="9"/>
                      <w:ind w:left="1009" w:right="-8" w:hanging="100"/>
                      <w:jc w:val="left"/>
                      <w:rPr>
                        <w:sz w:val="12"/>
                      </w:rPr>
                    </w:pPr>
                    <w:r>
                      <w:rPr>
                        <w:sz w:val="12"/>
                      </w:rPr>
                      <w:t>Non-participation rate excluding early-retired people and the long-term sick (b)</w:t>
                    </w:r>
                  </w:p>
                </w:txbxContent>
              </v:textbox>
              <w10:wrap type="none"/>
            </v:shape>
            <w10:wrap type="none"/>
          </v:group>
        </w:pict>
      </w:r>
      <w:r>
        <w:rPr/>
        <w:pict>
          <v:line style="position:absolute;mso-position-horizontal-relative:page;mso-position-vertical-relative:paragraph;z-index:15968256" from="48.754002pt,10.201566pt" to="43.754002pt,10.201566pt" stroked="true" strokeweight=".5pt" strokecolor="#000000">
            <v:stroke dashstyle="solid"/>
            <w10:wrap type="none"/>
          </v:line>
        </w:pict>
      </w:r>
      <w:r>
        <w:rPr/>
        <w:pict>
          <v:line style="position:absolute;mso-position-horizontal-relative:page;mso-position-vertical-relative:paragraph;z-index:15973376" from="208.753998pt,10.201566pt" to="203.753998pt,10.201566pt" stroked="true" strokeweight=".5pt" strokecolor="#000000">
            <v:stroke dashstyle="solid"/>
            <w10:wrap type="none"/>
          </v:line>
        </w:pict>
      </w:r>
      <w:r>
        <w:rPr>
          <w:sz w:val="12"/>
        </w:rPr>
        <w:t>18</w:t>
      </w:r>
    </w:p>
    <w:p>
      <w:pPr>
        <w:pStyle w:val="BodyText"/>
        <w:spacing w:before="7"/>
        <w:rPr>
          <w:sz w:val="10"/>
        </w:rPr>
      </w:pPr>
    </w:p>
    <w:p>
      <w:pPr>
        <w:spacing w:before="0"/>
        <w:ind w:left="0" w:right="757" w:firstLine="0"/>
        <w:jc w:val="right"/>
        <w:rPr>
          <w:sz w:val="12"/>
        </w:rPr>
      </w:pPr>
      <w:r>
        <w:rPr/>
        <w:pict>
          <v:line style="position:absolute;mso-position-horizontal-relative:page;mso-position-vertical-relative:paragraph;z-index:15972864" from="208.753998pt,4.101566pt" to="203.753998pt,4.101566pt" stroked="true" strokeweight=".5pt" strokecolor="#000000">
            <v:stroke dashstyle="solid"/>
            <w10:wrap type="none"/>
          </v:line>
        </w:pict>
      </w:r>
      <w:r>
        <w:rPr>
          <w:sz w:val="12"/>
        </w:rPr>
        <w:t>16</w:t>
      </w:r>
    </w:p>
    <w:p>
      <w:pPr>
        <w:spacing w:before="102"/>
        <w:ind w:left="0" w:right="757" w:firstLine="0"/>
        <w:jc w:val="right"/>
        <w:rPr>
          <w:sz w:val="12"/>
        </w:rPr>
      </w:pPr>
      <w:r>
        <w:rPr/>
        <w:pict>
          <v:line style="position:absolute;mso-position-horizontal-relative:page;mso-position-vertical-relative:paragraph;z-index:15972352" from="208.753998pt,10.201566pt" to="203.753998pt,10.201566pt" stroked="true" strokeweight=".5pt" strokecolor="#000000">
            <v:stroke dashstyle="solid"/>
            <w10:wrap type="none"/>
          </v:line>
        </w:pict>
      </w:r>
      <w:r>
        <w:rPr>
          <w:sz w:val="12"/>
        </w:rPr>
        <w:t>14</w:t>
      </w:r>
    </w:p>
    <w:p>
      <w:pPr>
        <w:pStyle w:val="BodyText"/>
        <w:spacing w:before="7"/>
        <w:rPr>
          <w:sz w:val="10"/>
        </w:rPr>
      </w:pPr>
    </w:p>
    <w:p>
      <w:pPr>
        <w:spacing w:before="0"/>
        <w:ind w:left="0" w:right="757" w:firstLine="0"/>
        <w:jc w:val="right"/>
        <w:rPr>
          <w:sz w:val="12"/>
        </w:rPr>
      </w:pPr>
      <w:r>
        <w:rPr/>
        <w:pict>
          <v:group style="position:absolute;margin-left:43.754002pt;margin-top:3.851566pt;width:165pt;height:33.75pt;mso-position-horizontal-relative:page;mso-position-vertical-relative:paragraph;z-index:15966720" coordorigin="875,77" coordsize="3300,675">
            <v:shape style="position:absolute;left:875;top:82;width:100;height:500" coordorigin="875,82" coordsize="100,500" path="m975,582l875,582m975,342l875,342m975,82l875,82e" filled="false" stroked="true" strokeweight=".5pt" strokecolor="#000000">
              <v:path arrowok="t"/>
              <v:stroke dashstyle="solid"/>
            </v:shape>
            <v:shape style="position:absolute;left:1015;top:122;width:2160;height:620" coordorigin="1015,122" coordsize="2160,620" path="m1015,122l1075,122,1195,162,1235,182,1475,182,1535,202,1575,222,1635,222,1695,242,1815,362,1875,442,1915,502,1975,542,2035,602,2095,642m2095,642l2155,682,2215,702,2255,722,2315,722,2375,742,2435,682,2495,642,2555,582,2615,542,2715,442,2835,362,2895,342,2955,302,2995,262,3055,282,3115,282,3175,302e" filled="false" stroked="true" strokeweight="1pt" strokecolor="#008256">
              <v:path arrowok="t"/>
              <v:stroke dashstyle="solid"/>
            </v:shape>
            <v:shape style="position:absolute;left:4075;top:342;width:100;height:240" coordorigin="4075,342" coordsize="100,240" path="m4175,582l4075,582m4175,342l4075,342e" filled="false" stroked="true" strokeweight=".5pt" strokecolor="#000000">
              <v:path arrowok="t"/>
              <v:stroke dashstyle="solid"/>
            </v:shape>
            <v:shape style="position:absolute;left:3175;top:302;width:860;height:400" coordorigin="3175,302" coordsize="860,400" path="m3175,302l3235,322,3295,362,3335,382,3395,442,3455,482,3515,502,3575,502,3635,522,3675,542,3735,542,3795,582,3855,602,3975,682,4035,702e" filled="false" stroked="true" strokeweight="1pt" strokecolor="#008256">
              <v:path arrowok="t"/>
              <v:stroke dashstyle="solid"/>
            </v:shape>
            <v:shape style="position:absolute;left:875;top:77;width:3300;height:675" type="#_x0000_t202" filled="false" stroked="false">
              <v:textbox inset="0,0,0,0">
                <w:txbxContent>
                  <w:p>
                    <w:pPr>
                      <w:spacing w:line="240" w:lineRule="auto" w:before="7"/>
                      <w:rPr>
                        <w:sz w:val="10"/>
                      </w:rPr>
                    </w:pPr>
                  </w:p>
                  <w:p>
                    <w:pPr>
                      <w:spacing w:before="1"/>
                      <w:ind w:left="909" w:right="0" w:firstLine="0"/>
                      <w:jc w:val="left"/>
                      <w:rPr>
                        <w:sz w:val="12"/>
                      </w:rPr>
                    </w:pPr>
                    <w:r>
                      <w:rPr>
                        <w:sz w:val="12"/>
                      </w:rPr>
                      <w:t>Unemployment (c)</w:t>
                    </w:r>
                  </w:p>
                </w:txbxContent>
              </v:textbox>
              <w10:wrap type="none"/>
            </v:shape>
            <w10:wrap type="none"/>
          </v:group>
        </w:pict>
      </w:r>
      <w:r>
        <w:rPr/>
        <w:pict>
          <v:line style="position:absolute;mso-position-horizontal-relative:page;mso-position-vertical-relative:paragraph;z-index:15971840" from="208.753998pt,4.101566pt" to="203.753998pt,4.101566pt" stroked="true" strokeweight=".5pt" strokecolor="#000000">
            <v:stroke dashstyle="solid"/>
            <w10:wrap type="none"/>
          </v:line>
        </w:pict>
      </w:r>
      <w:r>
        <w:rPr>
          <w:sz w:val="12"/>
        </w:rPr>
        <w:t>12</w:t>
      </w:r>
    </w:p>
    <w:p>
      <w:pPr>
        <w:pStyle w:val="BodyText"/>
        <w:spacing w:before="7"/>
        <w:rPr>
          <w:sz w:val="10"/>
        </w:rPr>
      </w:pPr>
    </w:p>
    <w:p>
      <w:pPr>
        <w:spacing w:before="0"/>
        <w:ind w:left="0" w:right="757" w:firstLine="0"/>
        <w:jc w:val="right"/>
        <w:rPr>
          <w:sz w:val="12"/>
        </w:rPr>
      </w:pPr>
      <w:r>
        <w:rPr>
          <w:sz w:val="12"/>
        </w:rPr>
        <w:t>10</w:t>
      </w:r>
    </w:p>
    <w:p>
      <w:pPr>
        <w:spacing w:before="102"/>
        <w:ind w:left="0" w:right="757" w:firstLine="0"/>
        <w:jc w:val="right"/>
        <w:rPr>
          <w:sz w:val="12"/>
        </w:rPr>
      </w:pPr>
      <w:r>
        <w:rPr>
          <w:sz w:val="12"/>
        </w:rPr>
        <w:t>8</w:t>
      </w:r>
    </w:p>
    <w:p>
      <w:pPr>
        <w:pStyle w:val="BodyText"/>
        <w:spacing w:before="7"/>
        <w:rPr>
          <w:sz w:val="10"/>
        </w:rPr>
      </w:pPr>
    </w:p>
    <w:p>
      <w:pPr>
        <w:spacing w:before="0"/>
        <w:ind w:left="0" w:right="757" w:firstLine="0"/>
        <w:jc w:val="right"/>
        <w:rPr>
          <w:sz w:val="12"/>
        </w:rPr>
      </w:pPr>
      <w:r>
        <w:rPr/>
        <w:pict>
          <v:line style="position:absolute;mso-position-horizontal-relative:page;mso-position-vertical-relative:paragraph;z-index:15965696" from="48.754002pt,4.101566pt" to="43.754002pt,4.101566pt" stroked="true" strokeweight=".5pt" strokecolor="#000000">
            <v:stroke dashstyle="solid"/>
            <w10:wrap type="none"/>
          </v:line>
        </w:pict>
      </w:r>
      <w:r>
        <w:rPr/>
        <w:pict>
          <v:line style="position:absolute;mso-position-horizontal-relative:page;mso-position-vertical-relative:paragraph;z-index:15971328" from="208.753998pt,4.101566pt" to="203.753998pt,4.101566pt" stroked="true" strokeweight=".5pt" strokecolor="#000000">
            <v:stroke dashstyle="solid"/>
            <w10:wrap type="none"/>
          </v:line>
        </w:pict>
      </w:r>
      <w:r>
        <w:rPr>
          <w:sz w:val="12"/>
        </w:rPr>
        <w:t>6</w:t>
      </w:r>
    </w:p>
    <w:p>
      <w:pPr>
        <w:spacing w:before="102"/>
        <w:ind w:left="0" w:right="757" w:firstLine="0"/>
        <w:jc w:val="right"/>
        <w:rPr>
          <w:sz w:val="12"/>
        </w:rPr>
      </w:pPr>
      <w:r>
        <w:rPr/>
        <w:pict>
          <v:line style="position:absolute;mso-position-horizontal-relative:page;mso-position-vertical-relative:paragraph;z-index:15965184" from="48.754002pt,9.201566pt" to="43.754002pt,9.201566pt" stroked="true" strokeweight=".5pt" strokecolor="#000000">
            <v:stroke dashstyle="solid"/>
            <w10:wrap type="none"/>
          </v:line>
        </w:pict>
      </w:r>
      <w:r>
        <w:rPr/>
        <w:pict>
          <v:line style="position:absolute;mso-position-horizontal-relative:page;mso-position-vertical-relative:paragraph;z-index:15970816" from="208.753998pt,9.201566pt" to="203.753998pt,9.201566pt" stroked="true" strokeweight=".5pt" strokecolor="#000000">
            <v:stroke dashstyle="solid"/>
            <w10:wrap type="none"/>
          </v:line>
        </w:pict>
      </w:r>
      <w:r>
        <w:rPr>
          <w:sz w:val="12"/>
        </w:rPr>
        <w:t>4</w:t>
      </w:r>
    </w:p>
    <w:p>
      <w:pPr>
        <w:pStyle w:val="BodyText"/>
        <w:spacing w:before="7"/>
        <w:rPr>
          <w:sz w:val="10"/>
        </w:rPr>
      </w:pPr>
    </w:p>
    <w:p>
      <w:pPr>
        <w:spacing w:before="0"/>
        <w:ind w:left="0" w:right="757" w:firstLine="0"/>
        <w:jc w:val="right"/>
        <w:rPr>
          <w:sz w:val="12"/>
        </w:rPr>
      </w:pPr>
      <w:r>
        <w:rPr/>
        <w:pict>
          <v:line style="position:absolute;mso-position-horizontal-relative:page;mso-position-vertical-relative:paragraph;z-index:15964672" from="48.754002pt,4.101566pt" to="43.754002pt,4.101566pt" stroked="true" strokeweight=".5pt" strokecolor="#000000">
            <v:stroke dashstyle="solid"/>
            <w10:wrap type="none"/>
          </v:line>
        </w:pict>
      </w:r>
      <w:r>
        <w:rPr/>
        <w:pict>
          <v:line style="position:absolute;mso-position-horizontal-relative:page;mso-position-vertical-relative:paragraph;z-index:15970304" from="208.753998pt,4.101566pt" to="203.753998pt,4.101566pt" stroked="true" strokeweight=".5pt" strokecolor="#000000">
            <v:stroke dashstyle="solid"/>
            <w10:wrap type="none"/>
          </v:line>
        </w:pict>
      </w:r>
      <w:r>
        <w:rPr>
          <w:sz w:val="12"/>
        </w:rPr>
        <w:t>2</w:t>
      </w:r>
    </w:p>
    <w:p>
      <w:pPr>
        <w:spacing w:line="119" w:lineRule="exact" w:before="102"/>
        <w:ind w:left="3645" w:right="0" w:firstLine="0"/>
        <w:jc w:val="left"/>
        <w:rPr>
          <w:sz w:val="12"/>
        </w:rPr>
      </w:pPr>
      <w:r>
        <w:rPr/>
        <w:pict>
          <v:shape style="position:absolute;margin-left:43.754002pt;margin-top:5.201566pt;width:165pt;height:4pt;mso-position-horizontal-relative:page;mso-position-vertical-relative:paragraph;z-index:15964160" coordorigin="875,104" coordsize="3300,80" path="m3975,184l3975,104m3735,184l3735,104m3515,184l3515,104m3295,184l3295,104m3055,184l3055,104m2835,184l2835,104m2595,184l2595,104m2375,184l2375,104m2155,184l2155,104m1915,184l1915,104m1695,184l1695,104m1475,184l1475,104m1235,184l1235,104m1015,184l1015,104m975,184l875,184m4175,184l4075,184m1015,184l4015,184m1070,184l1070,144m1125,184l1125,144m1180,184l1180,144m1295,184l1295,144m1355,184l1355,144m1415,184l1415,144m1530,184l1530,144m1585,184l1585,144m1640,184l1640,144m1750,184l1750,144m1805,184l1805,144m1860,184l1860,144m1975,184l1975,144m2035,184l2035,144m2095,184l2095,144m2210,184l2210,144m2265,184l2265,144m2320,184l2320,144m2430,184l2430,144m2485,184l2485,144m2540,184l2540,144m2655,184l2655,144m2715,184l2715,144m2775,184l2775,144m2890,184l2890,144m2945,184l2945,144m3000,184l3000,144m3115,184l3115,144m3175,184l3175,144m3235,184l3235,144m3350,184l3350,144m3405,184l3405,144m3460,184l3460,144m3570,184l3570,144m3625,184l3625,144m3680,184l3680,144m3795,184l3795,144m3855,184l3855,144m3915,184l3915,144m4015,184l4015,144e" filled="false" stroked="true" strokeweight=".5pt" strokecolor="#000000">
            <v:path arrowok="t"/>
            <v:stroke dashstyle="solid"/>
            <w10:wrap type="none"/>
          </v:shape>
        </w:pict>
      </w:r>
      <w:r>
        <w:rPr>
          <w:sz w:val="12"/>
        </w:rPr>
        <w:t>0</w:t>
      </w:r>
    </w:p>
    <w:p>
      <w:pPr>
        <w:spacing w:line="119" w:lineRule="exact" w:before="0"/>
        <w:ind w:left="365" w:right="0" w:firstLine="0"/>
        <w:jc w:val="left"/>
        <w:rPr>
          <w:sz w:val="12"/>
        </w:rPr>
      </w:pPr>
      <w:r>
        <w:rPr>
          <w:sz w:val="12"/>
        </w:rPr>
        <w:t>1984 85 86 87 88 89 90 91 92 93 94 95 96 97</w:t>
      </w:r>
    </w:p>
    <w:p>
      <w:pPr>
        <w:spacing w:before="67"/>
        <w:ind w:left="180" w:right="0" w:firstLine="0"/>
        <w:jc w:val="left"/>
        <w:rPr>
          <w:sz w:val="12"/>
        </w:rPr>
      </w:pPr>
      <w:r>
        <w:rPr>
          <w:color w:val="231F20"/>
          <w:sz w:val="12"/>
        </w:rPr>
        <w:t>Source: LFS.</w:t>
      </w:r>
    </w:p>
    <w:p>
      <w:pPr>
        <w:pStyle w:val="ListParagraph"/>
        <w:numPr>
          <w:ilvl w:val="0"/>
          <w:numId w:val="24"/>
        </w:numPr>
        <w:tabs>
          <w:tab w:pos="420" w:val="left" w:leader="none"/>
        </w:tabs>
        <w:spacing w:line="129" w:lineRule="exact" w:before="102" w:after="0"/>
        <w:ind w:left="420" w:right="0" w:hanging="240"/>
        <w:jc w:val="left"/>
        <w:rPr>
          <w:sz w:val="12"/>
        </w:rPr>
      </w:pPr>
      <w:r>
        <w:rPr>
          <w:color w:val="231F20"/>
          <w:sz w:val="12"/>
        </w:rPr>
        <w:t>Percentage of population of working age.</w:t>
      </w:r>
    </w:p>
    <w:p>
      <w:pPr>
        <w:pStyle w:val="ListParagraph"/>
        <w:numPr>
          <w:ilvl w:val="0"/>
          <w:numId w:val="24"/>
        </w:numPr>
        <w:tabs>
          <w:tab w:pos="420" w:val="left" w:leader="none"/>
        </w:tabs>
        <w:spacing w:line="208" w:lineRule="auto" w:before="5" w:after="0"/>
        <w:ind w:left="420" w:right="590" w:hanging="240"/>
        <w:jc w:val="left"/>
        <w:rPr>
          <w:sz w:val="12"/>
        </w:rPr>
      </w:pPr>
      <w:r>
        <w:rPr>
          <w:color w:val="231F20"/>
          <w:sz w:val="12"/>
        </w:rPr>
        <w:t>Percentage of population of working age. Assumes early-retired </w:t>
      </w:r>
      <w:r>
        <w:rPr>
          <w:color w:val="231F20"/>
          <w:spacing w:val="-3"/>
          <w:sz w:val="12"/>
        </w:rPr>
        <w:t>people </w:t>
      </w:r>
      <w:r>
        <w:rPr>
          <w:color w:val="231F20"/>
          <w:sz w:val="12"/>
        </w:rPr>
        <w:t>and long-term sick are non-seasonal.</w:t>
      </w:r>
    </w:p>
    <w:p>
      <w:pPr>
        <w:pStyle w:val="ListParagraph"/>
        <w:numPr>
          <w:ilvl w:val="0"/>
          <w:numId w:val="24"/>
        </w:numPr>
        <w:tabs>
          <w:tab w:pos="420" w:val="left" w:leader="none"/>
        </w:tabs>
        <w:spacing w:line="123" w:lineRule="exact" w:before="0" w:after="0"/>
        <w:ind w:left="420" w:right="0" w:hanging="240"/>
        <w:jc w:val="left"/>
        <w:rPr>
          <w:sz w:val="12"/>
        </w:rPr>
      </w:pPr>
      <w:r>
        <w:rPr>
          <w:color w:val="231F20"/>
          <w:sz w:val="12"/>
        </w:rPr>
        <w:t>Percentage of economically active population.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4"/>
        </w:rPr>
      </w:pPr>
    </w:p>
    <w:p>
      <w:pPr>
        <w:pStyle w:val="Heading9"/>
        <w:spacing w:before="0"/>
      </w:pPr>
      <w:r>
        <w:rPr>
          <w:color w:val="0093C1"/>
        </w:rPr>
        <w:t>Table 4.C</w:t>
      </w:r>
    </w:p>
    <w:p>
      <w:pPr>
        <w:spacing w:before="10"/>
        <w:ind w:left="180" w:right="0" w:firstLine="0"/>
        <w:jc w:val="left"/>
        <w:rPr>
          <w:b/>
          <w:sz w:val="20"/>
        </w:rPr>
      </w:pPr>
      <w:r>
        <w:rPr>
          <w:b/>
          <w:color w:val="0093C1"/>
          <w:sz w:val="20"/>
        </w:rPr>
        <w:t>Survey of employment intentions</w:t>
      </w:r>
    </w:p>
    <w:p>
      <w:pPr>
        <w:spacing w:before="106"/>
        <w:ind w:left="180" w:right="0" w:firstLine="0"/>
        <w:jc w:val="left"/>
        <w:rPr>
          <w:sz w:val="14"/>
        </w:rPr>
      </w:pPr>
      <w:r>
        <w:rPr>
          <w:color w:val="231F20"/>
          <w:sz w:val="14"/>
        </w:rPr>
        <w:t>Percentage balance of employers planning to recruit staff</w:t>
      </w:r>
    </w:p>
    <w:p>
      <w:pPr>
        <w:pStyle w:val="BodyText"/>
        <w:spacing w:before="10"/>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063"/>
        <w:gridCol w:w="407"/>
        <w:gridCol w:w="494"/>
        <w:gridCol w:w="478"/>
        <w:gridCol w:w="475"/>
        <w:gridCol w:w="412"/>
      </w:tblGrid>
      <w:tr>
        <w:trPr>
          <w:trHeight w:val="155" w:hRule="atLeast"/>
        </w:trPr>
        <w:tc>
          <w:tcPr>
            <w:tcW w:w="2881" w:type="dxa"/>
            <w:gridSpan w:val="4"/>
          </w:tcPr>
          <w:p>
            <w:pPr>
              <w:pStyle w:val="TableParagraph"/>
              <w:tabs>
                <w:tab w:pos="739" w:val="left" w:leader="none"/>
              </w:tabs>
              <w:spacing w:line="135" w:lineRule="exact"/>
              <w:ind w:right="109"/>
              <w:jc w:val="right"/>
              <w:rPr>
                <w:sz w:val="14"/>
              </w:rPr>
            </w:pPr>
            <w:r>
              <w:rPr>
                <w:color w:val="231F20"/>
                <w:sz w:val="14"/>
                <w:u w:val="single" w:color="231F20"/>
              </w:rPr>
              <w:t>1996</w:t>
              <w:tab/>
            </w:r>
          </w:p>
        </w:tc>
        <w:tc>
          <w:tcPr>
            <w:tcW w:w="1365" w:type="dxa"/>
            <w:gridSpan w:val="3"/>
          </w:tcPr>
          <w:p>
            <w:pPr>
              <w:pStyle w:val="TableParagraph"/>
              <w:tabs>
                <w:tab w:pos="1313" w:val="left" w:leader="none"/>
              </w:tabs>
              <w:spacing w:line="135" w:lineRule="exact"/>
              <w:ind w:left="108"/>
              <w:rPr>
                <w:sz w:val="14"/>
              </w:rPr>
            </w:pPr>
            <w:r>
              <w:rPr>
                <w:color w:val="231F20"/>
                <w:sz w:val="14"/>
                <w:u w:val="single" w:color="231F20"/>
              </w:rPr>
              <w:t>1997</w:t>
              <w:tab/>
            </w:r>
          </w:p>
        </w:tc>
      </w:tr>
      <w:tr>
        <w:trPr>
          <w:trHeight w:val="222" w:hRule="atLeast"/>
        </w:trPr>
        <w:tc>
          <w:tcPr>
            <w:tcW w:w="917" w:type="dxa"/>
          </w:tcPr>
          <w:p>
            <w:pPr>
              <w:pStyle w:val="TableParagraph"/>
              <w:rPr>
                <w:sz w:val="14"/>
              </w:rPr>
            </w:pPr>
          </w:p>
        </w:tc>
        <w:tc>
          <w:tcPr>
            <w:tcW w:w="1063" w:type="dxa"/>
          </w:tcPr>
          <w:p>
            <w:pPr>
              <w:pStyle w:val="TableParagraph"/>
              <w:rPr>
                <w:sz w:val="14"/>
              </w:rPr>
            </w:pPr>
          </w:p>
        </w:tc>
        <w:tc>
          <w:tcPr>
            <w:tcW w:w="407" w:type="dxa"/>
          </w:tcPr>
          <w:p>
            <w:pPr>
              <w:pStyle w:val="TableParagraph"/>
              <w:spacing w:line="155" w:lineRule="exact"/>
              <w:ind w:left="45" w:right="70"/>
              <w:jc w:val="center"/>
              <w:rPr>
                <w:sz w:val="14"/>
              </w:rPr>
            </w:pPr>
            <w:r>
              <w:rPr>
                <w:color w:val="231F20"/>
                <w:sz w:val="14"/>
                <w:u w:val="single" w:color="231F20"/>
              </w:rPr>
              <w:t>Q3 </w:t>
            </w:r>
          </w:p>
        </w:tc>
        <w:tc>
          <w:tcPr>
            <w:tcW w:w="494" w:type="dxa"/>
          </w:tcPr>
          <w:p>
            <w:pPr>
              <w:pStyle w:val="TableParagraph"/>
              <w:spacing w:line="155" w:lineRule="exact"/>
              <w:ind w:right="114"/>
              <w:jc w:val="right"/>
              <w:rPr>
                <w:sz w:val="14"/>
              </w:rPr>
            </w:pPr>
            <w:r>
              <w:rPr>
                <w:color w:val="231F20"/>
                <w:sz w:val="14"/>
                <w:u w:val="single" w:color="231F20"/>
              </w:rPr>
              <w:t>Q4 </w:t>
            </w:r>
          </w:p>
        </w:tc>
        <w:tc>
          <w:tcPr>
            <w:tcW w:w="478" w:type="dxa"/>
          </w:tcPr>
          <w:p>
            <w:pPr>
              <w:pStyle w:val="TableParagraph"/>
              <w:spacing w:line="155" w:lineRule="exact"/>
              <w:ind w:left="108"/>
              <w:rPr>
                <w:sz w:val="14"/>
              </w:rPr>
            </w:pPr>
            <w:r>
              <w:rPr>
                <w:color w:val="231F20"/>
                <w:sz w:val="14"/>
                <w:u w:val="single" w:color="231F20"/>
              </w:rPr>
              <w:t>Q1 </w:t>
            </w:r>
          </w:p>
        </w:tc>
        <w:tc>
          <w:tcPr>
            <w:tcW w:w="475" w:type="dxa"/>
          </w:tcPr>
          <w:p>
            <w:pPr>
              <w:pStyle w:val="TableParagraph"/>
              <w:spacing w:line="155" w:lineRule="exact"/>
              <w:ind w:left="111"/>
              <w:rPr>
                <w:sz w:val="14"/>
              </w:rPr>
            </w:pPr>
            <w:r>
              <w:rPr>
                <w:color w:val="231F20"/>
                <w:sz w:val="14"/>
                <w:u w:val="single" w:color="231F20"/>
              </w:rPr>
              <w:t>Q2 </w:t>
            </w:r>
          </w:p>
        </w:tc>
        <w:tc>
          <w:tcPr>
            <w:tcW w:w="412" w:type="dxa"/>
          </w:tcPr>
          <w:p>
            <w:pPr>
              <w:pStyle w:val="TableParagraph"/>
              <w:spacing w:line="155" w:lineRule="exact"/>
              <w:ind w:left="86" w:right="22"/>
              <w:jc w:val="center"/>
              <w:rPr>
                <w:sz w:val="14"/>
              </w:rPr>
            </w:pPr>
            <w:r>
              <w:rPr>
                <w:color w:val="231F20"/>
                <w:sz w:val="14"/>
                <w:u w:val="single" w:color="231F20"/>
              </w:rPr>
              <w:t>Q3 </w:t>
            </w:r>
          </w:p>
        </w:tc>
      </w:tr>
      <w:tr>
        <w:trPr>
          <w:trHeight w:val="210" w:hRule="atLeast"/>
        </w:trPr>
        <w:tc>
          <w:tcPr>
            <w:tcW w:w="917" w:type="dxa"/>
          </w:tcPr>
          <w:p>
            <w:pPr>
              <w:pStyle w:val="TableParagraph"/>
              <w:spacing w:line="133" w:lineRule="exact" w:before="56"/>
              <w:ind w:left="50"/>
              <w:rPr>
                <w:sz w:val="12"/>
              </w:rPr>
            </w:pPr>
            <w:r>
              <w:rPr>
                <w:color w:val="231F20"/>
                <w:sz w:val="14"/>
              </w:rPr>
              <w:t>BCC </w:t>
            </w:r>
            <w:r>
              <w:rPr>
                <w:color w:val="231F20"/>
                <w:sz w:val="12"/>
              </w:rPr>
              <w:t>(a)</w:t>
            </w:r>
          </w:p>
        </w:tc>
        <w:tc>
          <w:tcPr>
            <w:tcW w:w="1063" w:type="dxa"/>
          </w:tcPr>
          <w:p>
            <w:pPr>
              <w:pStyle w:val="TableParagraph"/>
              <w:spacing w:line="133" w:lineRule="exact" w:before="56"/>
              <w:ind w:left="92"/>
              <w:rPr>
                <w:sz w:val="14"/>
              </w:rPr>
            </w:pPr>
            <w:r>
              <w:rPr>
                <w:color w:val="231F20"/>
                <w:sz w:val="14"/>
              </w:rPr>
              <w:t>Services</w:t>
            </w:r>
          </w:p>
        </w:tc>
        <w:tc>
          <w:tcPr>
            <w:tcW w:w="407" w:type="dxa"/>
          </w:tcPr>
          <w:p>
            <w:pPr>
              <w:pStyle w:val="TableParagraph"/>
              <w:spacing w:line="133" w:lineRule="exact" w:before="56"/>
              <w:ind w:left="50" w:right="70"/>
              <w:jc w:val="center"/>
              <w:rPr>
                <w:sz w:val="14"/>
              </w:rPr>
            </w:pPr>
            <w:r>
              <w:rPr>
                <w:color w:val="231F20"/>
                <w:sz w:val="14"/>
              </w:rPr>
              <w:t>20.9</w:t>
            </w:r>
          </w:p>
        </w:tc>
        <w:tc>
          <w:tcPr>
            <w:tcW w:w="494" w:type="dxa"/>
          </w:tcPr>
          <w:p>
            <w:pPr>
              <w:pStyle w:val="TableParagraph"/>
              <w:spacing w:line="133" w:lineRule="exact" w:before="56"/>
              <w:ind w:right="124"/>
              <w:jc w:val="right"/>
              <w:rPr>
                <w:sz w:val="14"/>
              </w:rPr>
            </w:pPr>
            <w:r>
              <w:rPr>
                <w:color w:val="231F20"/>
                <w:sz w:val="14"/>
              </w:rPr>
              <w:t>20.8</w:t>
            </w:r>
          </w:p>
        </w:tc>
        <w:tc>
          <w:tcPr>
            <w:tcW w:w="478" w:type="dxa"/>
          </w:tcPr>
          <w:p>
            <w:pPr>
              <w:pStyle w:val="TableParagraph"/>
              <w:spacing w:line="133" w:lineRule="exact" w:before="56"/>
              <w:ind w:left="108"/>
              <w:rPr>
                <w:sz w:val="14"/>
              </w:rPr>
            </w:pPr>
            <w:r>
              <w:rPr>
                <w:color w:val="231F20"/>
                <w:sz w:val="14"/>
              </w:rPr>
              <w:t>23.0</w:t>
            </w:r>
          </w:p>
        </w:tc>
        <w:tc>
          <w:tcPr>
            <w:tcW w:w="475" w:type="dxa"/>
          </w:tcPr>
          <w:p>
            <w:pPr>
              <w:pStyle w:val="TableParagraph"/>
              <w:spacing w:line="133" w:lineRule="exact" w:before="56"/>
              <w:ind w:left="111"/>
              <w:rPr>
                <w:sz w:val="14"/>
              </w:rPr>
            </w:pPr>
            <w:r>
              <w:rPr>
                <w:color w:val="231F20"/>
                <w:sz w:val="14"/>
              </w:rPr>
              <w:t>25.2</w:t>
            </w:r>
          </w:p>
        </w:tc>
        <w:tc>
          <w:tcPr>
            <w:tcW w:w="412" w:type="dxa"/>
          </w:tcPr>
          <w:p>
            <w:pPr>
              <w:pStyle w:val="TableParagraph"/>
              <w:spacing w:line="133" w:lineRule="exact" w:before="56"/>
              <w:ind w:left="86" w:right="41"/>
              <w:jc w:val="center"/>
              <w:rPr>
                <w:sz w:val="14"/>
              </w:rPr>
            </w:pPr>
            <w:r>
              <w:rPr>
                <w:color w:val="231F20"/>
                <w:sz w:val="14"/>
              </w:rPr>
              <w:t>25.9</w:t>
            </w:r>
          </w:p>
        </w:tc>
      </w:tr>
      <w:tr>
        <w:trPr>
          <w:trHeight w:val="209" w:hRule="atLeast"/>
        </w:trPr>
        <w:tc>
          <w:tcPr>
            <w:tcW w:w="917" w:type="dxa"/>
          </w:tcPr>
          <w:p>
            <w:pPr>
              <w:pStyle w:val="TableParagraph"/>
              <w:rPr>
                <w:sz w:val="14"/>
              </w:rPr>
            </w:pPr>
          </w:p>
        </w:tc>
        <w:tc>
          <w:tcPr>
            <w:tcW w:w="1063" w:type="dxa"/>
          </w:tcPr>
          <w:p>
            <w:pPr>
              <w:pStyle w:val="TableParagraph"/>
              <w:spacing w:line="148" w:lineRule="exact"/>
              <w:ind w:left="92"/>
              <w:rPr>
                <w:sz w:val="14"/>
              </w:rPr>
            </w:pPr>
            <w:r>
              <w:rPr>
                <w:color w:val="231F20"/>
                <w:sz w:val="14"/>
              </w:rPr>
              <w:t>Manufacturing</w:t>
            </w:r>
          </w:p>
        </w:tc>
        <w:tc>
          <w:tcPr>
            <w:tcW w:w="407" w:type="dxa"/>
          </w:tcPr>
          <w:p>
            <w:pPr>
              <w:pStyle w:val="TableParagraph"/>
              <w:spacing w:line="148" w:lineRule="exact"/>
              <w:ind w:left="51" w:right="70"/>
              <w:jc w:val="center"/>
              <w:rPr>
                <w:sz w:val="14"/>
              </w:rPr>
            </w:pPr>
            <w:r>
              <w:rPr>
                <w:color w:val="231F20"/>
                <w:sz w:val="14"/>
              </w:rPr>
              <w:t>17.4</w:t>
            </w:r>
          </w:p>
        </w:tc>
        <w:tc>
          <w:tcPr>
            <w:tcW w:w="494" w:type="dxa"/>
          </w:tcPr>
          <w:p>
            <w:pPr>
              <w:pStyle w:val="TableParagraph"/>
              <w:spacing w:line="148" w:lineRule="exact"/>
              <w:ind w:right="123"/>
              <w:jc w:val="right"/>
              <w:rPr>
                <w:sz w:val="14"/>
              </w:rPr>
            </w:pPr>
            <w:r>
              <w:rPr>
                <w:color w:val="231F20"/>
                <w:sz w:val="14"/>
              </w:rPr>
              <w:t>9.9</w:t>
            </w:r>
          </w:p>
        </w:tc>
        <w:tc>
          <w:tcPr>
            <w:tcW w:w="478" w:type="dxa"/>
          </w:tcPr>
          <w:p>
            <w:pPr>
              <w:pStyle w:val="TableParagraph"/>
              <w:spacing w:line="148" w:lineRule="exact"/>
              <w:ind w:left="109"/>
              <w:rPr>
                <w:sz w:val="14"/>
              </w:rPr>
            </w:pPr>
            <w:r>
              <w:rPr>
                <w:color w:val="231F20"/>
                <w:sz w:val="14"/>
              </w:rPr>
              <w:t>13.3</w:t>
            </w:r>
          </w:p>
        </w:tc>
        <w:tc>
          <w:tcPr>
            <w:tcW w:w="475" w:type="dxa"/>
          </w:tcPr>
          <w:p>
            <w:pPr>
              <w:pStyle w:val="TableParagraph"/>
              <w:spacing w:line="148" w:lineRule="exact"/>
              <w:ind w:left="111"/>
              <w:rPr>
                <w:sz w:val="14"/>
              </w:rPr>
            </w:pPr>
            <w:r>
              <w:rPr>
                <w:color w:val="231F20"/>
                <w:sz w:val="14"/>
              </w:rPr>
              <w:t>13.7</w:t>
            </w:r>
          </w:p>
        </w:tc>
        <w:tc>
          <w:tcPr>
            <w:tcW w:w="412" w:type="dxa"/>
          </w:tcPr>
          <w:p>
            <w:pPr>
              <w:pStyle w:val="TableParagraph"/>
              <w:spacing w:line="148" w:lineRule="exact"/>
              <w:ind w:left="156" w:right="41"/>
              <w:jc w:val="center"/>
              <w:rPr>
                <w:sz w:val="14"/>
              </w:rPr>
            </w:pPr>
            <w:r>
              <w:rPr>
                <w:color w:val="231F20"/>
                <w:sz w:val="14"/>
              </w:rPr>
              <w:t>8.9</w:t>
            </w:r>
          </w:p>
        </w:tc>
      </w:tr>
      <w:tr>
        <w:trPr>
          <w:trHeight w:val="280" w:hRule="atLeast"/>
        </w:trPr>
        <w:tc>
          <w:tcPr>
            <w:tcW w:w="917" w:type="dxa"/>
          </w:tcPr>
          <w:p>
            <w:pPr>
              <w:pStyle w:val="TableParagraph"/>
              <w:spacing w:before="56"/>
              <w:ind w:left="50"/>
              <w:rPr>
                <w:sz w:val="12"/>
              </w:rPr>
            </w:pPr>
            <w:r>
              <w:rPr>
                <w:color w:val="231F20"/>
                <w:sz w:val="14"/>
              </w:rPr>
              <w:t>CBI </w:t>
            </w:r>
            <w:r>
              <w:rPr>
                <w:color w:val="231F20"/>
                <w:sz w:val="12"/>
              </w:rPr>
              <w:t>(b)</w:t>
            </w:r>
          </w:p>
        </w:tc>
        <w:tc>
          <w:tcPr>
            <w:tcW w:w="1063" w:type="dxa"/>
          </w:tcPr>
          <w:p>
            <w:pPr>
              <w:pStyle w:val="TableParagraph"/>
              <w:spacing w:before="56"/>
              <w:ind w:left="92"/>
              <w:rPr>
                <w:sz w:val="14"/>
              </w:rPr>
            </w:pPr>
            <w:r>
              <w:rPr>
                <w:color w:val="231F20"/>
                <w:sz w:val="14"/>
              </w:rPr>
              <w:t>Manufacturing</w:t>
            </w:r>
          </w:p>
        </w:tc>
        <w:tc>
          <w:tcPr>
            <w:tcW w:w="407" w:type="dxa"/>
          </w:tcPr>
          <w:p>
            <w:pPr>
              <w:pStyle w:val="TableParagraph"/>
              <w:spacing w:before="56"/>
              <w:ind w:left="51" w:right="50"/>
              <w:jc w:val="center"/>
              <w:rPr>
                <w:sz w:val="14"/>
              </w:rPr>
            </w:pPr>
            <w:r>
              <w:rPr>
                <w:color w:val="231F20"/>
                <w:sz w:val="14"/>
              </w:rPr>
              <w:t>-8.8</w:t>
            </w:r>
          </w:p>
        </w:tc>
        <w:tc>
          <w:tcPr>
            <w:tcW w:w="494" w:type="dxa"/>
          </w:tcPr>
          <w:p>
            <w:pPr>
              <w:pStyle w:val="TableParagraph"/>
              <w:spacing w:before="56"/>
              <w:ind w:right="124"/>
              <w:jc w:val="right"/>
              <w:rPr>
                <w:sz w:val="14"/>
              </w:rPr>
            </w:pPr>
            <w:r>
              <w:rPr>
                <w:color w:val="231F20"/>
                <w:sz w:val="14"/>
              </w:rPr>
              <w:t>-10.9</w:t>
            </w:r>
          </w:p>
        </w:tc>
        <w:tc>
          <w:tcPr>
            <w:tcW w:w="478" w:type="dxa"/>
          </w:tcPr>
          <w:p>
            <w:pPr>
              <w:pStyle w:val="TableParagraph"/>
              <w:spacing w:before="56"/>
              <w:ind w:left="132"/>
              <w:rPr>
                <w:sz w:val="14"/>
              </w:rPr>
            </w:pPr>
            <w:r>
              <w:rPr>
                <w:color w:val="231F20"/>
                <w:sz w:val="14"/>
              </w:rPr>
              <w:t>-1.1</w:t>
            </w:r>
          </w:p>
        </w:tc>
        <w:tc>
          <w:tcPr>
            <w:tcW w:w="475" w:type="dxa"/>
          </w:tcPr>
          <w:p>
            <w:pPr>
              <w:pStyle w:val="TableParagraph"/>
              <w:spacing w:before="56"/>
              <w:ind w:left="134"/>
              <w:rPr>
                <w:sz w:val="14"/>
              </w:rPr>
            </w:pPr>
            <w:r>
              <w:rPr>
                <w:color w:val="231F20"/>
                <w:sz w:val="14"/>
              </w:rPr>
              <w:t>-2.0</w:t>
            </w:r>
          </w:p>
        </w:tc>
        <w:tc>
          <w:tcPr>
            <w:tcW w:w="412" w:type="dxa"/>
          </w:tcPr>
          <w:p>
            <w:pPr>
              <w:pStyle w:val="TableParagraph"/>
              <w:spacing w:before="56"/>
              <w:ind w:left="86" w:right="18"/>
              <w:jc w:val="center"/>
              <w:rPr>
                <w:sz w:val="14"/>
              </w:rPr>
            </w:pPr>
            <w:r>
              <w:rPr>
                <w:color w:val="231F20"/>
                <w:sz w:val="14"/>
              </w:rPr>
              <w:t>-7.5</w:t>
            </w:r>
          </w:p>
        </w:tc>
      </w:tr>
      <w:tr>
        <w:trPr>
          <w:trHeight w:val="210" w:hRule="atLeast"/>
        </w:trPr>
        <w:tc>
          <w:tcPr>
            <w:tcW w:w="917" w:type="dxa"/>
          </w:tcPr>
          <w:p>
            <w:pPr>
              <w:pStyle w:val="TableParagraph"/>
              <w:spacing w:line="133" w:lineRule="exact" w:before="56"/>
              <w:ind w:left="50"/>
              <w:rPr>
                <w:sz w:val="12"/>
              </w:rPr>
            </w:pPr>
            <w:r>
              <w:rPr>
                <w:color w:val="231F20"/>
                <w:sz w:val="14"/>
              </w:rPr>
              <w:t>Manpower </w:t>
            </w:r>
            <w:r>
              <w:rPr>
                <w:color w:val="231F20"/>
                <w:sz w:val="12"/>
              </w:rPr>
              <w:t>(a)</w:t>
            </w:r>
          </w:p>
        </w:tc>
        <w:tc>
          <w:tcPr>
            <w:tcW w:w="1063" w:type="dxa"/>
          </w:tcPr>
          <w:p>
            <w:pPr>
              <w:pStyle w:val="TableParagraph"/>
              <w:spacing w:line="133" w:lineRule="exact" w:before="56"/>
              <w:ind w:left="92"/>
              <w:rPr>
                <w:sz w:val="14"/>
              </w:rPr>
            </w:pPr>
            <w:r>
              <w:rPr>
                <w:color w:val="231F20"/>
                <w:sz w:val="14"/>
              </w:rPr>
              <w:t>Services</w:t>
            </w:r>
          </w:p>
        </w:tc>
        <w:tc>
          <w:tcPr>
            <w:tcW w:w="407" w:type="dxa"/>
          </w:tcPr>
          <w:p>
            <w:pPr>
              <w:pStyle w:val="TableParagraph"/>
              <w:spacing w:line="133" w:lineRule="exact" w:before="56"/>
              <w:ind w:left="50" w:right="70"/>
              <w:jc w:val="center"/>
              <w:rPr>
                <w:sz w:val="14"/>
              </w:rPr>
            </w:pPr>
            <w:r>
              <w:rPr>
                <w:color w:val="231F20"/>
                <w:sz w:val="14"/>
              </w:rPr>
              <w:t>10.1</w:t>
            </w:r>
          </w:p>
        </w:tc>
        <w:tc>
          <w:tcPr>
            <w:tcW w:w="494" w:type="dxa"/>
          </w:tcPr>
          <w:p>
            <w:pPr>
              <w:pStyle w:val="TableParagraph"/>
              <w:spacing w:line="133" w:lineRule="exact" w:before="56"/>
              <w:ind w:right="124"/>
              <w:jc w:val="right"/>
              <w:rPr>
                <w:sz w:val="14"/>
              </w:rPr>
            </w:pPr>
            <w:r>
              <w:rPr>
                <w:color w:val="231F20"/>
                <w:sz w:val="14"/>
              </w:rPr>
              <w:t>16.5</w:t>
            </w:r>
          </w:p>
        </w:tc>
        <w:tc>
          <w:tcPr>
            <w:tcW w:w="478" w:type="dxa"/>
          </w:tcPr>
          <w:p>
            <w:pPr>
              <w:pStyle w:val="TableParagraph"/>
              <w:spacing w:line="133" w:lineRule="exact" w:before="56"/>
              <w:ind w:left="108"/>
              <w:rPr>
                <w:sz w:val="14"/>
              </w:rPr>
            </w:pPr>
            <w:r>
              <w:rPr>
                <w:color w:val="231F20"/>
                <w:sz w:val="14"/>
              </w:rPr>
              <w:t>16.1</w:t>
            </w:r>
          </w:p>
        </w:tc>
        <w:tc>
          <w:tcPr>
            <w:tcW w:w="475" w:type="dxa"/>
          </w:tcPr>
          <w:p>
            <w:pPr>
              <w:pStyle w:val="TableParagraph"/>
              <w:spacing w:line="133" w:lineRule="exact" w:before="56"/>
              <w:ind w:left="111"/>
              <w:rPr>
                <w:sz w:val="14"/>
              </w:rPr>
            </w:pPr>
            <w:r>
              <w:rPr>
                <w:color w:val="231F20"/>
                <w:sz w:val="14"/>
              </w:rPr>
              <w:t>18.3</w:t>
            </w:r>
          </w:p>
        </w:tc>
        <w:tc>
          <w:tcPr>
            <w:tcW w:w="412" w:type="dxa"/>
          </w:tcPr>
          <w:p>
            <w:pPr>
              <w:pStyle w:val="TableParagraph"/>
              <w:spacing w:line="133" w:lineRule="exact" w:before="56"/>
              <w:ind w:left="86" w:right="41"/>
              <w:jc w:val="center"/>
              <w:rPr>
                <w:sz w:val="14"/>
              </w:rPr>
            </w:pPr>
            <w:r>
              <w:rPr>
                <w:color w:val="231F20"/>
                <w:sz w:val="14"/>
              </w:rPr>
              <w:t>23.6</w:t>
            </w:r>
          </w:p>
        </w:tc>
      </w:tr>
      <w:tr>
        <w:trPr>
          <w:trHeight w:val="147" w:hRule="atLeast"/>
        </w:trPr>
        <w:tc>
          <w:tcPr>
            <w:tcW w:w="917" w:type="dxa"/>
          </w:tcPr>
          <w:p>
            <w:pPr>
              <w:pStyle w:val="TableParagraph"/>
              <w:rPr>
                <w:sz w:val="8"/>
              </w:rPr>
            </w:pPr>
          </w:p>
        </w:tc>
        <w:tc>
          <w:tcPr>
            <w:tcW w:w="1063" w:type="dxa"/>
          </w:tcPr>
          <w:p>
            <w:pPr>
              <w:pStyle w:val="TableParagraph"/>
              <w:spacing w:line="128" w:lineRule="exact"/>
              <w:ind w:left="92"/>
              <w:rPr>
                <w:sz w:val="14"/>
              </w:rPr>
            </w:pPr>
            <w:r>
              <w:rPr>
                <w:color w:val="231F20"/>
                <w:sz w:val="14"/>
              </w:rPr>
              <w:t>Manufacturing</w:t>
            </w:r>
          </w:p>
        </w:tc>
        <w:tc>
          <w:tcPr>
            <w:tcW w:w="407" w:type="dxa"/>
          </w:tcPr>
          <w:p>
            <w:pPr>
              <w:pStyle w:val="TableParagraph"/>
              <w:spacing w:line="128" w:lineRule="exact"/>
              <w:ind w:left="51" w:right="70"/>
              <w:jc w:val="center"/>
              <w:rPr>
                <w:sz w:val="14"/>
              </w:rPr>
            </w:pPr>
            <w:r>
              <w:rPr>
                <w:color w:val="231F20"/>
                <w:sz w:val="14"/>
              </w:rPr>
              <w:t>17.2</w:t>
            </w:r>
          </w:p>
        </w:tc>
        <w:tc>
          <w:tcPr>
            <w:tcW w:w="494" w:type="dxa"/>
          </w:tcPr>
          <w:p>
            <w:pPr>
              <w:pStyle w:val="TableParagraph"/>
              <w:spacing w:line="128" w:lineRule="exact"/>
              <w:ind w:right="123"/>
              <w:jc w:val="right"/>
              <w:rPr>
                <w:sz w:val="14"/>
              </w:rPr>
            </w:pPr>
            <w:r>
              <w:rPr>
                <w:color w:val="231F20"/>
                <w:sz w:val="14"/>
              </w:rPr>
              <w:t>17.7</w:t>
            </w:r>
          </w:p>
        </w:tc>
        <w:tc>
          <w:tcPr>
            <w:tcW w:w="478" w:type="dxa"/>
          </w:tcPr>
          <w:p>
            <w:pPr>
              <w:pStyle w:val="TableParagraph"/>
              <w:spacing w:line="128" w:lineRule="exact"/>
              <w:ind w:left="109"/>
              <w:rPr>
                <w:sz w:val="14"/>
              </w:rPr>
            </w:pPr>
            <w:r>
              <w:rPr>
                <w:color w:val="231F20"/>
                <w:sz w:val="14"/>
              </w:rPr>
              <w:t>19.1</w:t>
            </w:r>
          </w:p>
        </w:tc>
        <w:tc>
          <w:tcPr>
            <w:tcW w:w="475" w:type="dxa"/>
          </w:tcPr>
          <w:p>
            <w:pPr>
              <w:pStyle w:val="TableParagraph"/>
              <w:spacing w:line="128" w:lineRule="exact"/>
              <w:ind w:left="111"/>
              <w:rPr>
                <w:sz w:val="14"/>
              </w:rPr>
            </w:pPr>
            <w:r>
              <w:rPr>
                <w:color w:val="231F20"/>
                <w:sz w:val="14"/>
              </w:rPr>
              <w:t>18.8</w:t>
            </w:r>
          </w:p>
        </w:tc>
        <w:tc>
          <w:tcPr>
            <w:tcW w:w="412" w:type="dxa"/>
          </w:tcPr>
          <w:p>
            <w:pPr>
              <w:pStyle w:val="TableParagraph"/>
              <w:spacing w:line="128" w:lineRule="exact"/>
              <w:ind w:left="86" w:right="41"/>
              <w:jc w:val="center"/>
              <w:rPr>
                <w:sz w:val="14"/>
              </w:rPr>
            </w:pPr>
            <w:r>
              <w:rPr>
                <w:color w:val="231F20"/>
                <w:sz w:val="14"/>
              </w:rPr>
              <w:t>22.7</w:t>
            </w:r>
          </w:p>
        </w:tc>
      </w:tr>
    </w:tbl>
    <w:p>
      <w:pPr>
        <w:tabs>
          <w:tab w:pos="659" w:val="left" w:leader="none"/>
        </w:tabs>
        <w:spacing w:line="208" w:lineRule="auto" w:before="112"/>
        <w:ind w:left="660" w:right="38" w:hanging="480"/>
        <w:jc w:val="left"/>
        <w:rPr>
          <w:sz w:val="12"/>
        </w:rPr>
      </w:pPr>
      <w:r>
        <w:rPr>
          <w:color w:val="231F20"/>
          <w:sz w:val="12"/>
        </w:rPr>
        <w:t>Note:</w:t>
        <w:tab/>
        <w:t>Survey balances are determined by subtracting the percentage of companies reporting decreases from the percentage of companies reporting increases, </w:t>
      </w:r>
      <w:r>
        <w:rPr>
          <w:color w:val="231F20"/>
          <w:spacing w:val="-6"/>
          <w:sz w:val="12"/>
        </w:rPr>
        <w:t>and </w:t>
      </w:r>
      <w:r>
        <w:rPr>
          <w:color w:val="231F20"/>
          <w:sz w:val="12"/>
        </w:rPr>
        <w:t>for the first time are shown seasonally adjusted by the Bank.</w:t>
      </w:r>
    </w:p>
    <w:p>
      <w:pPr>
        <w:spacing w:before="105"/>
        <w:ind w:left="180" w:right="0" w:firstLine="0"/>
        <w:jc w:val="left"/>
        <w:rPr>
          <w:sz w:val="12"/>
        </w:rPr>
      </w:pPr>
      <w:r>
        <w:rPr>
          <w:color w:val="231F20"/>
          <w:sz w:val="12"/>
        </w:rPr>
        <w:t>Sources: British Chambers of Commerce, CBI and Manpower.</w:t>
      </w:r>
    </w:p>
    <w:p>
      <w:pPr>
        <w:pStyle w:val="ListParagraph"/>
        <w:numPr>
          <w:ilvl w:val="0"/>
          <w:numId w:val="25"/>
        </w:numPr>
        <w:tabs>
          <w:tab w:pos="420" w:val="left" w:leader="none"/>
        </w:tabs>
        <w:spacing w:line="129" w:lineRule="exact" w:before="102" w:after="0"/>
        <w:ind w:left="420" w:right="0" w:hanging="240"/>
        <w:jc w:val="left"/>
        <w:rPr>
          <w:sz w:val="12"/>
        </w:rPr>
      </w:pPr>
      <w:r>
        <w:rPr>
          <w:color w:val="231F20"/>
          <w:sz w:val="12"/>
        </w:rPr>
        <w:t>Next three months.</w:t>
      </w:r>
    </w:p>
    <w:p>
      <w:pPr>
        <w:pStyle w:val="ListParagraph"/>
        <w:numPr>
          <w:ilvl w:val="0"/>
          <w:numId w:val="25"/>
        </w:numPr>
        <w:tabs>
          <w:tab w:pos="420" w:val="left" w:leader="none"/>
        </w:tabs>
        <w:spacing w:line="129" w:lineRule="exact" w:before="0" w:after="0"/>
        <w:ind w:left="420" w:right="0" w:hanging="240"/>
        <w:jc w:val="left"/>
        <w:rPr>
          <w:sz w:val="12"/>
        </w:rPr>
      </w:pPr>
      <w:r>
        <w:rPr>
          <w:color w:val="231F20"/>
          <w:sz w:val="12"/>
        </w:rPr>
        <w:t>Next four months.</w:t>
      </w:r>
    </w:p>
    <w:p>
      <w:pPr>
        <w:pStyle w:val="Heading5"/>
        <w:spacing w:line="242" w:lineRule="auto" w:before="7"/>
        <w:ind w:left="155" w:right="248"/>
      </w:pPr>
      <w:r>
        <w:rPr/>
        <w:br w:type="column"/>
      </w:r>
      <w:r>
        <w:rPr>
          <w:color w:val="231F20"/>
        </w:rPr>
        <w:t>market tightness. The overall non-participation rate is still above the low level it reached in the 1980s. But some non-participants, such as early-retired people or the long-term sick, are less likely to re-enter the labour force. The non-participation rate, excluding these people, was lower at the start of 1997 than in the late 1980s, suggesting that the labour market is as tight now as it was then (see Chart 4.5).</w:t>
      </w:r>
    </w:p>
    <w:p>
      <w:pPr>
        <w:pStyle w:val="BodyText"/>
        <w:spacing w:before="8"/>
        <w:rPr>
          <w:sz w:val="28"/>
        </w:rPr>
      </w:pPr>
    </w:p>
    <w:p>
      <w:pPr>
        <w:spacing w:line="242" w:lineRule="auto" w:before="1"/>
        <w:ind w:left="155" w:right="174" w:hanging="1"/>
        <w:jc w:val="left"/>
        <w:rPr>
          <w:sz w:val="24"/>
        </w:rPr>
      </w:pPr>
      <w:r>
        <w:rPr>
          <w:color w:val="231F20"/>
          <w:spacing w:val="-4"/>
          <w:sz w:val="24"/>
        </w:rPr>
        <w:t>Total </w:t>
      </w:r>
      <w:r>
        <w:rPr>
          <w:color w:val="231F20"/>
          <w:sz w:val="24"/>
        </w:rPr>
        <w:t>employment rose by around 440,000 in the year to summer 1997, according to the LFS, compared with a fall of around 260,000 in unemployment. The rise in the population of working age (around 130,000) accounts for most of the difference. The </w:t>
      </w:r>
      <w:r>
        <w:rPr>
          <w:color w:val="231F20"/>
          <w:spacing w:val="-3"/>
          <w:sz w:val="24"/>
        </w:rPr>
        <w:t>Workforce </w:t>
      </w:r>
      <w:r>
        <w:rPr>
          <w:color w:val="231F20"/>
          <w:sz w:val="24"/>
        </w:rPr>
        <w:t>in Employment measure of employment rose by 470,000 in the year to 1997 Q2, close to the LFS estimate. The estimated </w:t>
      </w:r>
      <w:r>
        <w:rPr>
          <w:color w:val="231F20"/>
          <w:spacing w:val="-3"/>
          <w:sz w:val="24"/>
        </w:rPr>
        <w:t>level </w:t>
      </w:r>
      <w:r>
        <w:rPr>
          <w:color w:val="231F20"/>
          <w:sz w:val="24"/>
        </w:rPr>
        <w:t>of employment from 1996 onwards was revised up—by nearly 1% in 1997 Q1—and, correspondingly, productivity was revised down. But unit wage costs (total wages divided by output) were not affected, because total wages are estimated from Inland Revenue statistics that do not rely on employment data. The estimated </w:t>
      </w:r>
      <w:r>
        <w:rPr>
          <w:color w:val="231F20"/>
          <w:spacing w:val="-3"/>
          <w:sz w:val="24"/>
        </w:rPr>
        <w:t>level </w:t>
      </w:r>
      <w:r>
        <w:rPr>
          <w:color w:val="231F20"/>
          <w:sz w:val="24"/>
        </w:rPr>
        <w:t>of GDP has not yet been revised to reflect the employment revisions. The likely effect is unclear. Output is estimated by employment in some sectors of the </w:t>
      </w:r>
      <w:r>
        <w:rPr>
          <w:color w:val="231F20"/>
          <w:spacing w:val="-3"/>
          <w:sz w:val="24"/>
        </w:rPr>
        <w:t>economy, </w:t>
      </w:r>
      <w:r>
        <w:rPr>
          <w:color w:val="231F20"/>
          <w:sz w:val="24"/>
        </w:rPr>
        <w:t>where it is hard to measure output directly. So the output measure of GDP may be revised up a little. But the income measure of GDP may not be affected, because the Inland Revenue data used </w:t>
      </w:r>
      <w:r>
        <w:rPr>
          <w:color w:val="231F20"/>
          <w:spacing w:val="-8"/>
          <w:sz w:val="24"/>
        </w:rPr>
        <w:t>by </w:t>
      </w:r>
      <w:r>
        <w:rPr>
          <w:color w:val="231F20"/>
          <w:sz w:val="24"/>
        </w:rPr>
        <w:t>this measure </w:t>
      </w:r>
      <w:r>
        <w:rPr>
          <w:color w:val="231F20"/>
          <w:spacing w:val="-3"/>
          <w:sz w:val="24"/>
        </w:rPr>
        <w:t>have </w:t>
      </w:r>
      <w:r>
        <w:rPr>
          <w:color w:val="231F20"/>
          <w:sz w:val="24"/>
        </w:rPr>
        <w:t>not been</w:t>
      </w:r>
      <w:r>
        <w:rPr>
          <w:color w:val="231F20"/>
          <w:spacing w:val="2"/>
          <w:sz w:val="24"/>
        </w:rPr>
        <w:t> </w:t>
      </w:r>
      <w:r>
        <w:rPr>
          <w:color w:val="231F20"/>
          <w:sz w:val="24"/>
        </w:rPr>
        <w:t>revised.</w:t>
      </w:r>
    </w:p>
    <w:p>
      <w:pPr>
        <w:pStyle w:val="BodyText"/>
        <w:spacing w:before="2"/>
        <w:rPr>
          <w:sz w:val="30"/>
        </w:rPr>
      </w:pPr>
    </w:p>
    <w:p>
      <w:pPr>
        <w:spacing w:line="242" w:lineRule="auto" w:before="1"/>
        <w:ind w:left="157" w:right="278" w:hanging="1"/>
        <w:jc w:val="left"/>
        <w:rPr>
          <w:sz w:val="24"/>
        </w:rPr>
      </w:pPr>
      <w:r>
        <w:rPr>
          <w:color w:val="231F20"/>
          <w:sz w:val="24"/>
        </w:rPr>
        <w:t>According to survey evidence, employment is likely to continue rising. The British Chambers of Commerce and the Manpower Surveys cover both manufacturing and services; the CBI Survey covers only manufacturing. Table 4.C shows recent results of these</w:t>
      </w:r>
    </w:p>
    <w:p>
      <w:pPr>
        <w:spacing w:after="0" w:line="242" w:lineRule="auto"/>
        <w:jc w:val="left"/>
        <w:rPr>
          <w:sz w:val="24"/>
        </w:rPr>
        <w:sectPr>
          <w:type w:val="continuous"/>
          <w:pgSz w:w="11880" w:h="16840"/>
          <w:pgMar w:top="1040" w:bottom="280" w:left="640" w:right="620"/>
          <w:cols w:num="2" w:equalWidth="0">
            <w:col w:w="4466" w:space="346"/>
            <w:col w:w="5808"/>
          </w:cols>
        </w:sectPr>
      </w:pPr>
    </w:p>
    <w:p>
      <w:pPr>
        <w:pStyle w:val="BodyText"/>
        <w:rPr>
          <w:sz w:val="20"/>
        </w:rPr>
      </w:pPr>
    </w:p>
    <w:p>
      <w:pPr>
        <w:spacing w:after="0"/>
        <w:rPr>
          <w:sz w:val="20"/>
        </w:rPr>
        <w:sectPr>
          <w:pgSz w:w="11880" w:h="16840"/>
          <w:pgMar w:header="566" w:footer="597" w:top="760" w:bottom="780" w:left="640" w:right="620"/>
        </w:sectPr>
      </w:pPr>
    </w:p>
    <w:p>
      <w:pPr>
        <w:pStyle w:val="BodyText"/>
        <w:spacing w:before="6"/>
        <w:rPr>
          <w:sz w:val="20"/>
        </w:rPr>
      </w:pPr>
    </w:p>
    <w:p>
      <w:pPr>
        <w:pStyle w:val="Heading9"/>
        <w:spacing w:before="0"/>
      </w:pPr>
      <w:r>
        <w:rPr>
          <w:color w:val="0093C1"/>
        </w:rPr>
        <w:t>Chart 4.6</w:t>
      </w:r>
    </w:p>
    <w:p>
      <w:pPr>
        <w:spacing w:line="249" w:lineRule="auto" w:before="10"/>
        <w:ind w:left="180" w:right="20" w:firstLine="0"/>
        <w:jc w:val="left"/>
        <w:rPr>
          <w:b/>
          <w:sz w:val="20"/>
        </w:rPr>
      </w:pPr>
      <w:r>
        <w:rPr>
          <w:b/>
          <w:color w:val="0093C1"/>
          <w:sz w:val="20"/>
        </w:rPr>
        <w:t>Two measures of the gap between potential hours on offer and actual hours worked</w:t>
      </w:r>
    </w:p>
    <w:p>
      <w:pPr>
        <w:spacing w:line="242" w:lineRule="auto" w:before="207"/>
        <w:ind w:left="180" w:right="277" w:hanging="1"/>
        <w:jc w:val="both"/>
        <w:rPr>
          <w:sz w:val="24"/>
        </w:rPr>
      </w:pPr>
      <w:r>
        <w:rPr/>
        <w:br w:type="column"/>
      </w:r>
      <w:r>
        <w:rPr>
          <w:color w:val="231F20"/>
          <w:sz w:val="24"/>
        </w:rPr>
        <w:t>surveys. The balances in the service sector, which were already high a year ago, are generally even higher now, suggesting that the demand for labour there is rising</w:t>
      </w:r>
    </w:p>
    <w:p>
      <w:pPr>
        <w:spacing w:after="0" w:line="242" w:lineRule="auto"/>
        <w:jc w:val="both"/>
        <w:rPr>
          <w:sz w:val="24"/>
        </w:rPr>
        <w:sectPr>
          <w:type w:val="continuous"/>
          <w:pgSz w:w="11880" w:h="16840"/>
          <w:pgMar w:top="1040" w:bottom="280" w:left="640" w:right="620"/>
          <w:cols w:num="2" w:equalWidth="0">
            <w:col w:w="3898" w:space="902"/>
            <w:col w:w="5820"/>
          </w:cols>
        </w:sectPr>
      </w:pPr>
    </w:p>
    <w:p>
      <w:pPr>
        <w:spacing w:line="172" w:lineRule="auto" w:before="49"/>
        <w:ind w:left="270" w:right="21" w:firstLine="179"/>
        <w:jc w:val="left"/>
        <w:rPr>
          <w:sz w:val="12"/>
        </w:rPr>
      </w:pPr>
      <w:r>
        <w:rPr/>
        <w:pict>
          <v:line style="position:absolute;mso-position-horizontal-relative:page;mso-position-vertical-relative:paragraph;z-index:15980032" from="59pt,13.981111pt" to="55pt,13.981111pt" stroked="true" strokeweight=".5pt" strokecolor="#000000">
            <v:stroke dashstyle="solid"/>
            <w10:wrap type="none"/>
          </v:line>
        </w:pict>
      </w:r>
      <w:r>
        <w:rPr>
          <w:sz w:val="12"/>
        </w:rPr>
        <w:t>Millions of hours per week </w:t>
      </w:r>
      <w:r>
        <w:rPr>
          <w:position w:val="-5"/>
          <w:sz w:val="12"/>
        </w:rPr>
        <w:t>75 </w:t>
      </w:r>
      <w:r>
        <w:rPr>
          <w:sz w:val="12"/>
        </w:rPr>
        <w:t>(scale inverted)</w:t>
      </w:r>
    </w:p>
    <w:p>
      <w:pPr>
        <w:pStyle w:val="BodyText"/>
        <w:spacing w:before="9"/>
        <w:rPr>
          <w:sz w:val="14"/>
        </w:rPr>
      </w:pPr>
    </w:p>
    <w:p>
      <w:pPr>
        <w:spacing w:before="0"/>
        <w:ind w:left="270" w:right="0" w:firstLine="0"/>
        <w:jc w:val="left"/>
        <w:rPr>
          <w:sz w:val="12"/>
        </w:rPr>
      </w:pPr>
      <w:r>
        <w:rPr/>
        <w:pict>
          <v:group style="position:absolute;margin-left:55pt;margin-top:-2.398438pt;width:165pt;height:143.75pt;mso-position-horizontal-relative:page;mso-position-vertical-relative:paragraph;z-index:-20759040" coordorigin="1100,-48" coordsize="3300,2875">
            <v:shape style="position:absolute;left:1100;top:402;width:3300;height:2420" coordorigin="1100,402" coordsize="3300,2420" path="m4100,2822l4100,2722m4100,2822l4100,2722m3520,2822l3520,2722m3520,2822l3520,2722m2940,2822l2940,2722m2940,2822l2940,2722m2380,2822l2380,2722m2380,2822l2380,2722m1800,2822l1800,2722m1800,2822l1800,2722m1220,2822l1220,2722m1220,2822l1220,2722m1180,2822l1100,2822m4300,2822l4400,2822m1220,2822l4240,2822m1365,2822l1365,2782m1510,2822l1510,2782m1655,2822l1655,2782m1945,2822l1945,2782m2090,2822l2090,2782m2235,2822l2235,2782m2520,2822l2520,2782m2660,2822l2660,2782m2800,2822l2800,2782m3085,2822l3085,2782m3230,2822l3230,2782m3375,2822l3375,2782m3665,2822l3665,2782m3810,2822l3810,2782m3955,2822l3955,2782m4240,2822l4240,2782m1220,2822l4240,2822m1365,2822l1365,2782m1510,2822l1510,2782m1655,2822l1655,2782m1945,2822l1945,2782m2090,2822l2090,2782m2235,2822l2235,2782m2520,2822l2520,2782m2660,2822l2660,2782m2800,2822l2800,2782m3085,2822l3085,2782m3230,2822l3230,2782m3375,2822l3375,2782m3665,2822l3665,2782m3810,2822l3810,2782m3955,2822l3955,2782m4240,2822l4240,2782m1180,2522l1100,2522m1180,2222l1100,2222m1180,1922l1100,1922m1180,1622l1100,1622m1180,1302l1100,1302m1180,1022l1100,1022m1180,702l1100,702m1180,402l1100,402e" filled="false" stroked="true" strokeweight=".5pt" strokecolor="#000000">
              <v:path arrowok="t"/>
              <v:stroke dashstyle="solid"/>
            </v:shape>
            <v:line style="position:absolute" from="3760,2362" to="3760,1582" stroked="true" strokeweight=".5pt" strokecolor="#000000">
              <v:stroke dashstyle="solid"/>
            </v:line>
            <v:shape style="position:absolute;left:3734;top:1514;width:51;height:85" coordorigin="3735,1514" coordsize="51,85" path="m3760,1514l3735,1599,3785,1599,3764,1534,3761,1523,3760,1514xe" filled="true" fillcolor="#000000" stroked="false">
              <v:path arrowok="t"/>
              <v:fill type="solid"/>
            </v:shape>
            <v:shape style="position:absolute;left:1240;top:402;width:2720;height:2200" coordorigin="1240,402" coordsize="2720,2200" path="m1240,2602l1380,1662,1520,2122,1660,2462,1800,2422,1960,2402,2100,2322,2240,1962,2380,1702,2520,1742,2660,1082,2800,862,2960,782,3100,902,3240,882,3380,982,3520,802,3680,462,3820,402,3960,682e" filled="false" stroked="true" strokeweight="1pt" strokecolor="#faab54">
              <v:path arrowok="t"/>
              <v:stroke dashstyle="solid"/>
            </v:shape>
            <v:shape style="position:absolute;left:4300;top:182;width:100;height:380" coordorigin="4300,182" coordsize="100,380" path="m4300,562l4400,562m4300,182l4400,182e" filled="false" stroked="true" strokeweight=".5pt" strokecolor="#000000">
              <v:path arrowok="t"/>
              <v:stroke dashstyle="solid"/>
            </v:shape>
            <v:shape style="position:absolute;left:3960;top:-38;width:280;height:720" coordorigin="3960,-38" coordsize="280,720" path="m3960,682l4100,182,4240,-38e" filled="false" stroked="true" strokeweight="1pt" strokecolor="#faab54">
              <v:path arrowok="t"/>
              <v:stroke dashstyle="solid"/>
            </v:shape>
            <v:shape style="position:absolute;left:1240;top:462;width:2720;height:2180" coordorigin="1240,462" coordsize="2720,2180" path="m1240,2142l1380,902,1520,1342,1660,1922,1800,2542,1960,2642,2100,2502,2240,2422,2380,1962,2520,1862,2660,1082,2800,1102,2960,642,3100,802,3240,622,3380,1022,3520,1022,3680,622,3820,462,3960,1142e" filled="false" stroked="true" strokeweight="1pt" strokecolor="#ac6e90">
              <v:path arrowok="t"/>
              <v:stroke dashstyle="solid"/>
            </v:shape>
            <v:line style="position:absolute" from="4300,942" to="4400,942" stroked="true" strokeweight=".5pt" strokecolor="#000000">
              <v:stroke dashstyle="solid"/>
            </v:line>
            <v:shape style="position:absolute;left:3960;top:62;width:280;height:1080" coordorigin="3960,62" coordsize="280,1080" path="m3960,1142l4100,402,4240,62e" filled="false" stroked="true" strokeweight="1pt" strokecolor="#ac6e90">
              <v:path arrowok="t"/>
              <v:stroke dashstyle="solid"/>
            </v:shape>
            <v:shape style="position:absolute;left:1523;top:1105;width:600;height:400" type="#_x0000_t202" filled="false" stroked="false">
              <v:textbox inset="0,0,0,0">
                <w:txbxContent>
                  <w:p>
                    <w:pPr>
                      <w:spacing w:line="131" w:lineRule="exact" w:before="0"/>
                      <w:ind w:left="0" w:right="0" w:firstLine="0"/>
                      <w:jc w:val="left"/>
                      <w:rPr>
                        <w:sz w:val="12"/>
                      </w:rPr>
                    </w:pPr>
                    <w:r>
                      <w:rPr>
                        <w:sz w:val="12"/>
                      </w:rPr>
                      <w:t>(b)</w:t>
                    </w:r>
                  </w:p>
                  <w:p>
                    <w:pPr>
                      <w:spacing w:line="232" w:lineRule="auto" w:before="1"/>
                      <w:ind w:left="93" w:right="1" w:hanging="54"/>
                      <w:jc w:val="left"/>
                      <w:rPr>
                        <w:sz w:val="12"/>
                      </w:rPr>
                    </w:pPr>
                    <w:r>
                      <w:rPr>
                        <w:sz w:val="12"/>
                      </w:rPr>
                      <w:t>(right-hand scale)</w:t>
                    </w:r>
                  </w:p>
                </w:txbxContent>
              </v:textbox>
              <w10:wrap type="none"/>
            </v:shape>
            <v:shape style="position:absolute;left:2970;top:905;width:803;height:273" type="#_x0000_t202" filled="false" stroked="false">
              <v:textbox inset="0,0,0,0">
                <w:txbxContent>
                  <w:p>
                    <w:pPr>
                      <w:spacing w:line="133" w:lineRule="exact" w:before="0"/>
                      <w:ind w:left="0" w:right="0" w:firstLine="0"/>
                      <w:jc w:val="left"/>
                      <w:rPr>
                        <w:sz w:val="12"/>
                      </w:rPr>
                    </w:pPr>
                    <w:r>
                      <w:rPr>
                        <w:sz w:val="12"/>
                      </w:rPr>
                      <w:t>(a)</w:t>
                    </w:r>
                  </w:p>
                  <w:p>
                    <w:pPr>
                      <w:spacing w:before="2"/>
                      <w:ind w:left="0" w:right="0" w:firstLine="0"/>
                      <w:jc w:val="left"/>
                      <w:rPr>
                        <w:sz w:val="12"/>
                      </w:rPr>
                    </w:pPr>
                    <w:r>
                      <w:rPr>
                        <w:sz w:val="12"/>
                      </w:rPr>
                      <w:t>(left-hand scale)</w:t>
                    </w:r>
                  </w:p>
                </w:txbxContent>
              </v:textbox>
              <w10:wrap type="none"/>
            </v:shape>
            <v:shape style="position:absolute;left:3410;top:2345;width:730;height:233" type="#_x0000_t202" filled="false" stroked="false">
              <v:textbox inset="0,0,0,0">
                <w:txbxContent>
                  <w:p>
                    <w:pPr>
                      <w:spacing w:line="172" w:lineRule="auto" w:before="26"/>
                      <w:ind w:left="80" w:right="1" w:hanging="81"/>
                      <w:jc w:val="left"/>
                      <w:rPr>
                        <w:sz w:val="12"/>
                      </w:rPr>
                    </w:pPr>
                    <w:r>
                      <w:rPr>
                        <w:sz w:val="12"/>
                      </w:rPr>
                      <w:t>Labour market tightening</w:t>
                    </w:r>
                  </w:p>
                </w:txbxContent>
              </v:textbox>
              <w10:wrap type="none"/>
            </v:shape>
            <w10:wrap type="none"/>
          </v:group>
        </w:pict>
      </w:r>
      <w:r>
        <w:rPr/>
        <w:pict>
          <v:line style="position:absolute;mso-position-horizontal-relative:page;mso-position-vertical-relative:paragraph;z-index:15979520" from="59pt,5.101563pt" to="55pt,5.101563pt" stroked="true" strokeweight=".5pt" strokecolor="#000000">
            <v:stroke dashstyle="solid"/>
            <w10:wrap type="none"/>
          </v:line>
        </w:pict>
      </w:r>
      <w:r>
        <w:rPr>
          <w:sz w:val="12"/>
        </w:rPr>
        <w:t>80</w:t>
      </w:r>
    </w:p>
    <w:p>
      <w:pPr>
        <w:pStyle w:val="BodyText"/>
        <w:spacing w:before="1"/>
        <w:rPr>
          <w:sz w:val="14"/>
        </w:rPr>
      </w:pPr>
    </w:p>
    <w:p>
      <w:pPr>
        <w:spacing w:before="0"/>
        <w:ind w:left="270" w:right="0" w:firstLine="0"/>
        <w:jc w:val="left"/>
        <w:rPr>
          <w:sz w:val="12"/>
        </w:rPr>
      </w:pPr>
      <w:r>
        <w:rPr>
          <w:sz w:val="12"/>
        </w:rPr>
        <w:t>85</w:t>
      </w:r>
    </w:p>
    <w:p>
      <w:pPr>
        <w:pStyle w:val="BodyText"/>
        <w:spacing w:before="1"/>
        <w:rPr>
          <w:sz w:val="14"/>
        </w:rPr>
      </w:pPr>
    </w:p>
    <w:p>
      <w:pPr>
        <w:spacing w:before="0"/>
        <w:ind w:left="270" w:right="0" w:firstLine="0"/>
        <w:jc w:val="left"/>
        <w:rPr>
          <w:sz w:val="12"/>
        </w:rPr>
      </w:pPr>
      <w:r>
        <w:rPr>
          <w:sz w:val="12"/>
        </w:rPr>
        <w:t>90</w:t>
      </w:r>
    </w:p>
    <w:p>
      <w:pPr>
        <w:pStyle w:val="BodyText"/>
        <w:spacing w:before="10"/>
        <w:rPr>
          <w:sz w:val="15"/>
        </w:rPr>
      </w:pPr>
    </w:p>
    <w:p>
      <w:pPr>
        <w:spacing w:before="0"/>
        <w:ind w:left="270" w:right="0" w:firstLine="0"/>
        <w:jc w:val="left"/>
        <w:rPr>
          <w:sz w:val="12"/>
        </w:rPr>
      </w:pPr>
      <w:r>
        <w:rPr>
          <w:sz w:val="12"/>
        </w:rPr>
        <w:t>95</w:t>
      </w:r>
    </w:p>
    <w:p>
      <w:pPr>
        <w:pStyle w:val="BodyText"/>
        <w:spacing w:before="4"/>
        <w:rPr>
          <w:sz w:val="12"/>
        </w:rPr>
      </w:pPr>
    </w:p>
    <w:p>
      <w:pPr>
        <w:spacing w:before="0"/>
        <w:ind w:left="210" w:right="0" w:firstLine="0"/>
        <w:jc w:val="left"/>
        <w:rPr>
          <w:sz w:val="12"/>
        </w:rPr>
      </w:pPr>
      <w:r>
        <w:rPr>
          <w:sz w:val="12"/>
        </w:rPr>
        <w:t>100</w:t>
      </w:r>
    </w:p>
    <w:p>
      <w:pPr>
        <w:pStyle w:val="BodyText"/>
        <w:spacing w:before="9"/>
        <w:rPr>
          <w:sz w:val="15"/>
        </w:rPr>
      </w:pPr>
    </w:p>
    <w:p>
      <w:pPr>
        <w:spacing w:before="1"/>
        <w:ind w:left="210" w:right="0" w:firstLine="0"/>
        <w:jc w:val="left"/>
        <w:rPr>
          <w:sz w:val="12"/>
        </w:rPr>
      </w:pPr>
      <w:r>
        <w:rPr>
          <w:sz w:val="12"/>
        </w:rPr>
        <w:t>105</w:t>
      </w:r>
    </w:p>
    <w:p>
      <w:pPr>
        <w:pStyle w:val="BodyText"/>
        <w:rPr>
          <w:sz w:val="14"/>
        </w:rPr>
      </w:pPr>
    </w:p>
    <w:p>
      <w:pPr>
        <w:spacing w:before="1"/>
        <w:ind w:left="210" w:right="0" w:firstLine="0"/>
        <w:jc w:val="left"/>
        <w:rPr>
          <w:sz w:val="12"/>
        </w:rPr>
      </w:pPr>
      <w:r>
        <w:rPr>
          <w:sz w:val="12"/>
        </w:rPr>
        <w:t>110</w:t>
      </w:r>
    </w:p>
    <w:p>
      <w:pPr>
        <w:pStyle w:val="BodyText"/>
        <w:rPr>
          <w:sz w:val="14"/>
        </w:rPr>
      </w:pPr>
    </w:p>
    <w:p>
      <w:pPr>
        <w:spacing w:before="1"/>
        <w:ind w:left="210" w:right="0" w:firstLine="0"/>
        <w:jc w:val="left"/>
        <w:rPr>
          <w:sz w:val="12"/>
        </w:rPr>
      </w:pPr>
      <w:r>
        <w:rPr>
          <w:sz w:val="12"/>
        </w:rPr>
        <w:t>115</w:t>
      </w:r>
    </w:p>
    <w:p>
      <w:pPr>
        <w:pStyle w:val="BodyText"/>
        <w:rPr>
          <w:sz w:val="14"/>
        </w:rPr>
      </w:pPr>
    </w:p>
    <w:p>
      <w:pPr>
        <w:spacing w:before="1"/>
        <w:ind w:left="210" w:right="0" w:firstLine="0"/>
        <w:jc w:val="left"/>
        <w:rPr>
          <w:sz w:val="12"/>
        </w:rPr>
      </w:pPr>
      <w:r>
        <w:rPr>
          <w:sz w:val="12"/>
        </w:rPr>
        <w:t>120</w:t>
      </w:r>
    </w:p>
    <w:p>
      <w:pPr>
        <w:pStyle w:val="BodyText"/>
        <w:rPr>
          <w:sz w:val="14"/>
        </w:rPr>
      </w:pPr>
    </w:p>
    <w:p>
      <w:pPr>
        <w:spacing w:line="118" w:lineRule="exact" w:before="1"/>
        <w:ind w:left="210" w:right="0" w:firstLine="0"/>
        <w:jc w:val="left"/>
        <w:rPr>
          <w:sz w:val="12"/>
        </w:rPr>
      </w:pPr>
      <w:r>
        <w:rPr>
          <w:sz w:val="12"/>
        </w:rPr>
        <w:t>125</w:t>
      </w:r>
    </w:p>
    <w:p>
      <w:pPr>
        <w:spacing w:line="172" w:lineRule="auto" w:before="49"/>
        <w:ind w:left="210" w:right="-20" w:firstLine="0"/>
        <w:jc w:val="left"/>
        <w:rPr>
          <w:sz w:val="12"/>
        </w:rPr>
      </w:pPr>
      <w:r>
        <w:rPr/>
        <w:br w:type="column"/>
      </w:r>
      <w:r>
        <w:rPr>
          <w:sz w:val="12"/>
        </w:rPr>
        <w:t>Millions of hours per week (scale inverted)</w:t>
      </w:r>
    </w:p>
    <w:p>
      <w:pPr>
        <w:pStyle w:val="BodyText"/>
        <w:spacing w:before="4"/>
        <w:rPr>
          <w:sz w:val="2"/>
        </w:rPr>
      </w:pPr>
    </w:p>
    <w:p>
      <w:pPr>
        <w:pStyle w:val="BodyText"/>
        <w:spacing w:line="20" w:lineRule="exact"/>
        <w:ind w:left="1388" w:right="-58"/>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r>
        <w:rPr/>
        <w:pict>
          <v:shape style="position:absolute;margin-left:215pt;margin-top:16.789883pt;width:5pt;height:.1pt;mso-position-horizontal-relative:page;mso-position-vertical-relative:paragraph;z-index:-15482368;mso-wrap-distance-left:0;mso-wrap-distance-right:0" coordorigin="4300,336" coordsize="100,0" path="m4300,336l4400,336e" filled="false" stroked="true" strokeweight=".5pt" strokecolor="#000000">
            <v:path arrowok="t"/>
            <v:stroke dashstyle="solid"/>
            <w10:wrap type="topAndBottom"/>
          </v:shape>
        </w:pict>
      </w:r>
      <w:r>
        <w:rPr/>
        <w:pict>
          <v:shape style="position:absolute;margin-left:215pt;margin-top:36.789883pt;width:5pt;height:.1pt;mso-position-horizontal-relative:page;mso-position-vertical-relative:paragraph;z-index:-15481856;mso-wrap-distance-left:0;mso-wrap-distance-right:0" coordorigin="4300,736" coordsize="100,0" path="m4300,736l4400,736e" filled="false" stroked="true" strokeweight=".5pt" strokecolor="#000000">
            <v:path arrowok="t"/>
            <v:stroke dashstyle="solid"/>
            <w10:wrap type="topAndBottom"/>
          </v:shape>
        </w:pict>
      </w:r>
      <w:r>
        <w:rPr/>
        <w:pict>
          <v:shape style="position:absolute;margin-left:215pt;margin-top:54.789883pt;width:5pt;height:.1pt;mso-position-horizontal-relative:page;mso-position-vertical-relative:paragraph;z-index:-15481344;mso-wrap-distance-left:0;mso-wrap-distance-right:0" coordorigin="4300,1096" coordsize="100,0" path="m4300,1096l4400,1096e" filled="false" stroked="true" strokeweight=".5pt" strokecolor="#000000">
            <v:path arrowok="t"/>
            <v:stroke dashstyle="solid"/>
            <w10:wrap type="topAndBottom"/>
          </v:shape>
        </w:pict>
      </w:r>
      <w:r>
        <w:rPr/>
        <w:pict>
          <v:shape style="position:absolute;margin-left:215pt;margin-top:73.789886pt;width:5pt;height:.1pt;mso-position-horizontal-relative:page;mso-position-vertical-relative:paragraph;z-index:-15480832;mso-wrap-distance-left:0;mso-wrap-distance-right:0" coordorigin="4300,1476" coordsize="100,0" path="m4300,1476l4400,1476e" filled="false" stroked="true" strokeweight=".5pt" strokecolor="#000000">
            <v:path arrowok="t"/>
            <v:stroke dashstyle="solid"/>
            <w10:wrap type="topAndBottom"/>
          </v:shape>
        </w:pict>
      </w:r>
    </w:p>
    <w:p>
      <w:pPr>
        <w:pStyle w:val="BodyText"/>
        <w:rPr>
          <w:sz w:val="28"/>
        </w:rPr>
      </w:pPr>
    </w:p>
    <w:p>
      <w:pPr>
        <w:pStyle w:val="BodyText"/>
        <w:spacing w:before="6"/>
        <w:rPr>
          <w:sz w:val="24"/>
        </w:rPr>
      </w:pPr>
    </w:p>
    <w:p>
      <w:pPr>
        <w:pStyle w:val="BodyText"/>
        <w:spacing w:before="3"/>
        <w:rPr>
          <w:sz w:val="26"/>
        </w:rPr>
      </w:pPr>
    </w:p>
    <w:p>
      <w:pPr>
        <w:pStyle w:val="BodyText"/>
        <w:spacing w:before="2"/>
        <w:rPr>
          <w:sz w:val="17"/>
        </w:rPr>
      </w:pPr>
      <w:r>
        <w:rPr/>
        <w:br w:type="column"/>
      </w:r>
      <w:r>
        <w:rPr>
          <w:sz w:val="17"/>
        </w:rPr>
      </w:r>
    </w:p>
    <w:p>
      <w:pPr>
        <w:spacing w:before="1"/>
        <w:ind w:left="-7" w:right="0" w:firstLine="0"/>
        <w:jc w:val="left"/>
        <w:rPr>
          <w:sz w:val="12"/>
        </w:rPr>
      </w:pPr>
      <w:r>
        <w:rPr>
          <w:sz w:val="12"/>
        </w:rPr>
        <w:t>155</w:t>
      </w:r>
    </w:p>
    <w:p>
      <w:pPr>
        <w:pStyle w:val="BodyText"/>
        <w:rPr>
          <w:sz w:val="12"/>
        </w:rPr>
      </w:pPr>
    </w:p>
    <w:p>
      <w:pPr>
        <w:spacing w:before="104"/>
        <w:ind w:left="-7" w:right="0" w:firstLine="0"/>
        <w:jc w:val="left"/>
        <w:rPr>
          <w:sz w:val="12"/>
        </w:rPr>
      </w:pPr>
      <w:r>
        <w:rPr>
          <w:sz w:val="12"/>
        </w:rPr>
        <w:t>160</w:t>
      </w:r>
    </w:p>
    <w:p>
      <w:pPr>
        <w:pStyle w:val="BodyText"/>
        <w:rPr>
          <w:sz w:val="12"/>
        </w:rPr>
      </w:pPr>
    </w:p>
    <w:p>
      <w:pPr>
        <w:spacing w:before="104"/>
        <w:ind w:left="-7" w:right="0" w:firstLine="0"/>
        <w:jc w:val="left"/>
        <w:rPr>
          <w:sz w:val="12"/>
        </w:rPr>
      </w:pPr>
      <w:r>
        <w:rPr>
          <w:sz w:val="12"/>
        </w:rPr>
        <w:t>165</w:t>
      </w:r>
    </w:p>
    <w:p>
      <w:pPr>
        <w:pStyle w:val="BodyText"/>
        <w:rPr>
          <w:sz w:val="12"/>
        </w:rPr>
      </w:pPr>
    </w:p>
    <w:p>
      <w:pPr>
        <w:spacing w:before="104"/>
        <w:ind w:left="-7" w:right="0" w:firstLine="0"/>
        <w:jc w:val="left"/>
        <w:rPr>
          <w:sz w:val="12"/>
        </w:rPr>
      </w:pPr>
      <w:r>
        <w:rPr>
          <w:sz w:val="12"/>
        </w:rPr>
        <w:t>170</w:t>
      </w:r>
    </w:p>
    <w:p>
      <w:pPr>
        <w:pStyle w:val="BodyText"/>
        <w:rPr>
          <w:sz w:val="12"/>
        </w:rPr>
      </w:pPr>
    </w:p>
    <w:p>
      <w:pPr>
        <w:spacing w:before="84"/>
        <w:ind w:left="-7" w:right="0" w:firstLine="0"/>
        <w:jc w:val="left"/>
        <w:rPr>
          <w:sz w:val="12"/>
        </w:rPr>
      </w:pPr>
      <w:r>
        <w:rPr>
          <w:sz w:val="12"/>
        </w:rPr>
        <w:t>175</w:t>
      </w:r>
    </w:p>
    <w:p>
      <w:pPr>
        <w:pStyle w:val="BodyText"/>
        <w:rPr>
          <w:sz w:val="12"/>
        </w:rPr>
      </w:pPr>
    </w:p>
    <w:p>
      <w:pPr>
        <w:spacing w:before="104"/>
        <w:ind w:left="-7" w:right="0" w:firstLine="0"/>
        <w:jc w:val="left"/>
        <w:rPr>
          <w:sz w:val="12"/>
        </w:rPr>
      </w:pPr>
      <w:r>
        <w:rPr>
          <w:sz w:val="12"/>
        </w:rPr>
        <w:t>180</w:t>
      </w:r>
    </w:p>
    <w:p>
      <w:pPr>
        <w:pStyle w:val="BodyText"/>
        <w:rPr>
          <w:sz w:val="12"/>
        </w:rPr>
      </w:pPr>
    </w:p>
    <w:p>
      <w:pPr>
        <w:spacing w:before="104"/>
        <w:ind w:left="-7" w:right="0" w:firstLine="0"/>
        <w:jc w:val="left"/>
        <w:rPr>
          <w:sz w:val="12"/>
        </w:rPr>
      </w:pPr>
      <w:r>
        <w:rPr>
          <w:sz w:val="12"/>
        </w:rPr>
        <w:t>185</w:t>
      </w:r>
    </w:p>
    <w:p>
      <w:pPr>
        <w:pStyle w:val="BodyText"/>
        <w:rPr>
          <w:sz w:val="12"/>
        </w:rPr>
      </w:pPr>
    </w:p>
    <w:p>
      <w:pPr>
        <w:spacing w:before="104"/>
        <w:ind w:left="-7" w:right="0" w:firstLine="0"/>
        <w:jc w:val="left"/>
        <w:rPr>
          <w:sz w:val="12"/>
        </w:rPr>
      </w:pPr>
      <w:r>
        <w:rPr>
          <w:sz w:val="12"/>
        </w:rPr>
        <w:t>190</w:t>
      </w:r>
    </w:p>
    <w:p>
      <w:pPr>
        <w:pStyle w:val="BodyText"/>
        <w:rPr>
          <w:sz w:val="12"/>
        </w:rPr>
      </w:pPr>
    </w:p>
    <w:p>
      <w:pPr>
        <w:spacing w:line="98" w:lineRule="exact" w:before="104"/>
        <w:ind w:left="-7" w:right="0" w:firstLine="0"/>
        <w:jc w:val="left"/>
        <w:rPr>
          <w:sz w:val="12"/>
        </w:rPr>
      </w:pPr>
      <w:r>
        <w:rPr>
          <w:sz w:val="12"/>
        </w:rPr>
        <w:t>195</w:t>
      </w:r>
    </w:p>
    <w:p>
      <w:pPr>
        <w:pStyle w:val="Heading5"/>
        <w:spacing w:line="242" w:lineRule="auto" w:before="4"/>
        <w:ind w:left="210" w:right="2"/>
      </w:pPr>
      <w:r>
        <w:rPr/>
        <w:br w:type="column"/>
      </w:r>
      <w:r>
        <w:rPr>
          <w:color w:val="231F20"/>
        </w:rPr>
        <w:t>more quickly than last year. But there is a conflict of evidence about demand for labour in the manufacturing sector.</w:t>
      </w:r>
    </w:p>
    <w:p>
      <w:pPr>
        <w:pStyle w:val="BodyText"/>
        <w:spacing w:before="8"/>
        <w:rPr>
          <w:sz w:val="24"/>
        </w:rPr>
      </w:pPr>
    </w:p>
    <w:p>
      <w:pPr>
        <w:spacing w:line="242" w:lineRule="auto" w:before="0"/>
        <w:ind w:left="210" w:right="449" w:firstLine="0"/>
        <w:jc w:val="left"/>
        <w:rPr>
          <w:sz w:val="24"/>
        </w:rPr>
      </w:pPr>
      <w:r>
        <w:rPr>
          <w:color w:val="231F20"/>
          <w:sz w:val="24"/>
        </w:rPr>
        <w:t>Total hours worked per week are a better measure than employment of labour usage, since they reflect changes in overtime and in the balance between</w:t>
      </w:r>
    </w:p>
    <w:p>
      <w:pPr>
        <w:spacing w:line="242" w:lineRule="auto" w:before="4"/>
        <w:ind w:left="210" w:right="2" w:hanging="1"/>
        <w:jc w:val="left"/>
        <w:rPr>
          <w:sz w:val="24"/>
        </w:rPr>
      </w:pPr>
      <w:r>
        <w:rPr>
          <w:color w:val="231F20"/>
          <w:sz w:val="24"/>
        </w:rPr>
        <w:t>full-time and part-time workers. Labour usage measured by total hours worked rose by 0.6% in summer 1997, according to the LFS, more than the increase of 0.3% in total employment. The potential hours on offer include extra hours from part-time workers who would be</w:t>
      </w:r>
    </w:p>
    <w:p>
      <w:pPr>
        <w:spacing w:after="0" w:line="242" w:lineRule="auto"/>
        <w:jc w:val="left"/>
        <w:rPr>
          <w:sz w:val="24"/>
        </w:rPr>
        <w:sectPr>
          <w:type w:val="continuous"/>
          <w:pgSz w:w="11880" w:h="16840"/>
          <w:pgMar w:top="1040" w:bottom="280" w:left="640" w:right="620"/>
          <w:cols w:num="4" w:equalWidth="0">
            <w:col w:w="1790" w:space="476"/>
            <w:col w:w="1510" w:space="40"/>
            <w:col w:w="214" w:space="740"/>
            <w:col w:w="5850"/>
          </w:cols>
        </w:sectPr>
      </w:pPr>
    </w:p>
    <w:p>
      <w:pPr>
        <w:tabs>
          <w:tab w:pos="1396" w:val="left" w:leader="none"/>
          <w:tab w:pos="1956" w:val="left" w:leader="none"/>
          <w:tab w:pos="2536" w:val="left" w:leader="none"/>
          <w:tab w:pos="3116" w:val="left" w:leader="none"/>
          <w:tab w:pos="3476" w:val="left" w:leader="none"/>
        </w:tabs>
        <w:spacing w:line="17" w:lineRule="exact" w:before="0"/>
        <w:ind w:left="716" w:right="0" w:firstLine="0"/>
        <w:jc w:val="left"/>
        <w:rPr>
          <w:sz w:val="12"/>
        </w:rPr>
      </w:pPr>
      <w:r>
        <w:rPr>
          <w:sz w:val="12"/>
        </w:rPr>
        <w:t>1992</w:t>
        <w:tab/>
        <w:t>93</w:t>
        <w:tab/>
        <w:t>94</w:t>
        <w:tab/>
        <w:t>95</w:t>
        <w:tab/>
        <w:t>96</w:t>
        <w:tab/>
        <w:t>97</w:t>
      </w:r>
    </w:p>
    <w:p>
      <w:pPr>
        <w:spacing w:after="0" w:line="17" w:lineRule="exact"/>
        <w:jc w:val="left"/>
        <w:rPr>
          <w:sz w:val="12"/>
        </w:rPr>
        <w:sectPr>
          <w:type w:val="continuous"/>
          <w:pgSz w:w="11880" w:h="16840"/>
          <w:pgMar w:top="1040" w:bottom="280" w:left="640" w:right="620"/>
        </w:sectPr>
      </w:pPr>
    </w:p>
    <w:p>
      <w:pPr>
        <w:pStyle w:val="BodyText"/>
        <w:spacing w:before="7"/>
        <w:rPr>
          <w:sz w:val="13"/>
        </w:rPr>
      </w:pPr>
    </w:p>
    <w:p>
      <w:pPr>
        <w:spacing w:before="0"/>
        <w:ind w:left="190" w:right="0" w:firstLine="0"/>
        <w:jc w:val="left"/>
        <w:rPr>
          <w:sz w:val="12"/>
        </w:rPr>
      </w:pPr>
      <w:r>
        <w:rPr>
          <w:color w:val="231F20"/>
          <w:sz w:val="12"/>
        </w:rPr>
        <w:t>Sources: LFS and Bank of England.</w:t>
      </w:r>
    </w:p>
    <w:p>
      <w:pPr>
        <w:pStyle w:val="BodyText"/>
        <w:spacing w:before="1"/>
        <w:rPr>
          <w:sz w:val="10"/>
        </w:rPr>
      </w:pPr>
    </w:p>
    <w:p>
      <w:pPr>
        <w:pStyle w:val="ListParagraph"/>
        <w:numPr>
          <w:ilvl w:val="0"/>
          <w:numId w:val="26"/>
        </w:numPr>
        <w:tabs>
          <w:tab w:pos="430" w:val="left" w:leader="none"/>
        </w:tabs>
        <w:spacing w:line="208" w:lineRule="auto" w:before="1" w:after="0"/>
        <w:ind w:left="429" w:right="38" w:hanging="240"/>
        <w:jc w:val="both"/>
        <w:rPr>
          <w:sz w:val="12"/>
        </w:rPr>
      </w:pPr>
      <w:r>
        <w:rPr>
          <w:color w:val="231F20"/>
          <w:sz w:val="12"/>
        </w:rPr>
        <w:t>Potential hours on offer defined as hours worked plus hours those </w:t>
      </w:r>
      <w:r>
        <w:rPr>
          <w:color w:val="231F20"/>
          <w:spacing w:val="-3"/>
          <w:sz w:val="12"/>
        </w:rPr>
        <w:t>actively </w:t>
      </w:r>
      <w:r>
        <w:rPr>
          <w:color w:val="231F20"/>
          <w:sz w:val="12"/>
        </w:rPr>
        <w:t>seeking employment would like to work, plus additional hours part-timers would like to work.</w:t>
      </w:r>
    </w:p>
    <w:p>
      <w:pPr>
        <w:pStyle w:val="ListParagraph"/>
        <w:numPr>
          <w:ilvl w:val="0"/>
          <w:numId w:val="26"/>
        </w:numPr>
        <w:tabs>
          <w:tab w:pos="430" w:val="left" w:leader="none"/>
        </w:tabs>
        <w:spacing w:line="208" w:lineRule="auto" w:before="0" w:after="0"/>
        <w:ind w:left="429" w:right="38" w:hanging="240"/>
        <w:jc w:val="both"/>
        <w:rPr>
          <w:sz w:val="12"/>
        </w:rPr>
      </w:pPr>
      <w:r>
        <w:rPr>
          <w:color w:val="231F20"/>
          <w:sz w:val="12"/>
        </w:rPr>
        <w:t>Potential hours on offer defined as above, but also including all those </w:t>
      </w:r>
      <w:r>
        <w:rPr>
          <w:color w:val="231F20"/>
          <w:spacing w:val="-5"/>
          <w:sz w:val="12"/>
        </w:rPr>
        <w:t>who </w:t>
      </w:r>
      <w:r>
        <w:rPr>
          <w:color w:val="231F20"/>
          <w:sz w:val="12"/>
        </w:rPr>
        <w:t>say they would like a job.</w:t>
      </w:r>
    </w:p>
    <w:p>
      <w:pPr>
        <w:pStyle w:val="BodyText"/>
        <w:rPr>
          <w:sz w:val="12"/>
        </w:rPr>
      </w:pPr>
    </w:p>
    <w:p>
      <w:pPr>
        <w:pStyle w:val="Heading9"/>
        <w:spacing w:before="78"/>
        <w:ind w:left="200"/>
      </w:pPr>
      <w:r>
        <w:rPr>
          <w:color w:val="0093C1"/>
        </w:rPr>
        <w:t>Chart 4.7</w:t>
      </w:r>
    </w:p>
    <w:p>
      <w:pPr>
        <w:spacing w:before="10"/>
        <w:ind w:left="200" w:right="0" w:firstLine="0"/>
        <w:jc w:val="left"/>
        <w:rPr>
          <w:sz w:val="12"/>
        </w:rPr>
      </w:pPr>
      <w:r>
        <w:rPr>
          <w:b/>
          <w:color w:val="0093C1"/>
          <w:sz w:val="20"/>
        </w:rPr>
        <w:t>Ratio of vacancies to LFS</w:t>
      </w:r>
      <w:r>
        <w:rPr>
          <w:b/>
          <w:color w:val="0093C1"/>
          <w:spacing w:val="-1"/>
          <w:sz w:val="20"/>
        </w:rPr>
        <w:t> </w:t>
      </w:r>
      <w:r>
        <w:rPr>
          <w:b/>
          <w:color w:val="0093C1"/>
          <w:sz w:val="20"/>
        </w:rPr>
        <w:t>unemployment</w:t>
      </w:r>
      <w:r>
        <w:rPr>
          <w:color w:val="231F20"/>
          <w:position w:val="4"/>
          <w:sz w:val="12"/>
        </w:rPr>
        <w:t>(a)</w:t>
      </w:r>
    </w:p>
    <w:p>
      <w:pPr>
        <w:spacing w:before="70"/>
        <w:ind w:left="3154" w:right="0" w:firstLine="0"/>
        <w:jc w:val="left"/>
        <w:rPr>
          <w:sz w:val="12"/>
        </w:rPr>
      </w:pPr>
      <w:r>
        <w:rPr/>
        <w:pict>
          <v:group style="position:absolute;margin-left:44pt;margin-top:17.849548pt;width:165pt;height:115pt;mso-position-horizontal-relative:page;mso-position-vertical-relative:paragraph;z-index:15982592" coordorigin="880,357" coordsize="3300,2300">
            <v:shape style="position:absolute;left:880;top:1727;width:80;height:760" coordorigin="880,1727" coordsize="80,760" path="m960,2487l880,2487m960,2107l880,2107m960,1727l880,1727e" filled="false" stroked="true" strokeweight=".5pt" strokecolor="#000000">
              <v:path arrowok="t"/>
              <v:stroke dashstyle="solid"/>
            </v:shape>
            <v:shape style="position:absolute;left:1020;top:1507;width:2160;height:1140" coordorigin="1020,1507" coordsize="2160,1140" path="m1020,2527l1080,2507,1140,2507,1200,2487,1260,2447,1300,2407,1360,2427,1420,2427,1540,2347,1600,2227,1700,2127,1820,1887,1880,1707,1940,1667,2000,1587,2060,1567,2100,1507m2100,1507l2160,1547,2220,1567,2280,1547,2340,1607,2400,1707,2440,1807,2500,2047,2560,2307,2620,2367,2680,2547,2740,2587,2900,2587,2960,2607,3020,2647,3080,2607,3120,2587,3180,2547e" filled="false" stroked="true" strokeweight="1pt" strokecolor="#0066a5">
              <v:path arrowok="t"/>
              <v:stroke dashstyle="solid"/>
            </v:shape>
            <v:shape style="position:absolute;left:4080;top:1347;width:100;height:1140" coordorigin="4080,1347" coordsize="100,1140" path="m4180,2487l4080,2487m4180,2107l4080,2107m4180,1727l4080,1727m4180,1347l4080,1347e" filled="false" stroked="true" strokeweight=".5pt" strokecolor="#000000">
              <v:path arrowok="t"/>
              <v:stroke dashstyle="solid"/>
            </v:shape>
            <v:shape style="position:absolute;left:3180;top:1387;width:860;height:1160" coordorigin="3180,1387" coordsize="860,1160" path="m3180,2547l3240,2507,3360,2387,3420,2267,3460,2147,3520,2147,3640,2067,3700,2007,3760,2007,3820,1887,3860,1687,3920,1487,3980,1427,4040,1387e" filled="false" stroked="true" strokeweight="1pt" strokecolor="#0066a5">
              <v:path arrowok="t"/>
              <v:stroke dashstyle="solid"/>
            </v:shape>
            <v:shape style="position:absolute;left:880;top:607;width:80;height:740" coordorigin="880,607" coordsize="80,740" path="m960,1347l880,1347m960,987l880,987m960,607l880,607e" filled="false" stroked="true" strokeweight=".5pt" strokecolor="#000000">
              <v:path arrowok="t"/>
              <v:stroke dashstyle="solid"/>
            </v:shape>
            <v:shape style="position:absolute;left:1020;top:467;width:2160;height:1840" coordorigin="1020,467" coordsize="2160,1840" path="m1020,1887l1200,1827,1260,1747,1300,1687,1360,1727,1420,1747,1480,1687,1540,1607,1600,1407,1640,1347,1700,1267,1820,867,1880,607,1940,587,2000,467,2060,507,2100,467m2100,467l2160,587,2220,667,2280,687,2340,827,2400,1007,2440,1207,2500,1567,2560,1947,2620,2027,2680,2267,2740,2307,2780,2287,2900,2207,2960,2227,3020,2267,3080,2147,3120,2107,3180,2027e" filled="false" stroked="true" strokeweight="1pt" strokecolor="#00a995">
              <v:path arrowok="t"/>
              <v:stroke dashstyle="solid"/>
            </v:shape>
            <v:shape style="position:absolute;left:4080;top:607;width:100;height:380" coordorigin="4080,607" coordsize="100,380" path="m4180,987l4080,987m4180,607l4080,607e" filled="false" stroked="true" strokeweight=".5pt" strokecolor="#000000">
              <v:path arrowok="t"/>
              <v:stroke dashstyle="solid"/>
            </v:shape>
            <v:shape style="position:absolute;left:3180;top:367;width:860;height:1660" coordorigin="3180,367" coordsize="860,1660" path="m3180,2027l3300,1827,3360,1747,3420,1507,3460,1327,3520,1367,3580,1307,3640,1287,3700,1207,3760,1227,3820,1047,3860,747,3920,367,3980,367,4040,427e" filled="false" stroked="true" strokeweight="1pt" strokecolor="#00a995">
              <v:path arrowok="t"/>
              <v:stroke dashstyle="solid"/>
            </v:shape>
            <v:shape style="position:absolute;left:2449;top:890;width:1167;height:233" type="#_x0000_t202" filled="false" stroked="false">
              <v:textbox inset="0,0,0,0">
                <w:txbxContent>
                  <w:p>
                    <w:pPr>
                      <w:spacing w:line="172" w:lineRule="auto" w:before="26"/>
                      <w:ind w:left="99" w:right="1" w:hanging="100"/>
                      <w:jc w:val="left"/>
                      <w:rPr>
                        <w:sz w:val="12"/>
                      </w:rPr>
                    </w:pPr>
                    <w:r>
                      <w:rPr>
                        <w:sz w:val="12"/>
                      </w:rPr>
                      <w:t>Vacancies to short-term unemployment</w:t>
                    </w:r>
                  </w:p>
                </w:txbxContent>
              </v:textbox>
              <w10:wrap type="none"/>
            </v:shape>
            <v:shape style="position:absolute;left:1649;top:2330;width:880;height:233" type="#_x0000_t202" filled="false" stroked="false">
              <v:textbox inset="0,0,0,0">
                <w:txbxContent>
                  <w:p>
                    <w:pPr>
                      <w:spacing w:line="172" w:lineRule="auto" w:before="26"/>
                      <w:ind w:left="60" w:right="0" w:hanging="60"/>
                      <w:jc w:val="left"/>
                      <w:rPr>
                        <w:sz w:val="12"/>
                      </w:rPr>
                    </w:pPr>
                    <w:r>
                      <w:rPr>
                        <w:sz w:val="12"/>
                      </w:rPr>
                      <w:t>Vacancies to total unemployment</w:t>
                    </w:r>
                  </w:p>
                </w:txbxContent>
              </v:textbox>
              <w10:wrap type="none"/>
            </v:shape>
            <w10:wrap type="none"/>
          </v:group>
        </w:pict>
      </w:r>
      <w:r>
        <w:rPr/>
        <w:pict>
          <v:line style="position:absolute;mso-position-horizontal-relative:page;mso-position-vertical-relative:paragraph;z-index:15983104" from="48pt,11.349548pt" to="44pt,11.349548pt" stroked="true" strokeweight=".5pt" strokecolor="#000000">
            <v:stroke dashstyle="solid"/>
            <w10:wrap type="none"/>
          </v:line>
        </w:pict>
      </w:r>
      <w:r>
        <w:rPr/>
        <w:pict>
          <v:line style="position:absolute;mso-position-horizontal-relative:page;mso-position-vertical-relative:paragraph;z-index:-20753920" from="209pt,11.349548pt" to="204pt,11.349548pt" stroked="true" strokeweight=".5pt" strokecolor="#000000">
            <v:stroke dashstyle="solid"/>
            <w10:wrap type="none"/>
          </v:line>
        </w:pict>
      </w:r>
      <w:r>
        <w:rPr>
          <w:sz w:val="12"/>
        </w:rPr>
        <w:t>Per cent</w:t>
      </w:r>
      <w:r>
        <w:rPr>
          <w:spacing w:val="15"/>
          <w:sz w:val="12"/>
        </w:rPr>
        <w:t> </w:t>
      </w:r>
      <w:r>
        <w:rPr>
          <w:position w:val="-6"/>
          <w:sz w:val="12"/>
        </w:rPr>
        <w:t>20.0</w:t>
      </w:r>
    </w:p>
    <w:p>
      <w:pPr>
        <w:pStyle w:val="BodyText"/>
        <w:spacing w:before="8"/>
        <w:rPr>
          <w:sz w:val="19"/>
        </w:rPr>
      </w:pPr>
    </w:p>
    <w:p>
      <w:pPr>
        <w:spacing w:before="1"/>
        <w:ind w:left="0" w:right="230" w:firstLine="0"/>
        <w:jc w:val="right"/>
        <w:rPr>
          <w:sz w:val="12"/>
        </w:rPr>
      </w:pPr>
      <w:r>
        <w:rPr>
          <w:sz w:val="12"/>
        </w:rPr>
        <w:t>17.5</w:t>
      </w:r>
    </w:p>
    <w:p>
      <w:pPr>
        <w:pStyle w:val="BodyText"/>
        <w:rPr>
          <w:sz w:val="12"/>
        </w:rPr>
      </w:pPr>
    </w:p>
    <w:p>
      <w:pPr>
        <w:spacing w:before="104"/>
        <w:ind w:left="0" w:right="230" w:firstLine="0"/>
        <w:jc w:val="right"/>
        <w:rPr>
          <w:sz w:val="12"/>
        </w:rPr>
      </w:pPr>
      <w:r>
        <w:rPr>
          <w:sz w:val="12"/>
        </w:rPr>
        <w:t>15.0</w:t>
      </w:r>
    </w:p>
    <w:p>
      <w:pPr>
        <w:pStyle w:val="BodyText"/>
        <w:rPr>
          <w:sz w:val="12"/>
        </w:rPr>
      </w:pPr>
    </w:p>
    <w:p>
      <w:pPr>
        <w:spacing w:before="104"/>
        <w:ind w:left="0" w:right="230" w:firstLine="0"/>
        <w:jc w:val="right"/>
        <w:rPr>
          <w:sz w:val="12"/>
        </w:rPr>
      </w:pPr>
      <w:r>
        <w:rPr>
          <w:sz w:val="12"/>
        </w:rPr>
        <w:t>12.5</w:t>
      </w:r>
    </w:p>
    <w:p>
      <w:pPr>
        <w:pStyle w:val="BodyText"/>
        <w:rPr>
          <w:sz w:val="12"/>
        </w:rPr>
      </w:pPr>
    </w:p>
    <w:p>
      <w:pPr>
        <w:spacing w:before="104"/>
        <w:ind w:left="0" w:right="230" w:firstLine="0"/>
        <w:jc w:val="right"/>
        <w:rPr>
          <w:sz w:val="12"/>
        </w:rPr>
      </w:pPr>
      <w:r>
        <w:rPr>
          <w:sz w:val="12"/>
        </w:rPr>
        <w:t>10.0</w:t>
      </w:r>
    </w:p>
    <w:p>
      <w:pPr>
        <w:pStyle w:val="BodyText"/>
        <w:rPr>
          <w:sz w:val="12"/>
        </w:rPr>
      </w:pPr>
    </w:p>
    <w:p>
      <w:pPr>
        <w:spacing w:before="104"/>
        <w:ind w:left="0" w:right="230" w:firstLine="0"/>
        <w:jc w:val="right"/>
        <w:rPr>
          <w:sz w:val="12"/>
        </w:rPr>
      </w:pPr>
      <w:r>
        <w:rPr>
          <w:sz w:val="12"/>
        </w:rPr>
        <w:t>7.5</w:t>
      </w:r>
    </w:p>
    <w:p>
      <w:pPr>
        <w:pStyle w:val="BodyText"/>
        <w:rPr>
          <w:sz w:val="12"/>
        </w:rPr>
      </w:pPr>
    </w:p>
    <w:p>
      <w:pPr>
        <w:spacing w:before="84"/>
        <w:ind w:left="0" w:right="230" w:firstLine="0"/>
        <w:jc w:val="right"/>
        <w:rPr>
          <w:sz w:val="12"/>
        </w:rPr>
      </w:pPr>
      <w:r>
        <w:rPr>
          <w:sz w:val="12"/>
        </w:rPr>
        <w:t>5.0</w:t>
      </w:r>
    </w:p>
    <w:p>
      <w:pPr>
        <w:pStyle w:val="BodyText"/>
        <w:rPr>
          <w:sz w:val="12"/>
        </w:rPr>
      </w:pPr>
    </w:p>
    <w:p>
      <w:pPr>
        <w:spacing w:before="104"/>
        <w:ind w:left="0" w:right="230" w:firstLine="0"/>
        <w:jc w:val="right"/>
        <w:rPr>
          <w:sz w:val="12"/>
        </w:rPr>
      </w:pPr>
      <w:r>
        <w:rPr/>
        <w:pict>
          <v:line style="position:absolute;mso-position-horizontal-relative:page;mso-position-vertical-relative:paragraph;z-index:15981056" from="48pt,10.301562pt" to="44pt,10.301562pt" stroked="true" strokeweight=".5pt" strokecolor="#000000">
            <v:stroke dashstyle="solid"/>
            <w10:wrap type="none"/>
          </v:line>
        </w:pict>
      </w:r>
      <w:r>
        <w:rPr/>
        <w:pict>
          <v:line style="position:absolute;mso-position-horizontal-relative:page;mso-position-vertical-relative:paragraph;z-index:15983616" from="209pt,10.301562pt" to="204pt,10.301562pt" stroked="true" strokeweight=".5pt" strokecolor="#000000">
            <v:stroke dashstyle="solid"/>
            <w10:wrap type="none"/>
          </v:line>
        </w:pict>
      </w:r>
      <w:r>
        <w:rPr>
          <w:sz w:val="12"/>
        </w:rPr>
        <w:t>2.5</w:t>
      </w:r>
    </w:p>
    <w:p>
      <w:pPr>
        <w:pStyle w:val="BodyText"/>
        <w:rPr>
          <w:sz w:val="12"/>
        </w:rPr>
      </w:pPr>
    </w:p>
    <w:p>
      <w:pPr>
        <w:spacing w:line="119" w:lineRule="exact" w:before="104"/>
        <w:ind w:left="3650" w:right="0" w:firstLine="0"/>
        <w:jc w:val="left"/>
        <w:rPr>
          <w:sz w:val="12"/>
        </w:rPr>
      </w:pPr>
      <w:r>
        <w:rPr/>
        <w:pict>
          <v:shape style="position:absolute;margin-left:44pt;margin-top:5.301562pt;width:165pt;height:4pt;mso-position-horizontal-relative:page;mso-position-vertical-relative:paragraph;z-index:15980544" coordorigin="880,106" coordsize="3300,80" path="m3980,186l3980,106m3760,186l3760,106m3520,186l3520,106m3300,186l3300,106m3060,186l3060,106m2840,186l2840,106m2620,186l2620,106m2380,186l2380,106m2160,186l2160,106m1940,186l1940,106m1700,186l1700,106m1480,186l1480,106m1260,186l1260,106m1020,186l1020,106m960,186l880,186m4180,186l4080,186m1020,186l4040,186m1080,186l1080,146m1140,186l1140,146m1200,186l1200,146m1315,186l1315,146m1370,186l1370,146m1425,186l1425,146m1535,186l1535,146m1590,186l1590,146m1645,186l1645,146m1760,186l1760,146m1820,186l1820,146m1880,186l1880,146m1995,186l1995,146m2050,186l2050,146m2105,186l2105,146m2215,186l2215,146m2270,186l2270,146m2325,186l2325,146m2440,186l2440,146m2500,186l2500,146m2560,186l2560,146m2675,186l2675,146m2730,186l2730,146m2785,186l2785,146m2895,186l2895,146m2950,186l2950,146m3005,186l3005,146m3120,186l3120,146m3180,186l3180,146m3240,186l3240,146m3355,186l3355,146m3410,186l3410,146m3465,186l3465,146m3580,186l3580,146m3640,186l3640,146m3700,186l3700,146m3815,186l3815,146m3870,186l3870,146m3925,186l3925,146m4040,186l4040,146e" filled="false" stroked="true" strokeweight=".5pt" strokecolor="#000000">
            <v:path arrowok="t"/>
            <v:stroke dashstyle="solid"/>
            <w10:wrap type="none"/>
          </v:shape>
        </w:pict>
      </w:r>
      <w:r>
        <w:rPr>
          <w:sz w:val="12"/>
        </w:rPr>
        <w:t>0.0</w:t>
      </w:r>
    </w:p>
    <w:p>
      <w:pPr>
        <w:spacing w:line="119" w:lineRule="exact" w:before="0"/>
        <w:ind w:left="370" w:right="0" w:firstLine="0"/>
        <w:jc w:val="left"/>
        <w:rPr>
          <w:sz w:val="12"/>
        </w:rPr>
      </w:pPr>
      <w:r>
        <w:rPr>
          <w:sz w:val="12"/>
        </w:rPr>
        <w:t>1984 85 86 87 88 89 90 91 92 93 94 95 96 97</w:t>
      </w:r>
    </w:p>
    <w:p>
      <w:pPr>
        <w:spacing w:before="66"/>
        <w:ind w:left="180" w:right="0" w:firstLine="0"/>
        <w:jc w:val="left"/>
        <w:rPr>
          <w:sz w:val="12"/>
        </w:rPr>
      </w:pPr>
      <w:r>
        <w:rPr>
          <w:color w:val="231F20"/>
          <w:sz w:val="12"/>
        </w:rPr>
        <w:t>Sources: ONS, LFS and Bank of England.</w:t>
      </w:r>
    </w:p>
    <w:p>
      <w:pPr>
        <w:pStyle w:val="BodyText"/>
        <w:spacing w:before="1"/>
        <w:rPr>
          <w:sz w:val="10"/>
        </w:rPr>
      </w:pPr>
    </w:p>
    <w:p>
      <w:pPr>
        <w:spacing w:line="208" w:lineRule="auto" w:before="0"/>
        <w:ind w:left="420" w:right="447" w:hanging="240"/>
        <w:jc w:val="left"/>
        <w:rPr>
          <w:sz w:val="12"/>
        </w:rPr>
      </w:pPr>
      <w:r>
        <w:rPr>
          <w:color w:val="231F20"/>
          <w:sz w:val="12"/>
        </w:rPr>
        <w:t>(a) Approximately adjusted for overstated stock of vacancies from 1996 Q2 onwards.</w:t>
      </w:r>
    </w:p>
    <w:p>
      <w:pPr>
        <w:pStyle w:val="BodyText"/>
        <w:spacing w:before="3"/>
        <w:rPr>
          <w:sz w:val="16"/>
        </w:rPr>
      </w:pPr>
    </w:p>
    <w:p>
      <w:pPr>
        <w:pStyle w:val="Heading9"/>
        <w:spacing w:before="0"/>
      </w:pPr>
      <w:r>
        <w:rPr>
          <w:color w:val="0093C1"/>
        </w:rPr>
        <w:t>Chart 4.8</w:t>
      </w:r>
    </w:p>
    <w:p>
      <w:pPr>
        <w:spacing w:before="10"/>
        <w:ind w:left="180" w:right="0" w:firstLine="0"/>
        <w:jc w:val="left"/>
        <w:rPr>
          <w:b/>
          <w:sz w:val="20"/>
        </w:rPr>
      </w:pPr>
      <w:r>
        <w:rPr>
          <w:b/>
          <w:color w:val="0093C1"/>
          <w:sz w:val="20"/>
        </w:rPr>
        <w:t>Skill shortages and recruitment difficulties</w:t>
      </w:r>
    </w:p>
    <w:p>
      <w:pPr>
        <w:spacing w:line="75" w:lineRule="exact" w:before="68"/>
        <w:ind w:left="2628" w:right="0" w:firstLine="0"/>
        <w:jc w:val="left"/>
        <w:rPr>
          <w:sz w:val="12"/>
        </w:rPr>
      </w:pPr>
      <w:r>
        <w:rPr>
          <w:sz w:val="12"/>
        </w:rPr>
        <w:t>Percentage balance</w:t>
      </w:r>
    </w:p>
    <w:p>
      <w:pPr>
        <w:pStyle w:val="Heading5"/>
        <w:spacing w:line="242" w:lineRule="auto"/>
        <w:ind w:right="154"/>
      </w:pPr>
      <w:r>
        <w:rPr/>
        <w:br w:type="column"/>
      </w:r>
      <w:r>
        <w:rPr>
          <w:color w:val="231F20"/>
        </w:rPr>
        <w:t>willing to increase their hours worked, and from the unemployed. The gap between potential hours on offer and total hours worked was significantly smaller this summer than a year earlier, providing further evidence that the labour market has been tightening (see</w:t>
      </w:r>
    </w:p>
    <w:p>
      <w:pPr>
        <w:spacing w:before="0"/>
        <w:ind w:left="180" w:right="0" w:firstLine="0"/>
        <w:jc w:val="left"/>
        <w:rPr>
          <w:sz w:val="24"/>
        </w:rPr>
      </w:pPr>
      <w:r>
        <w:rPr>
          <w:color w:val="231F20"/>
          <w:sz w:val="24"/>
        </w:rPr>
        <w:t>Chart 4.6).</w:t>
      </w:r>
    </w:p>
    <w:p>
      <w:pPr>
        <w:pStyle w:val="BodyText"/>
        <w:spacing w:before="4"/>
        <w:rPr>
          <w:sz w:val="24"/>
        </w:rPr>
      </w:pPr>
    </w:p>
    <w:p>
      <w:pPr>
        <w:spacing w:line="242" w:lineRule="auto" w:before="0"/>
        <w:ind w:left="180" w:right="154" w:firstLine="0"/>
        <w:jc w:val="left"/>
        <w:rPr>
          <w:sz w:val="24"/>
        </w:rPr>
      </w:pPr>
      <w:r>
        <w:rPr>
          <w:color w:val="231F20"/>
          <w:sz w:val="24"/>
        </w:rPr>
        <w:t>Unfilled vacancies advertised at Jobcentres—about one third of all vacancies in the economy—are about as high now as they were in the late 1980s. The published ONS data for vacancies from April 1996 onwards are biased up by around 40,000, because of difficulties with the Jobcentres’ new computer system. The ratio of reported vacancies to total unemployment, or to short-term unemployment, is a crude measure of the demand for labour relative to its supply. Chart 4.7 shows that these ratios—even after adjustment for the overstated stock of vacancies—have been rising quickly since the beginning of 1996.</w:t>
      </w:r>
    </w:p>
    <w:p>
      <w:pPr>
        <w:pStyle w:val="BodyText"/>
        <w:spacing w:before="8"/>
        <w:rPr>
          <w:sz w:val="25"/>
        </w:rPr>
      </w:pPr>
    </w:p>
    <w:p>
      <w:pPr>
        <w:spacing w:line="242" w:lineRule="auto" w:before="1"/>
        <w:ind w:left="180" w:right="154" w:firstLine="0"/>
        <w:jc w:val="left"/>
        <w:rPr>
          <w:sz w:val="24"/>
        </w:rPr>
      </w:pPr>
      <w:r>
        <w:rPr>
          <w:color w:val="231F20"/>
          <w:sz w:val="24"/>
        </w:rPr>
        <w:t>Surveys suggest that recruitment difficulties and skill shortages have risen in the past few years. In part, this reflects the shrinking pool of unemployed people</w:t>
      </w:r>
    </w:p>
    <w:p>
      <w:pPr>
        <w:spacing w:after="0" w:line="242" w:lineRule="auto"/>
        <w:jc w:val="left"/>
        <w:rPr>
          <w:sz w:val="24"/>
        </w:rPr>
        <w:sectPr>
          <w:type w:val="continuous"/>
          <w:pgSz w:w="11880" w:h="16840"/>
          <w:pgMar w:top="1040" w:bottom="280" w:left="640" w:right="620"/>
          <w:cols w:num="2" w:equalWidth="0">
            <w:col w:w="4033" w:space="768"/>
            <w:col w:w="5819"/>
          </w:cols>
        </w:sectPr>
      </w:pPr>
    </w:p>
    <w:p>
      <w:pPr>
        <w:tabs>
          <w:tab w:pos="4981" w:val="left" w:leader="none"/>
        </w:tabs>
        <w:spacing w:line="266" w:lineRule="exact" w:before="0"/>
        <w:ind w:left="3613" w:right="0" w:firstLine="0"/>
        <w:jc w:val="left"/>
        <w:rPr>
          <w:sz w:val="24"/>
        </w:rPr>
      </w:pPr>
      <w:r>
        <w:rPr/>
        <w:pict>
          <v:line style="position:absolute;mso-position-horizontal-relative:page;mso-position-vertical-relative:paragraph;z-index:15987712" from="49.671001pt,4.094077pt" to="44.671001pt,4.094077pt" stroked="true" strokeweight=".5pt" strokecolor="#000000">
            <v:stroke dashstyle="solid"/>
            <w10:wrap type="none"/>
          </v:line>
        </w:pict>
      </w:r>
      <w:r>
        <w:rPr/>
        <w:pict>
          <v:line style="position:absolute;mso-position-horizontal-relative:page;mso-position-vertical-relative:paragraph;z-index:15989248" from="209.671005pt,4.094077pt" to="205.671005pt,4.094077pt" stroked="true" strokeweight=".5pt" strokecolor="#000000">
            <v:stroke dashstyle="solid"/>
            <w10:wrap type="none"/>
          </v:line>
        </w:pict>
      </w:r>
      <w:r>
        <w:rPr>
          <w:position w:val="9"/>
          <w:sz w:val="12"/>
        </w:rPr>
        <w:t>80</w:t>
        <w:tab/>
      </w:r>
      <w:r>
        <w:rPr>
          <w:color w:val="231F20"/>
          <w:sz w:val="24"/>
        </w:rPr>
        <w:t>seeking jobs. But it is not clear whether</w:t>
      </w:r>
      <w:r>
        <w:rPr>
          <w:color w:val="231F20"/>
          <w:spacing w:val="-2"/>
          <w:sz w:val="24"/>
        </w:rPr>
        <w:t> </w:t>
      </w:r>
      <w:r>
        <w:rPr>
          <w:color w:val="231F20"/>
          <w:sz w:val="24"/>
        </w:rPr>
        <w:t>recruitment</w:t>
      </w:r>
    </w:p>
    <w:p>
      <w:pPr>
        <w:tabs>
          <w:tab w:pos="4981" w:val="left" w:leader="none"/>
        </w:tabs>
        <w:spacing w:line="280" w:lineRule="atLeast" w:before="0"/>
        <w:ind w:left="4981" w:right="254" w:hanging="1369"/>
        <w:jc w:val="left"/>
        <w:rPr>
          <w:sz w:val="24"/>
        </w:rPr>
      </w:pPr>
      <w:r>
        <w:rPr/>
        <w:pict>
          <v:group style="position:absolute;margin-left:44.671001pt;margin-top:.294302pt;width:165pt;height:141.75pt;mso-position-horizontal-relative:page;mso-position-vertical-relative:paragraph;z-index:-20751872" coordorigin="893,6" coordsize="3300,2835">
            <v:shape style="position:absolute;left:893;top:955;width:2860;height:1880" coordorigin="893,956" coordsize="2860,1880" path="m3753,2836l3753,2736m2573,2836l2573,2736m1973,2836l1973,2736m993,2456l893,2456m993,2076l893,2076m993,1696l893,1696m993,1316l893,1316m993,956l893,956e" filled="false" stroked="true" strokeweight=".5pt" strokecolor="#000000">
              <v:path arrowok="t"/>
              <v:stroke dashstyle="solid"/>
            </v:shape>
            <v:shape style="position:absolute;left:1033;top:915;width:1680;height:1840" coordorigin="1033,916" coordsize="1680,1840" path="m1033,2336l1053,2376,1093,2336,1113,1996,1153,1696,1173,1216,1213,916,1233,1816,1273,1316,1293,1296,1333,1556,1353,1956,1393,2236,1413,2296,1453,2376,1473,2496,1493,2336,1533,2236,1553,2256,1593,2256m1593,2256l1613,1956,1653,2036,1673,2116,1713,2156,1733,2076,1773,1996,1793,1816,1833,2076,1853,1956,1913,2076,1953,2336,1973,2456,2013,2636,2073,2756,2093,2756,2113,2716,2153,2716m2153,2716l2173,2716,2213,2756,2233,2676,2273,2716,2293,2756,2333,2676,2353,2596,2393,2596,2413,2556,2473,2496,2513,2496,2533,2416,2573,2376,2593,2256,2633,2256,2653,2456,2693,2336,2713,2376e" filled="false" stroked="true" strokeweight="1pt" strokecolor="#952e40">
              <v:path arrowok="t"/>
              <v:stroke dashstyle="solid"/>
            </v:shape>
            <v:shape style="position:absolute;left:4113;top:575;width:80;height:1120" coordorigin="4113,576" coordsize="80,1120" path="m4193,1696l4113,1696m4193,1316l4113,1316m4193,956l4113,956m4193,576l4113,576e" filled="false" stroked="true" strokeweight=".5pt" strokecolor="#000000">
              <v:path arrowok="t"/>
              <v:stroke dashstyle="solid"/>
            </v:shape>
            <v:shape style="position:absolute;left:3033;top:335;width:1020;height:1740" coordorigin="3033,336" coordsize="1020,1740" path="m3033,656l3073,716,3093,496,3133,836,3153,576,3193,576,3213,756,3253,1056,3273,1476,3293,1736,3333,2076,3353,1596,3393,1996,3413,1956,3453,1776,3473,1856,3513,1776,3533,1776,3573,1516,3593,1396m3593,1396l3633,1616,3653,1176,3693,1256,3713,1316,3753,1216,3813,1096,3833,916,3873,796,3893,756,3933,696,3953,496,3993,336,4013,496,4053,536e" filled="false" stroked="true" strokeweight="1pt" strokecolor="#faab54">
              <v:path arrowok="t"/>
              <v:stroke dashstyle="solid"/>
            </v:shape>
            <v:shape style="position:absolute;left:3033;top:75;width:560;height:1880" coordorigin="3033,76" coordsize="560,1880" path="m3033,416l3073,456,3093,336,3133,576,3153,316,3193,76,3213,496,3253,696,3273,1616,3293,1556,3333,1816,3353,1596,3393,1916,3413,1956,3453,1776,3473,1556,3513,1616,3533,1616,3573,1396,3593,1256e" filled="false" stroked="true" strokeweight="1pt" strokecolor="#0066a5">
              <v:path arrowok="t"/>
              <v:stroke dashstyle="solid"/>
            </v:shape>
            <v:line style="position:absolute" from="4193,196" to="4113,196" stroked="true" strokeweight=".5pt" strokecolor="#000000">
              <v:stroke dashstyle="solid"/>
            </v:line>
            <v:shape style="position:absolute;left:3593;top:15;width:460;height:1420" coordorigin="3593,16" coordsize="460,1420" path="m3593,1256l3633,1436,3653,1136,3693,1096,3713,796,3753,1016,3773,916,3813,616,3833,456,3873,616,3893,456,3933,416,3953,16,3993,116,4013,316,4053,316e" filled="false" stroked="true" strokeweight="1pt" strokecolor="#0066a5">
              <v:path arrowok="t"/>
              <v:stroke dashstyle="solid"/>
            </v:shape>
            <v:shape style="position:absolute;left:2713;top:1775;width:1120;height:940" coordorigin="2713,1776" coordsize="1120,940" path="m2713,2376l2733,2376,2773,2496,2793,2376,2833,2156,2853,2116,2893,2076,2913,2116,2953,1996,2973,1776,3013,1896,3033,1996,3073,1916,3093,2116,3133,2156,3153,2336,3193,2256,3213,2456,3253,2596,3273,2596m3273,2596l3313,2636,3333,2636,3353,2676,3393,2636,3413,2676,3453,2716,3473,2716,3513,2596,3533,2636,3573,2516,3593,2636,3633,2556,3653,2496,3693,2456,3713,2456,3753,2416,3773,2456,3813,2456,3833,2496e" filled="false" stroked="true" strokeweight="1pt" strokecolor="#952e40">
              <v:path arrowok="t"/>
              <v:stroke dashstyle="solid"/>
            </v:shape>
            <v:line style="position:absolute" from="4193,2456" to="4113,2456" stroked="true" strokeweight=".5pt" strokecolor="#000000">
              <v:stroke dashstyle="solid"/>
            </v:line>
            <v:shape style="position:absolute;left:3823;top:2185;width:240;height:320" type="#_x0000_t75" stroked="false">
              <v:imagedata r:id="rId68" o:title=""/>
            </v:shape>
            <v:shape style="position:absolute;left:893;top:2735;width:3140;height:100" coordorigin="893,2736" coordsize="3140,100" path="m3153,2836l3153,2736m1393,2836l1393,2736m993,2836l893,2836m1033,2836l4033,2836m1033,2836l1033,2776m1153,2836l1153,2776m1273,2836l1273,2776m1509,2836l1509,2776m1625,2836l1625,2776m1741,2836l1741,2776m1857,2836l1857,2776m2093,2836l2093,2776m2213,2836l2213,2776m2333,2836l2333,2776m2453,2836l2453,2776m2689,2836l2689,2776m2805,2836l2805,2776m2921,2836l2921,2776m3037,2836l3037,2776m3273,2836l3273,2776m3393,2836l3393,2776m3513,2836l3513,2776m3633,2836l3633,2776m3863,2836l3863,2776m3973,2836l3973,2776e" filled="false" stroked="true" strokeweight=".5pt" strokecolor="#000000">
              <v:path arrowok="t"/>
              <v:stroke dashstyle="solid"/>
            </v:shape>
            <v:shape style="position:absolute;left:1723;top:18;width:1367;height:233" type="#_x0000_t202" filled="false" stroked="false">
              <v:textbox inset="0,0,0,0">
                <w:txbxContent>
                  <w:p>
                    <w:pPr>
                      <w:spacing w:line="175" w:lineRule="auto" w:before="25"/>
                      <w:ind w:left="80" w:right="0" w:hanging="81"/>
                      <w:jc w:val="left"/>
                      <w:rPr>
                        <w:sz w:val="12"/>
                      </w:rPr>
                    </w:pPr>
                    <w:r>
                      <w:rPr>
                        <w:sz w:val="12"/>
                      </w:rPr>
                      <w:t>BCC manufacturing recruitment difficulties (a)</w:t>
                    </w:r>
                  </w:p>
                </w:txbxContent>
              </v:textbox>
              <w10:wrap type="none"/>
            </v:shape>
            <v:shape style="position:absolute;left:1783;top:699;width:1260;height:248" type="#_x0000_t202" filled="false" stroked="false">
              <v:textbox inset="0,0,0,0">
                <w:txbxContent>
                  <w:p>
                    <w:pPr>
                      <w:spacing w:line="199" w:lineRule="auto" w:before="14"/>
                      <w:ind w:left="60" w:right="0" w:hanging="60"/>
                      <w:jc w:val="left"/>
                      <w:rPr>
                        <w:sz w:val="12"/>
                      </w:rPr>
                    </w:pPr>
                    <w:r>
                      <w:rPr>
                        <w:sz w:val="12"/>
                      </w:rPr>
                      <w:t>BCC services recruitment difficulties (a)</w:t>
                    </w:r>
                  </w:p>
                </w:txbxContent>
              </v:textbox>
              <w10:wrap type="none"/>
            </v:shape>
            <v:shape style="position:absolute;left:1803;top:1698;width:970;height:273" type="#_x0000_t202" filled="false" stroked="false">
              <v:textbox inset="0,0,0,0">
                <w:txbxContent>
                  <w:p>
                    <w:pPr>
                      <w:spacing w:line="242" w:lineRule="auto" w:before="0"/>
                      <w:ind w:left="90" w:right="0" w:hanging="90"/>
                      <w:jc w:val="left"/>
                      <w:rPr>
                        <w:sz w:val="12"/>
                      </w:rPr>
                    </w:pPr>
                    <w:r>
                      <w:rPr>
                        <w:sz w:val="12"/>
                      </w:rPr>
                      <w:t>CBI manufacturing skill shortages (b)</w:t>
                    </w:r>
                  </w:p>
                </w:txbxContent>
              </v:textbox>
              <w10:wrap type="none"/>
            </v:shape>
            <w10:wrap type="none"/>
          </v:group>
        </w:pict>
      </w:r>
      <w:r>
        <w:rPr/>
        <w:pict>
          <v:line style="position:absolute;mso-position-horizontal-relative:page;mso-position-vertical-relative:paragraph;z-index:15987200" from="49.671001pt,9.794302pt" to="44.671001pt,9.794302pt" stroked="true" strokeweight=".5pt" strokecolor="#000000">
            <v:stroke dashstyle="solid"/>
            <w10:wrap type="none"/>
          </v:line>
        </w:pict>
      </w:r>
      <w:r>
        <w:rPr>
          <w:position w:val="1"/>
          <w:sz w:val="12"/>
        </w:rPr>
        <w:t>70</w:t>
        <w:tab/>
      </w:r>
      <w:r>
        <w:rPr>
          <w:color w:val="231F20"/>
          <w:sz w:val="24"/>
        </w:rPr>
        <w:t>difficulties and skill shortages are as acute </w:t>
      </w:r>
      <w:r>
        <w:rPr>
          <w:color w:val="231F20"/>
          <w:spacing w:val="-3"/>
          <w:sz w:val="24"/>
        </w:rPr>
        <w:t>now </w:t>
      </w:r>
      <w:r>
        <w:rPr>
          <w:color w:val="231F20"/>
          <w:sz w:val="24"/>
        </w:rPr>
        <w:t>as in </w:t>
      </w:r>
      <w:r>
        <w:rPr>
          <w:color w:val="231F20"/>
          <w:spacing w:val="-5"/>
          <w:sz w:val="24"/>
        </w:rPr>
        <w:t>the </w:t>
      </w:r>
      <w:r>
        <w:rPr>
          <w:color w:val="231F20"/>
          <w:sz w:val="24"/>
        </w:rPr>
        <w:t>late 1980s (see Chart 4.8). Skill shortages</w:t>
      </w:r>
      <w:r>
        <w:rPr>
          <w:color w:val="231F20"/>
          <w:spacing w:val="-1"/>
          <w:sz w:val="24"/>
        </w:rPr>
        <w:t> </w:t>
      </w:r>
      <w:r>
        <w:rPr>
          <w:color w:val="231F20"/>
          <w:sz w:val="24"/>
        </w:rPr>
        <w:t>or</w:t>
      </w:r>
    </w:p>
    <w:p>
      <w:pPr>
        <w:spacing w:line="36" w:lineRule="exact" w:before="0"/>
        <w:ind w:left="3594" w:right="6865" w:firstLine="0"/>
        <w:jc w:val="center"/>
        <w:rPr>
          <w:sz w:val="12"/>
        </w:rPr>
      </w:pPr>
      <w:r>
        <w:rPr/>
        <w:pict>
          <v:line style="position:absolute;mso-position-horizontal-relative:page;mso-position-vertical-relative:paragraph;z-index:15986688" from="49.671001pt,.794302pt" to="44.671001pt,.794302pt" stroked="true" strokeweight=".5pt" strokecolor="#000000">
            <v:stroke dashstyle="solid"/>
            <w10:wrap type="none"/>
          </v:line>
        </w:pict>
      </w:r>
      <w:r>
        <w:rPr>
          <w:sz w:val="12"/>
        </w:rPr>
        <w:t>60</w:t>
      </w:r>
    </w:p>
    <w:p>
      <w:pPr>
        <w:pStyle w:val="Heading5"/>
        <w:spacing w:line="245" w:lineRule="exact"/>
        <w:ind w:left="4981"/>
      </w:pPr>
      <w:r>
        <w:rPr>
          <w:color w:val="231F20"/>
        </w:rPr>
        <w:t>recruitment difficulties in one particular industry or</w:t>
      </w:r>
    </w:p>
    <w:p>
      <w:pPr>
        <w:tabs>
          <w:tab w:pos="4981" w:val="left" w:leader="none"/>
        </w:tabs>
        <w:spacing w:before="4"/>
        <w:ind w:left="3613" w:right="0" w:firstLine="0"/>
        <w:jc w:val="left"/>
        <w:rPr>
          <w:sz w:val="24"/>
        </w:rPr>
      </w:pPr>
      <w:r>
        <w:rPr>
          <w:position w:val="9"/>
          <w:sz w:val="12"/>
        </w:rPr>
        <w:t>50</w:t>
        <w:tab/>
      </w:r>
      <w:r>
        <w:rPr>
          <w:color w:val="231F20"/>
          <w:sz w:val="24"/>
        </w:rPr>
        <w:t>sector could reflect a shift in relative demand for</w:t>
      </w:r>
      <w:r>
        <w:rPr>
          <w:color w:val="231F20"/>
          <w:spacing w:val="-19"/>
          <w:sz w:val="24"/>
        </w:rPr>
        <w:t> </w:t>
      </w:r>
      <w:r>
        <w:rPr>
          <w:color w:val="231F20"/>
          <w:sz w:val="24"/>
        </w:rPr>
        <w:t>labour.</w:t>
      </w:r>
    </w:p>
    <w:p>
      <w:pPr>
        <w:tabs>
          <w:tab w:pos="4982" w:val="left" w:leader="none"/>
        </w:tabs>
        <w:spacing w:line="242" w:lineRule="auto" w:before="6"/>
        <w:ind w:left="4982" w:right="165" w:hanging="1370"/>
        <w:jc w:val="left"/>
        <w:rPr>
          <w:sz w:val="24"/>
        </w:rPr>
      </w:pPr>
      <w:r>
        <w:rPr/>
        <w:pict>
          <v:shape style="position:absolute;margin-left:212.671005pt;margin-top:25.656452pt;width:6pt;height:6.65pt;mso-position-horizontal-relative:page;mso-position-vertical-relative:paragraph;z-index:-20748288" type="#_x0000_t202" filled="false" stroked="false">
            <v:textbox inset="0,0,0,0">
              <w:txbxContent>
                <w:p>
                  <w:pPr>
                    <w:spacing w:line="133" w:lineRule="exact" w:before="0"/>
                    <w:ind w:left="0" w:right="0" w:firstLine="0"/>
                    <w:jc w:val="left"/>
                    <w:rPr>
                      <w:sz w:val="12"/>
                    </w:rPr>
                  </w:pPr>
                  <w:r>
                    <w:rPr>
                      <w:sz w:val="12"/>
                    </w:rPr>
                    <w:t>30</w:t>
                  </w:r>
                </w:p>
              </w:txbxContent>
            </v:textbox>
            <w10:wrap type="none"/>
          </v:shape>
        </w:pict>
      </w:r>
      <w:r>
        <w:rPr>
          <w:sz w:val="12"/>
        </w:rPr>
        <w:t>40</w:t>
        <w:tab/>
      </w:r>
      <w:r>
        <w:rPr>
          <w:color w:val="231F20"/>
          <w:position w:val="1"/>
          <w:sz w:val="24"/>
        </w:rPr>
        <w:t>This might signal a rise in relative wages for the skill </w:t>
      </w:r>
      <w:r>
        <w:rPr>
          <w:color w:val="231F20"/>
          <w:sz w:val="24"/>
        </w:rPr>
        <w:t>groups in short </w:t>
      </w:r>
      <w:r>
        <w:rPr>
          <w:color w:val="231F20"/>
          <w:spacing w:val="-3"/>
          <w:sz w:val="24"/>
        </w:rPr>
        <w:t>supply, </w:t>
      </w:r>
      <w:r>
        <w:rPr>
          <w:color w:val="231F20"/>
          <w:sz w:val="24"/>
        </w:rPr>
        <w:t>without necessarily causing a </w:t>
      </w:r>
      <w:r>
        <w:rPr>
          <w:color w:val="231F20"/>
          <w:spacing w:val="-4"/>
          <w:sz w:val="24"/>
        </w:rPr>
        <w:t>rise </w:t>
      </w:r>
      <w:r>
        <w:rPr>
          <w:color w:val="231F20"/>
          <w:sz w:val="24"/>
        </w:rPr>
        <w:t>in aggregate wages. So the consequences of</w:t>
      </w:r>
      <w:r>
        <w:rPr>
          <w:color w:val="231F20"/>
          <w:spacing w:val="-7"/>
          <w:sz w:val="24"/>
        </w:rPr>
        <w:t> </w:t>
      </w:r>
      <w:r>
        <w:rPr>
          <w:color w:val="231F20"/>
          <w:sz w:val="24"/>
        </w:rPr>
        <w:t>reported</w:t>
      </w:r>
    </w:p>
    <w:p>
      <w:pPr>
        <w:tabs>
          <w:tab w:pos="4982" w:val="left" w:leader="none"/>
        </w:tabs>
        <w:spacing w:before="2"/>
        <w:ind w:left="3613" w:right="0" w:firstLine="0"/>
        <w:jc w:val="left"/>
        <w:rPr>
          <w:sz w:val="24"/>
        </w:rPr>
      </w:pPr>
      <w:r>
        <w:rPr/>
        <w:pict>
          <v:line style="position:absolute;mso-position-horizontal-relative:page;mso-position-vertical-relative:paragraph;z-index:15988736" from="209.671005pt,5.665123pt" to="205.671005pt,5.665123pt" stroked="true" strokeweight=".5pt" strokecolor="#000000">
            <v:stroke dashstyle="solid"/>
            <w10:wrap type="none"/>
          </v:line>
        </w:pict>
      </w:r>
      <w:r>
        <w:rPr>
          <w:position w:val="9"/>
          <w:sz w:val="12"/>
        </w:rPr>
        <w:t>20</w:t>
        <w:tab/>
      </w:r>
      <w:r>
        <w:rPr>
          <w:color w:val="231F20"/>
          <w:sz w:val="24"/>
        </w:rPr>
        <w:t>skill shortages and recruitment difficulties for</w:t>
      </w:r>
      <w:r>
        <w:rPr>
          <w:color w:val="231F20"/>
          <w:spacing w:val="-23"/>
          <w:sz w:val="24"/>
        </w:rPr>
        <w:t> </w:t>
      </w:r>
      <w:r>
        <w:rPr>
          <w:color w:val="231F20"/>
          <w:sz w:val="24"/>
        </w:rPr>
        <w:t>overall</w:t>
      </w:r>
    </w:p>
    <w:p>
      <w:pPr>
        <w:tabs>
          <w:tab w:pos="4982" w:val="left" w:leader="none"/>
        </w:tabs>
        <w:spacing w:before="6"/>
        <w:ind w:left="3613" w:right="0" w:firstLine="0"/>
        <w:jc w:val="left"/>
        <w:rPr>
          <w:sz w:val="16"/>
        </w:rPr>
      </w:pPr>
      <w:r>
        <w:rPr>
          <w:sz w:val="12"/>
        </w:rPr>
        <w:t>10</w:t>
        <w:tab/>
      </w:r>
      <w:r>
        <w:rPr>
          <w:color w:val="231F20"/>
          <w:position w:val="1"/>
          <w:sz w:val="24"/>
        </w:rPr>
        <w:t>earnings pressure are difficult to</w:t>
      </w:r>
      <w:r>
        <w:rPr>
          <w:color w:val="231F20"/>
          <w:spacing w:val="-3"/>
          <w:position w:val="1"/>
          <w:sz w:val="24"/>
        </w:rPr>
        <w:t> </w:t>
      </w:r>
      <w:r>
        <w:rPr>
          <w:color w:val="231F20"/>
          <w:position w:val="1"/>
          <w:sz w:val="24"/>
        </w:rPr>
        <w:t>predict.</w:t>
      </w:r>
      <w:r>
        <w:rPr>
          <w:color w:val="231F20"/>
          <w:position w:val="7"/>
          <w:sz w:val="16"/>
        </w:rPr>
        <w:t>(1)</w:t>
      </w:r>
    </w:p>
    <w:p>
      <w:pPr>
        <w:spacing w:after="0"/>
        <w:jc w:val="left"/>
        <w:rPr>
          <w:sz w:val="16"/>
        </w:rPr>
        <w:sectPr>
          <w:type w:val="continuous"/>
          <w:pgSz w:w="11880" w:h="16840"/>
          <w:pgMar w:top="1040" w:bottom="280" w:left="640" w:right="620"/>
        </w:sectPr>
      </w:pPr>
    </w:p>
    <w:p>
      <w:pPr>
        <w:pStyle w:val="BodyText"/>
        <w:spacing w:before="1"/>
        <w:rPr>
          <w:sz w:val="20"/>
        </w:rPr>
      </w:pPr>
    </w:p>
    <w:p>
      <w:pPr>
        <w:tabs>
          <w:tab w:pos="743" w:val="left" w:leader="none"/>
          <w:tab w:pos="1343" w:val="left" w:leader="none"/>
          <w:tab w:pos="1943" w:val="left" w:leader="none"/>
          <w:tab w:pos="2523" w:val="left" w:leader="none"/>
          <w:tab w:pos="3123" w:val="left" w:leader="none"/>
          <w:tab w:pos="3673" w:val="left" w:leader="none"/>
        </w:tabs>
        <w:spacing w:before="0"/>
        <w:ind w:left="283" w:right="0" w:firstLine="0"/>
        <w:jc w:val="left"/>
        <w:rPr>
          <w:sz w:val="12"/>
        </w:rPr>
      </w:pPr>
      <w:r>
        <w:rPr/>
        <w:pict>
          <v:line style="position:absolute;mso-position-horizontal-relative:page;mso-position-vertical-relative:paragraph;z-index:-20749824" from="209.671005pt,4.101561pt" to="205.671005pt,4.101561pt" stroked="true" strokeweight=".5pt" strokecolor="#000000">
            <v:stroke dashstyle="solid"/>
            <w10:wrap type="none"/>
          </v:line>
        </w:pict>
      </w:r>
      <w:r>
        <w:rPr>
          <w:sz w:val="12"/>
        </w:rPr>
        <w:t>1972</w:t>
        <w:tab/>
        <w:t>75</w:t>
        <w:tab/>
        <w:t>80</w:t>
        <w:tab/>
        <w:t>85</w:t>
        <w:tab/>
        <w:t>90</w:t>
        <w:tab/>
        <w:t>95</w:t>
        <w:tab/>
      </w:r>
      <w:r>
        <w:rPr>
          <w:position w:val="8"/>
          <w:sz w:val="12"/>
        </w:rPr>
        <w:t>0</w:t>
      </w:r>
    </w:p>
    <w:p>
      <w:pPr>
        <w:spacing w:before="48"/>
        <w:ind w:left="180" w:right="0" w:firstLine="0"/>
        <w:jc w:val="left"/>
        <w:rPr>
          <w:sz w:val="12"/>
        </w:rPr>
      </w:pPr>
      <w:r>
        <w:rPr>
          <w:color w:val="231F20"/>
          <w:sz w:val="12"/>
        </w:rPr>
        <w:t>Sources: British Chambers of Commerce and CBI.</w:t>
      </w:r>
    </w:p>
    <w:p>
      <w:pPr>
        <w:pStyle w:val="ListParagraph"/>
        <w:numPr>
          <w:ilvl w:val="0"/>
          <w:numId w:val="27"/>
        </w:numPr>
        <w:tabs>
          <w:tab w:pos="420" w:val="left" w:leader="none"/>
        </w:tabs>
        <w:spacing w:line="129" w:lineRule="exact" w:before="102" w:after="0"/>
        <w:ind w:left="420" w:right="0" w:hanging="240"/>
        <w:jc w:val="left"/>
        <w:rPr>
          <w:sz w:val="12"/>
        </w:rPr>
      </w:pPr>
      <w:r>
        <w:rPr>
          <w:color w:val="231F20"/>
          <w:sz w:val="12"/>
        </w:rPr>
        <w:t>Past three months.</w:t>
      </w:r>
    </w:p>
    <w:p>
      <w:pPr>
        <w:pStyle w:val="ListParagraph"/>
        <w:numPr>
          <w:ilvl w:val="0"/>
          <w:numId w:val="27"/>
        </w:numPr>
        <w:tabs>
          <w:tab w:pos="420" w:val="left" w:leader="none"/>
        </w:tabs>
        <w:spacing w:line="129" w:lineRule="exact" w:before="0" w:after="0"/>
        <w:ind w:left="420" w:right="0" w:hanging="240"/>
        <w:jc w:val="left"/>
        <w:rPr>
          <w:sz w:val="12"/>
        </w:rPr>
      </w:pPr>
      <w:r>
        <w:rPr>
          <w:color w:val="231F20"/>
          <w:sz w:val="12"/>
        </w:rPr>
        <w:t>Next four months.</w:t>
      </w:r>
    </w:p>
    <w:p>
      <w:pPr>
        <w:pStyle w:val="BodyText"/>
        <w:spacing w:before="9" w:after="40"/>
        <w:rPr>
          <w:sz w:val="10"/>
        </w:rPr>
      </w:pPr>
      <w:r>
        <w:rPr/>
        <w:br w:type="column"/>
      </w:r>
      <w:r>
        <w:rPr>
          <w:sz w:val="10"/>
        </w:rPr>
      </w:r>
    </w:p>
    <w:p>
      <w:pPr>
        <w:pStyle w:val="BodyText"/>
        <w:spacing w:line="20" w:lineRule="exact"/>
        <w:ind w:left="15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0"/>
          <w:numId w:val="28"/>
        </w:numPr>
        <w:tabs>
          <w:tab w:pos="420" w:val="left" w:leader="none"/>
        </w:tabs>
        <w:spacing w:line="208" w:lineRule="auto" w:before="14" w:after="0"/>
        <w:ind w:left="420" w:right="690" w:hanging="240"/>
        <w:jc w:val="left"/>
        <w:rPr>
          <w:sz w:val="16"/>
        </w:rPr>
      </w:pPr>
      <w:r>
        <w:rPr>
          <w:color w:val="231F20"/>
          <w:sz w:val="16"/>
        </w:rPr>
        <w:t>Other problems with such survey evidence include differences in respondents’ interpretation of shortages and difficulties. For further discussion see Robinson, P, ‘Skill shortages and full employment: how serious a constraint?’ in </w:t>
      </w:r>
      <w:r>
        <w:rPr>
          <w:i/>
          <w:color w:val="231F20"/>
          <w:sz w:val="16"/>
        </w:rPr>
        <w:t>Creating Industrial Capacity</w:t>
      </w:r>
      <w:r>
        <w:rPr>
          <w:color w:val="231F20"/>
          <w:sz w:val="16"/>
        </w:rPr>
        <w:t>, edited by Michie, </w:t>
      </w:r>
      <w:r>
        <w:rPr>
          <w:color w:val="231F20"/>
          <w:spacing w:val="-17"/>
          <w:sz w:val="16"/>
        </w:rPr>
        <w:t>J </w:t>
      </w:r>
      <w:r>
        <w:rPr>
          <w:color w:val="231F20"/>
          <w:sz w:val="16"/>
        </w:rPr>
        <w:t>and Grieve-Smith, J, Oxford University Press, 1996.</w:t>
      </w:r>
    </w:p>
    <w:p>
      <w:pPr>
        <w:spacing w:after="0" w:line="208" w:lineRule="auto"/>
        <w:jc w:val="left"/>
        <w:rPr>
          <w:sz w:val="16"/>
        </w:rPr>
        <w:sectPr>
          <w:type w:val="continuous"/>
          <w:pgSz w:w="11880" w:h="16840"/>
          <w:pgMar w:top="1040" w:bottom="280" w:left="640" w:right="620"/>
          <w:cols w:num="2" w:equalWidth="0">
            <w:col w:w="3774" w:space="1006"/>
            <w:col w:w="5840"/>
          </w:cols>
        </w:sectPr>
      </w:pPr>
    </w:p>
    <w:p>
      <w:pPr>
        <w:pStyle w:val="BodyText"/>
        <w:rPr>
          <w:sz w:val="20"/>
        </w:rPr>
      </w:pPr>
    </w:p>
    <w:p>
      <w:pPr>
        <w:spacing w:after="0"/>
        <w:rPr>
          <w:sz w:val="20"/>
        </w:rPr>
        <w:sectPr>
          <w:pgSz w:w="11880" w:h="16840"/>
          <w:pgMar w:header="566" w:footer="597" w:top="760" w:bottom="780" w:left="640" w:right="620"/>
        </w:sectPr>
      </w:pPr>
    </w:p>
    <w:p>
      <w:pPr>
        <w:pStyle w:val="BodyText"/>
        <w:rPr>
          <w:sz w:val="22"/>
        </w:rPr>
      </w:pPr>
    </w:p>
    <w:p>
      <w:pPr>
        <w:pStyle w:val="BodyText"/>
        <w:rPr>
          <w:sz w:val="22"/>
        </w:rPr>
      </w:pPr>
    </w:p>
    <w:p>
      <w:pPr>
        <w:pStyle w:val="BodyText"/>
        <w:spacing w:before="2"/>
        <w:rPr>
          <w:sz w:val="19"/>
        </w:rPr>
      </w:pPr>
    </w:p>
    <w:p>
      <w:pPr>
        <w:pStyle w:val="Heading9"/>
        <w:spacing w:before="0"/>
        <w:ind w:left="170"/>
      </w:pPr>
      <w:bookmarkStart w:name="Other factors affecting real earnings" w:id="67"/>
      <w:bookmarkEnd w:id="67"/>
      <w:r>
        <w:rPr>
          <w:b w:val="0"/>
        </w:rPr>
      </w:r>
      <w:bookmarkStart w:name="Summary" w:id="68"/>
      <w:bookmarkEnd w:id="68"/>
      <w:r>
        <w:rPr>
          <w:b w:val="0"/>
        </w:rPr>
      </w:r>
      <w:bookmarkStart w:name="_bookmark31" w:id="69"/>
      <w:bookmarkEnd w:id="69"/>
      <w:r>
        <w:rPr>
          <w:b w:val="0"/>
        </w:rPr>
      </w:r>
      <w:r>
        <w:rPr>
          <w:color w:val="0093C1"/>
        </w:rPr>
        <w:t>Chart 4.9</w:t>
      </w:r>
    </w:p>
    <w:p>
      <w:pPr>
        <w:spacing w:line="249" w:lineRule="auto" w:before="10"/>
        <w:ind w:left="170" w:right="20" w:firstLine="0"/>
        <w:jc w:val="left"/>
        <w:rPr>
          <w:sz w:val="12"/>
        </w:rPr>
      </w:pPr>
      <w:r>
        <w:rPr>
          <w:b/>
          <w:color w:val="0093C1"/>
          <w:sz w:val="20"/>
        </w:rPr>
        <w:t>Real product wage, accumulated growth since peak in unemployment</w:t>
      </w:r>
      <w:r>
        <w:rPr>
          <w:color w:val="231F20"/>
          <w:position w:val="4"/>
          <w:sz w:val="12"/>
        </w:rPr>
        <w:t>(a)</w:t>
      </w:r>
    </w:p>
    <w:p>
      <w:pPr>
        <w:tabs>
          <w:tab w:pos="528" w:val="left" w:leader="none"/>
        </w:tabs>
        <w:spacing w:before="47"/>
        <w:ind w:left="215" w:right="0" w:firstLine="0"/>
        <w:jc w:val="left"/>
        <w:rPr>
          <w:sz w:val="12"/>
        </w:rPr>
      </w:pPr>
      <w:r>
        <w:rPr/>
        <w:pict>
          <v:line style="position:absolute;mso-position-horizontal-relative:page;mso-position-vertical-relative:paragraph;z-index:-20744192" from="42.75pt,5.618563pt" to="58.417pt,5.618563pt" stroked="true" strokeweight="1pt" strokecolor="#0066a5">
            <v:stroke dashstyle="solid"/>
            <w10:wrap type="none"/>
          </v:line>
        </w:pict>
      </w:r>
      <w:r>
        <w:rPr>
          <w:sz w:val="12"/>
          <w:u w:val="single" w:color="ED1B2D"/>
        </w:rPr>
        <w:t> </w:t>
        <w:tab/>
      </w:r>
      <w:r>
        <w:rPr>
          <w:sz w:val="12"/>
        </w:rPr>
        <w:t>  </w:t>
      </w:r>
      <w:r>
        <w:rPr>
          <w:spacing w:val="-15"/>
          <w:sz w:val="12"/>
        </w:rPr>
        <w:t> </w:t>
      </w:r>
      <w:r>
        <w:rPr>
          <w:sz w:val="12"/>
        </w:rPr>
        <w:t>Accumulated growth since 1984 Q1</w:t>
      </w:r>
    </w:p>
    <w:p>
      <w:pPr>
        <w:spacing w:before="207"/>
        <w:ind w:left="170" w:right="0" w:firstLine="0"/>
        <w:jc w:val="left"/>
        <w:rPr>
          <w:i/>
          <w:sz w:val="24"/>
        </w:rPr>
      </w:pPr>
      <w:r>
        <w:rPr/>
        <w:br w:type="column"/>
      </w:r>
      <w:r>
        <w:rPr>
          <w:i/>
          <w:color w:val="009483"/>
          <w:sz w:val="24"/>
        </w:rPr>
        <w:t>Other factors affecting real earnings</w:t>
      </w:r>
    </w:p>
    <w:p>
      <w:pPr>
        <w:spacing w:line="242" w:lineRule="auto" w:before="124"/>
        <w:ind w:left="170" w:right="204" w:hanging="1"/>
        <w:jc w:val="left"/>
        <w:rPr>
          <w:sz w:val="24"/>
        </w:rPr>
      </w:pPr>
      <w:r>
        <w:rPr>
          <w:color w:val="231F20"/>
          <w:sz w:val="24"/>
        </w:rPr>
        <w:t>The labour market seems to be as tight now as it was in the late 1980s, according to most measures. But the growth of real earnings per week in this recovery has been much lower than in the previous recovery, when</w:t>
      </w:r>
    </w:p>
    <w:p>
      <w:pPr>
        <w:spacing w:after="0" w:line="242" w:lineRule="auto"/>
        <w:jc w:val="left"/>
        <w:rPr>
          <w:sz w:val="24"/>
        </w:rPr>
        <w:sectPr>
          <w:type w:val="continuous"/>
          <w:pgSz w:w="11880" w:h="16840"/>
          <w:pgMar w:top="1040" w:bottom="280" w:left="640" w:right="620"/>
          <w:cols w:num="2" w:equalWidth="0">
            <w:col w:w="3660" w:space="1135"/>
            <w:col w:w="5825"/>
          </w:cols>
        </w:sectPr>
      </w:pPr>
    </w:p>
    <w:p>
      <w:pPr>
        <w:spacing w:line="88" w:lineRule="exact" w:before="0"/>
        <w:ind w:left="603" w:right="0" w:firstLine="0"/>
        <w:jc w:val="left"/>
        <w:rPr>
          <w:sz w:val="12"/>
        </w:rPr>
      </w:pPr>
      <w:r>
        <w:rPr>
          <w:sz w:val="12"/>
        </w:rPr>
        <w:t>Accumulated growth since 1992 Q4</w:t>
      </w:r>
    </w:p>
    <w:p>
      <w:pPr>
        <w:pStyle w:val="BodyText"/>
        <w:spacing w:line="20" w:lineRule="exact"/>
        <w:ind w:left="215"/>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3"/>
        </w:rPr>
      </w:pPr>
      <w:r>
        <w:rPr/>
        <w:pict>
          <v:shape style="position:absolute;margin-left:43pt;margin-top:9.710742pt;width:4pt;height:.1pt;mso-position-horizontal-relative:page;mso-position-vertical-relative:paragraph;z-index:-15466496;mso-wrap-distance-left:0;mso-wrap-distance-right:0" coordorigin="860,194" coordsize="80,0" path="m860,194l940,194e" filled="false" stroked="true" strokeweight=".5pt" strokecolor="#000000">
            <v:path arrowok="t"/>
            <v:stroke dashstyle="solid"/>
            <w10:wrap type="topAndBottom"/>
          </v:shape>
        </w:pict>
      </w:r>
    </w:p>
    <w:p>
      <w:pPr>
        <w:spacing w:line="172" w:lineRule="auto" w:before="0"/>
        <w:ind w:left="603" w:right="0" w:firstLine="0"/>
        <w:jc w:val="left"/>
        <w:rPr>
          <w:sz w:val="12"/>
        </w:rPr>
      </w:pPr>
      <w:r>
        <w:rPr/>
        <w:br w:type="column"/>
      </w:r>
      <w:r>
        <w:rPr>
          <w:sz w:val="12"/>
        </w:rPr>
        <w:t>Per cent </w:t>
      </w:r>
      <w:r>
        <w:rPr>
          <w:spacing w:val="13"/>
          <w:sz w:val="12"/>
        </w:rPr>
        <w:t> </w:t>
      </w:r>
      <w:r>
        <w:rPr>
          <w:position w:val="-6"/>
          <w:sz w:val="12"/>
        </w:rPr>
        <w:t>16</w:t>
      </w:r>
    </w:p>
    <w:p>
      <w:pPr>
        <w:spacing w:before="172"/>
        <w:ind w:left="0" w:right="38" w:firstLine="0"/>
        <w:jc w:val="right"/>
        <w:rPr>
          <w:sz w:val="12"/>
        </w:rPr>
      </w:pPr>
      <w:r>
        <w:rPr/>
        <w:pict>
          <v:group style="position:absolute;margin-left:43pt;margin-top:6.53457pt;width:163pt;height:122pt;mso-position-horizontal-relative:page;mso-position-vertical-relative:paragraph;z-index:15991808" coordorigin="860,131" coordsize="3260,2440">
            <v:shape style="position:absolute;left:860;top:240;width:80;height:1800" coordorigin="860,241" coordsize="80,1800" path="m860,241l940,241m860,541l940,541m860,841l940,841m860,1141l940,1141m860,1441l940,1441m860,1741l940,1741m860,2041l940,2041e" filled="false" stroked="true" strokeweight=".5pt" strokecolor="#000000">
              <v:path arrowok="t"/>
              <v:stroke dashstyle="solid"/>
            </v:shape>
            <v:shape style="position:absolute;left:980;top:1760;width:2360;height:800" coordorigin="980,1761" coordsize="2360,800" path="m980,2341l1120,2441,1240,2521,1380,2561,1500,2481,1640,2301,1760,2221,1900,2261,2020,2101,2160,2041,2280,2041,2420,1961,2540,2001,2680,2001,2820,1961,2940,2101,3080,1961,3200,1761,3340,1761e" filled="false" stroked="true" strokeweight="1pt" strokecolor="#ed1b2d">
              <v:path arrowok="t"/>
              <v:stroke dashstyle="solid"/>
            </v:shape>
            <v:shape style="position:absolute;left:4040;top:240;width:80;height:2100" coordorigin="4040,241" coordsize="80,2100" path="m4040,241l4120,241m4040,541l4120,541m4040,841l4120,841m4040,1141l4120,1141m4040,1441l4120,1441m4040,1741l4120,1741m4040,2041l4120,2041m4040,2341l4120,2341e" filled="false" stroked="true" strokeweight=".5pt" strokecolor="#000000">
              <v:path arrowok="t"/>
              <v:stroke dashstyle="solid"/>
            </v:shape>
            <v:shape style="position:absolute;left:980;top:140;width:3000;height:2320" coordorigin="980,141" coordsize="3000,2320" path="m980,2341l1120,2461,1240,2401,1380,2301,1500,2141,1640,2141,1760,2041,1900,1881,2020,1641,2160,1221,2280,1061,2420,961,2540,1021,2680,961,2820,861,2940,761,3080,661,3200,561,3340,561,3460,561,3600,561,3720,301,3860,301,3980,141e" filled="false" stroked="true" strokeweight="1pt" strokecolor="#0066a5">
              <v:path arrowok="t"/>
              <v:stroke dashstyle="solid"/>
            </v:shape>
            <v:shape style="position:absolute;left:860;top:130;width:3260;height:244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25"/>
                      </w:rPr>
                    </w:pPr>
                  </w:p>
                  <w:p>
                    <w:pPr>
                      <w:tabs>
                        <w:tab w:pos="3119" w:val="left" w:leader="none"/>
                      </w:tabs>
                      <w:spacing w:before="0"/>
                      <w:ind w:left="0" w:right="0" w:firstLine="0"/>
                      <w:jc w:val="left"/>
                      <w:rPr>
                        <w:sz w:val="16"/>
                      </w:rPr>
                    </w:pPr>
                    <w:r>
                      <w:rPr>
                        <w:sz w:val="16"/>
                        <w:u w:val="single"/>
                      </w:rPr>
                      <w:t> </w:t>
                      <w:tab/>
                    </w:r>
                  </w:p>
                </w:txbxContent>
              </v:textbox>
              <w10:wrap type="none"/>
            </v:shape>
            <w10:wrap type="none"/>
          </v:group>
        </w:pict>
      </w:r>
      <w:r>
        <w:rPr/>
        <w:pict>
          <v:line style="position:absolute;mso-position-horizontal-relative:page;mso-position-vertical-relative:paragraph;z-index:-20745216" from="202pt,-2.96543pt" to="206pt,-2.96543pt" stroked="true" strokeweight=".5pt" strokecolor="#000000">
            <v:stroke dashstyle="solid"/>
            <w10:wrap type="none"/>
          </v:line>
        </w:pict>
      </w:r>
      <w:r>
        <w:rPr>
          <w:sz w:val="12"/>
        </w:rPr>
        <w:t>14</w:t>
      </w:r>
    </w:p>
    <w:p>
      <w:pPr>
        <w:pStyle w:val="BodyText"/>
        <w:spacing w:before="1"/>
        <w:rPr>
          <w:sz w:val="14"/>
        </w:rPr>
      </w:pPr>
    </w:p>
    <w:p>
      <w:pPr>
        <w:spacing w:before="0"/>
        <w:ind w:left="0" w:right="38" w:firstLine="0"/>
        <w:jc w:val="right"/>
        <w:rPr>
          <w:sz w:val="12"/>
        </w:rPr>
      </w:pPr>
      <w:r>
        <w:rPr>
          <w:sz w:val="12"/>
        </w:rPr>
        <w:t>12</w:t>
      </w:r>
    </w:p>
    <w:p>
      <w:pPr>
        <w:pStyle w:val="BodyText"/>
        <w:spacing w:before="1"/>
        <w:rPr>
          <w:sz w:val="14"/>
        </w:rPr>
      </w:pPr>
    </w:p>
    <w:p>
      <w:pPr>
        <w:spacing w:before="0"/>
        <w:ind w:left="0" w:right="38" w:firstLine="0"/>
        <w:jc w:val="right"/>
        <w:rPr>
          <w:sz w:val="12"/>
        </w:rPr>
      </w:pPr>
      <w:r>
        <w:rPr>
          <w:sz w:val="12"/>
        </w:rPr>
        <w:t>10</w:t>
      </w:r>
    </w:p>
    <w:p>
      <w:pPr>
        <w:pStyle w:val="BodyText"/>
        <w:spacing w:before="1"/>
        <w:rPr>
          <w:sz w:val="14"/>
        </w:rPr>
      </w:pPr>
    </w:p>
    <w:p>
      <w:pPr>
        <w:spacing w:before="0"/>
        <w:ind w:left="0" w:right="38" w:firstLine="0"/>
        <w:jc w:val="right"/>
        <w:rPr>
          <w:sz w:val="12"/>
        </w:rPr>
      </w:pPr>
      <w:r>
        <w:rPr>
          <w:sz w:val="12"/>
        </w:rPr>
        <w:t>8</w:t>
      </w:r>
    </w:p>
    <w:p>
      <w:pPr>
        <w:pStyle w:val="BodyText"/>
        <w:spacing w:before="1"/>
        <w:rPr>
          <w:sz w:val="14"/>
        </w:rPr>
      </w:pPr>
    </w:p>
    <w:p>
      <w:pPr>
        <w:spacing w:before="0"/>
        <w:ind w:left="0" w:right="38" w:firstLine="0"/>
        <w:jc w:val="right"/>
        <w:rPr>
          <w:sz w:val="12"/>
        </w:rPr>
      </w:pPr>
      <w:r>
        <w:rPr>
          <w:sz w:val="12"/>
        </w:rPr>
        <w:t>6</w:t>
      </w:r>
    </w:p>
    <w:p>
      <w:pPr>
        <w:pStyle w:val="BodyText"/>
        <w:spacing w:before="1"/>
        <w:rPr>
          <w:sz w:val="14"/>
        </w:rPr>
      </w:pPr>
    </w:p>
    <w:p>
      <w:pPr>
        <w:spacing w:before="0"/>
        <w:ind w:left="0" w:right="38" w:firstLine="0"/>
        <w:jc w:val="right"/>
        <w:rPr>
          <w:sz w:val="12"/>
        </w:rPr>
      </w:pPr>
      <w:r>
        <w:rPr>
          <w:sz w:val="12"/>
        </w:rPr>
        <w:t>4</w:t>
      </w:r>
    </w:p>
    <w:p>
      <w:pPr>
        <w:pStyle w:val="BodyText"/>
        <w:spacing w:before="1"/>
        <w:rPr>
          <w:sz w:val="14"/>
        </w:rPr>
      </w:pPr>
    </w:p>
    <w:p>
      <w:pPr>
        <w:spacing w:line="124" w:lineRule="exact" w:before="0"/>
        <w:ind w:left="0" w:right="38" w:firstLine="0"/>
        <w:jc w:val="right"/>
        <w:rPr>
          <w:sz w:val="12"/>
        </w:rPr>
      </w:pPr>
      <w:r>
        <w:rPr>
          <w:sz w:val="12"/>
        </w:rPr>
        <w:t>2</w:t>
      </w:r>
    </w:p>
    <w:p>
      <w:pPr>
        <w:spacing w:line="170" w:lineRule="exact" w:before="0"/>
        <w:ind w:left="1023" w:right="0" w:firstLine="0"/>
        <w:jc w:val="left"/>
        <w:rPr>
          <w:sz w:val="16"/>
        </w:rPr>
      </w:pPr>
      <w:r>
        <w:rPr>
          <w:sz w:val="16"/>
        </w:rPr>
        <w:t>+</w:t>
      </w:r>
    </w:p>
    <w:p>
      <w:pPr>
        <w:spacing w:before="7"/>
        <w:ind w:left="1023" w:right="0" w:firstLine="0"/>
        <w:jc w:val="left"/>
        <w:rPr>
          <w:sz w:val="12"/>
        </w:rPr>
      </w:pPr>
      <w:r>
        <w:rPr>
          <w:position w:val="-10"/>
          <w:sz w:val="16"/>
        </w:rPr>
        <w:t>_</w:t>
      </w:r>
      <w:r>
        <w:rPr>
          <w:spacing w:val="-17"/>
          <w:position w:val="-10"/>
          <w:sz w:val="16"/>
        </w:rPr>
        <w:t> </w:t>
      </w:r>
      <w:r>
        <w:rPr>
          <w:sz w:val="12"/>
        </w:rPr>
        <w:t>0</w:t>
      </w:r>
    </w:p>
    <w:p>
      <w:pPr>
        <w:spacing w:before="63"/>
        <w:ind w:left="0" w:right="38" w:firstLine="0"/>
        <w:jc w:val="right"/>
        <w:rPr>
          <w:sz w:val="12"/>
        </w:rPr>
      </w:pPr>
      <w:r>
        <w:rPr/>
        <w:pict>
          <v:line style="position:absolute;mso-position-horizontal-relative:page;mso-position-vertical-relative:paragraph;z-index:15993344" from="202pt,6.582556pt" to="206pt,6.582556pt" stroked="true" strokeweight=".5pt" strokecolor="#000000">
            <v:stroke dashstyle="solid"/>
            <w10:wrap type="none"/>
          </v:line>
        </w:pict>
      </w:r>
      <w:r>
        <w:rPr>
          <w:sz w:val="12"/>
        </w:rPr>
        <w:t>2</w:t>
      </w:r>
    </w:p>
    <w:p>
      <w:pPr>
        <w:pStyle w:val="Heading5"/>
        <w:spacing w:line="242" w:lineRule="auto" w:before="6"/>
        <w:ind w:left="603" w:right="208"/>
      </w:pPr>
      <w:r>
        <w:rPr/>
        <w:br w:type="column"/>
      </w:r>
      <w:r>
        <w:rPr>
          <w:color w:val="231F20"/>
        </w:rPr>
        <w:t>unemployment fell at a slower rate than during the past few years (see Chart 4.9). This is also true of real earnings per hour:  between 1993 and 1997, real earnings per hour grew by around 7%, compared with 14% in the equivalent period of the previous </w:t>
      </w:r>
      <w:r>
        <w:rPr>
          <w:color w:val="231F20"/>
          <w:spacing w:val="-3"/>
        </w:rPr>
        <w:t>recovery. </w:t>
      </w:r>
      <w:r>
        <w:rPr>
          <w:color w:val="231F20"/>
        </w:rPr>
        <w:t>Previous </w:t>
      </w:r>
      <w:r>
        <w:rPr>
          <w:i/>
          <w:color w:val="231F20"/>
        </w:rPr>
        <w:t>Reports </w:t>
      </w:r>
      <w:r>
        <w:rPr>
          <w:color w:val="231F20"/>
          <w:spacing w:val="-3"/>
        </w:rPr>
        <w:t>have </w:t>
      </w:r>
      <w:r>
        <w:rPr>
          <w:color w:val="231F20"/>
        </w:rPr>
        <w:t>discussed possible reasons for </w:t>
      </w:r>
      <w:r>
        <w:rPr>
          <w:color w:val="231F20"/>
          <w:spacing w:val="-4"/>
        </w:rPr>
        <w:t>the </w:t>
      </w:r>
      <w:r>
        <w:rPr>
          <w:color w:val="231F20"/>
        </w:rPr>
        <w:t>slower growth of real earnings during the 1990s. The cost of losing a job seems to be higher in the 1990s than the 1980s, partly because unemployment benefit has fallen in value relative to earnings. And union membership has fallen considerably during the</w:t>
      </w:r>
      <w:r>
        <w:rPr>
          <w:color w:val="231F20"/>
          <w:spacing w:val="-3"/>
        </w:rPr>
        <w:t> </w:t>
      </w:r>
      <w:r>
        <w:rPr>
          <w:color w:val="231F20"/>
        </w:rPr>
        <w:t>past</w:t>
      </w:r>
    </w:p>
    <w:p>
      <w:pPr>
        <w:spacing w:after="0" w:line="242" w:lineRule="auto"/>
        <w:sectPr>
          <w:type w:val="continuous"/>
          <w:pgSz w:w="11880" w:h="16840"/>
          <w:pgMar w:top="1040" w:bottom="280" w:left="640" w:right="620"/>
          <w:cols w:num="3" w:equalWidth="0">
            <w:col w:w="2377" w:space="90"/>
            <w:col w:w="1227" w:space="668"/>
            <w:col w:w="6258"/>
          </w:cols>
        </w:sectPr>
      </w:pPr>
    </w:p>
    <w:p>
      <w:pPr>
        <w:tabs>
          <w:tab w:pos="3593" w:val="left" w:leader="none"/>
        </w:tabs>
        <w:spacing w:line="216" w:lineRule="exact" w:before="0"/>
        <w:ind w:left="310" w:right="0" w:firstLine="0"/>
        <w:jc w:val="left"/>
        <w:rPr>
          <w:sz w:val="12"/>
        </w:rPr>
      </w:pPr>
      <w:r>
        <w:rPr/>
        <w:pict>
          <v:shape style="position:absolute;margin-left:43pt;margin-top:-.020566pt;width:163pt;height:3pt;mso-position-horizontal-relative:page;mso-position-vertical-relative:paragraph;z-index:-20745728" coordorigin="860,0" coordsize="3260,60" path="m860,60l940,60m980,60l980,0m1120,60l1120,0m1240,60l1240,0m1380,60l1380,0m1500,60l1500,0m1640,60l1640,0m1760,60l1760,0m1900,60l1900,0m2020,60l2020,0m2160,60l2160,0m2280,60l2280,0m2420,60l2420,0m2560,60l2560,0m2680,60l2680,0m2820,60l2820,0m2940,60l2940,0m3080,60l3080,0m3200,60l3200,0m3340,60l3340,0m3460,60l3460,0m3600,60l3600,0m3720,60l3720,0m3860,60l3860,0m3980,60l3980,0m980,60l3980,60m4040,60l4120,60e" filled="false" stroked="true" strokeweight=".5pt" strokecolor="#000000">
            <v:path arrowok="t"/>
            <v:stroke dashstyle="solid"/>
            <w10:wrap type="none"/>
          </v:shape>
        </w:pict>
      </w:r>
      <w:r>
        <w:rPr>
          <w:sz w:val="12"/>
        </w:rPr>
        <w:t>1       3       5       7       9      11     13     15     17     19 </w:t>
      </w:r>
      <w:r>
        <w:rPr>
          <w:spacing w:val="19"/>
          <w:sz w:val="12"/>
        </w:rPr>
        <w:t> </w:t>
      </w:r>
      <w:r>
        <w:rPr>
          <w:sz w:val="12"/>
        </w:rPr>
        <w:t>21  </w:t>
      </w:r>
      <w:r>
        <w:rPr>
          <w:spacing w:val="30"/>
          <w:sz w:val="12"/>
        </w:rPr>
        <w:t> </w:t>
      </w:r>
      <w:r>
        <w:rPr>
          <w:sz w:val="12"/>
        </w:rPr>
        <w:t>23</w:t>
        <w:tab/>
      </w:r>
      <w:r>
        <w:rPr>
          <w:position w:val="9"/>
          <w:sz w:val="12"/>
        </w:rPr>
        <w:t>4</w:t>
      </w:r>
    </w:p>
    <w:p>
      <w:pPr>
        <w:spacing w:before="22"/>
        <w:ind w:left="930" w:right="0" w:firstLine="0"/>
        <w:jc w:val="left"/>
        <w:rPr>
          <w:sz w:val="12"/>
        </w:rPr>
      </w:pPr>
      <w:r>
        <w:rPr>
          <w:sz w:val="12"/>
        </w:rPr>
        <w:t>Quarters since peak in unemployment</w:t>
      </w:r>
    </w:p>
    <w:p>
      <w:pPr>
        <w:pStyle w:val="ListParagraph"/>
        <w:numPr>
          <w:ilvl w:val="1"/>
          <w:numId w:val="28"/>
        </w:numPr>
        <w:tabs>
          <w:tab w:pos="390" w:val="left" w:leader="none"/>
        </w:tabs>
        <w:spacing w:line="208" w:lineRule="auto" w:before="50" w:after="0"/>
        <w:ind w:left="390" w:right="38" w:hanging="240"/>
        <w:jc w:val="left"/>
        <w:rPr>
          <w:sz w:val="12"/>
        </w:rPr>
      </w:pPr>
      <w:r>
        <w:rPr>
          <w:color w:val="231F20"/>
          <w:sz w:val="12"/>
        </w:rPr>
        <w:t>The real product wage includes both wages and salaries and employers’ social security contributions and deflates these by the GDP deflator at factor cost.</w:t>
      </w:r>
    </w:p>
    <w:p>
      <w:pPr>
        <w:pStyle w:val="Heading5"/>
        <w:spacing w:line="242" w:lineRule="auto" w:before="14"/>
        <w:ind w:left="151" w:right="15" w:hanging="1"/>
      </w:pPr>
      <w:r>
        <w:rPr/>
        <w:br w:type="column"/>
      </w:r>
      <w:r>
        <w:rPr>
          <w:color w:val="231F20"/>
        </w:rPr>
        <w:t>15 years, which might have reduced employees’ bargaining power.</w:t>
      </w:r>
    </w:p>
    <w:p>
      <w:pPr>
        <w:pStyle w:val="BodyText"/>
        <w:spacing w:before="5"/>
        <w:rPr>
          <w:sz w:val="26"/>
        </w:rPr>
      </w:pPr>
    </w:p>
    <w:p>
      <w:pPr>
        <w:pStyle w:val="ListParagraph"/>
        <w:numPr>
          <w:ilvl w:val="1"/>
          <w:numId w:val="21"/>
        </w:numPr>
        <w:tabs>
          <w:tab w:pos="4248" w:val="left" w:leader="none"/>
          <w:tab w:pos="4249" w:val="left" w:leader="none"/>
          <w:tab w:pos="5644" w:val="left" w:leader="none"/>
        </w:tabs>
        <w:spacing w:line="240" w:lineRule="auto" w:before="0" w:after="0"/>
        <w:ind w:left="4248" w:right="0" w:hanging="4099"/>
        <w:jc w:val="left"/>
        <w:rPr>
          <w:b/>
          <w:sz w:val="28"/>
        </w:rPr>
      </w:pPr>
      <w:r>
        <w:rPr>
          <w:b/>
          <w:color w:val="009483"/>
          <w:sz w:val="28"/>
          <w:u w:val="thick" w:color="0093C1"/>
        </w:rPr>
        <w:t>Summary</w:t>
        <w:tab/>
      </w:r>
    </w:p>
    <w:p>
      <w:pPr>
        <w:spacing w:line="242" w:lineRule="auto" w:before="264"/>
        <w:ind w:left="150" w:right="175" w:firstLine="0"/>
        <w:jc w:val="left"/>
        <w:rPr>
          <w:sz w:val="24"/>
        </w:rPr>
      </w:pPr>
      <w:r>
        <w:rPr>
          <w:color w:val="231F20"/>
          <w:sz w:val="24"/>
        </w:rPr>
        <w:t>Annual nominal earnings growth picked up during 1996, but has remained flat at just under 4</w:t>
      </w:r>
      <w:r>
        <w:rPr>
          <w:color w:val="231F20"/>
          <w:position w:val="8"/>
          <w:sz w:val="12"/>
        </w:rPr>
        <w:t>1</w:t>
      </w:r>
      <w:r>
        <w:rPr>
          <w:color w:val="231F20"/>
          <w:sz w:val="24"/>
        </w:rPr>
        <w:t>/</w:t>
      </w:r>
      <w:r>
        <w:rPr>
          <w:color w:val="231F20"/>
          <w:sz w:val="12"/>
        </w:rPr>
        <w:t>2</w:t>
      </w:r>
      <w:r>
        <w:rPr>
          <w:color w:val="231F20"/>
          <w:sz w:val="24"/>
        </w:rPr>
        <w:t>% since the start of 1997, close to the rate consistent with the inflation target. Any increase in the current growth rate of nominal earnings would be difficult to reconcile with the inflation target of 2</w:t>
      </w:r>
      <w:r>
        <w:rPr>
          <w:color w:val="231F20"/>
          <w:position w:val="8"/>
          <w:sz w:val="12"/>
        </w:rPr>
        <w:t>1</w:t>
      </w:r>
      <w:r>
        <w:rPr>
          <w:color w:val="231F20"/>
          <w:sz w:val="24"/>
        </w:rPr>
        <w:t>/</w:t>
      </w:r>
      <w:r>
        <w:rPr>
          <w:color w:val="231F20"/>
          <w:sz w:val="12"/>
        </w:rPr>
        <w:t>2</w:t>
      </w:r>
      <w:r>
        <w:rPr>
          <w:color w:val="231F20"/>
          <w:sz w:val="24"/>
        </w:rPr>
        <w:t>%. Though higher earnings growth might be absorbed by falling margins, this could not continue indefinitely. Employment has grown more than unemployment has fallen, as both the population of working age and participation in the labour market </w:t>
      </w:r>
      <w:r>
        <w:rPr>
          <w:color w:val="231F20"/>
          <w:spacing w:val="-3"/>
          <w:sz w:val="24"/>
        </w:rPr>
        <w:t>have </w:t>
      </w:r>
      <w:r>
        <w:rPr>
          <w:color w:val="231F20"/>
          <w:sz w:val="24"/>
        </w:rPr>
        <w:t>increased. A number of indicators, such as unemployment and hours worked, suggest that the labour market is at least as tight now as in the late </w:t>
      </w:r>
      <w:r>
        <w:rPr>
          <w:color w:val="231F20"/>
          <w:spacing w:val="-3"/>
          <w:sz w:val="24"/>
        </w:rPr>
        <w:t>1980s. </w:t>
      </w:r>
      <w:r>
        <w:rPr>
          <w:color w:val="231F20"/>
          <w:sz w:val="24"/>
        </w:rPr>
        <w:t>It is difficult to predict </w:t>
      </w:r>
      <w:r>
        <w:rPr>
          <w:color w:val="231F20"/>
          <w:spacing w:val="-3"/>
          <w:sz w:val="24"/>
        </w:rPr>
        <w:t>how </w:t>
      </w:r>
      <w:r>
        <w:rPr>
          <w:color w:val="231F20"/>
          <w:sz w:val="24"/>
        </w:rPr>
        <w:t>much further unemployment can fall before there is increased economy-wide pressure on real</w:t>
      </w:r>
      <w:r>
        <w:rPr>
          <w:color w:val="231F20"/>
          <w:spacing w:val="-1"/>
          <w:sz w:val="24"/>
        </w:rPr>
        <w:t> </w:t>
      </w:r>
      <w:r>
        <w:rPr>
          <w:color w:val="231F20"/>
          <w:sz w:val="24"/>
        </w:rPr>
        <w:t>earnings.</w:t>
      </w:r>
    </w:p>
    <w:p>
      <w:pPr>
        <w:spacing w:after="0" w:line="242" w:lineRule="auto"/>
        <w:jc w:val="left"/>
        <w:rPr>
          <w:sz w:val="24"/>
        </w:rPr>
        <w:sectPr>
          <w:type w:val="continuous"/>
          <w:pgSz w:w="11880" w:h="16840"/>
          <w:pgMar w:top="1040" w:bottom="280" w:left="640" w:right="620"/>
          <w:cols w:num="2" w:equalWidth="0">
            <w:col w:w="3876" w:space="940"/>
            <w:col w:w="5804"/>
          </w:cols>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462400;mso-wrap-distance-left:0;mso-wrap-distance-right:0" type="#_x0000_t202" filled="true" fillcolor="#b5dad6" stroked="false">
            <v:textbox inset="0,0,0,0">
              <w:txbxContent>
                <w:p>
                  <w:pPr>
                    <w:tabs>
                      <w:tab w:pos="6740" w:val="left" w:leader="none"/>
                    </w:tabs>
                    <w:spacing w:before="51"/>
                    <w:ind w:left="260" w:right="0" w:firstLine="0"/>
                    <w:jc w:val="left"/>
                    <w:rPr>
                      <w:b/>
                      <w:sz w:val="48"/>
                    </w:rPr>
                  </w:pPr>
                  <w:bookmarkStart w:name="Costs and prices" w:id="70"/>
                  <w:bookmarkEnd w:id="70"/>
                  <w:r>
                    <w:rPr/>
                  </w:r>
                  <w:bookmarkStart w:name="Import prices and the exchange rate" w:id="71"/>
                  <w:bookmarkEnd w:id="71"/>
                  <w:r>
                    <w:rPr/>
                  </w:r>
                  <w:bookmarkStart w:name="_bookmark32" w:id="72"/>
                  <w:bookmarkEnd w:id="72"/>
                  <w:r>
                    <w:rPr/>
                  </w:r>
                  <w:bookmarkStart w:name="_bookmark33" w:id="73"/>
                  <w:bookmarkEnd w:id="73"/>
                  <w:r>
                    <w:rPr/>
                  </w:r>
                  <w:r>
                    <w:rPr>
                      <w:b/>
                      <w:color w:val="009483"/>
                      <w:sz w:val="72"/>
                    </w:rPr>
                    <w:t>5</w:t>
                    <w:tab/>
                  </w:r>
                  <w:r>
                    <w:rPr>
                      <w:b/>
                      <w:color w:val="009483"/>
                      <w:sz w:val="48"/>
                    </w:rPr>
                    <w:t>Costs and prices</w:t>
                  </w:r>
                </w:p>
              </w:txbxContent>
            </v:textbox>
            <v:fill type="solid"/>
            <w10:wrap type="topAndBottom"/>
          </v:shape>
        </w:pict>
      </w:r>
    </w:p>
    <w:p>
      <w:pPr>
        <w:pStyle w:val="BodyText"/>
        <w:rPr>
          <w:sz w:val="20"/>
        </w:rPr>
      </w:pPr>
    </w:p>
    <w:p>
      <w:pPr>
        <w:pStyle w:val="BodyText"/>
        <w:rPr>
          <w:sz w:val="20"/>
        </w:rPr>
      </w:pPr>
    </w:p>
    <w:p>
      <w:pPr>
        <w:spacing w:line="242" w:lineRule="auto" w:before="218"/>
        <w:ind w:left="5000" w:right="410" w:firstLine="0"/>
        <w:jc w:val="left"/>
        <w:rPr>
          <w:sz w:val="24"/>
        </w:rPr>
      </w:pPr>
      <w:r>
        <w:rPr>
          <w:color w:val="231F20"/>
          <w:sz w:val="24"/>
        </w:rPr>
        <w:t>Import prices </w:t>
      </w:r>
      <w:r>
        <w:rPr>
          <w:color w:val="231F20"/>
          <w:spacing w:val="-3"/>
          <w:sz w:val="24"/>
        </w:rPr>
        <w:t>have </w:t>
      </w:r>
      <w:r>
        <w:rPr>
          <w:color w:val="231F20"/>
          <w:sz w:val="24"/>
        </w:rPr>
        <w:t>continued only partly to reflect the appreciation of sterling since it began to rise in August 1996. The divergence between costs and </w:t>
      </w:r>
      <w:r>
        <w:rPr>
          <w:color w:val="231F20"/>
          <w:spacing w:val="-4"/>
          <w:sz w:val="24"/>
        </w:rPr>
        <w:t>price </w:t>
      </w:r>
      <w:r>
        <w:rPr>
          <w:color w:val="231F20"/>
          <w:sz w:val="24"/>
        </w:rPr>
        <w:t>pressures in the service sector and those in manufacturing may </w:t>
      </w:r>
      <w:r>
        <w:rPr>
          <w:color w:val="231F20"/>
          <w:spacing w:val="-3"/>
          <w:sz w:val="24"/>
        </w:rPr>
        <w:t>have </w:t>
      </w:r>
      <w:r>
        <w:rPr>
          <w:color w:val="231F20"/>
          <w:sz w:val="24"/>
        </w:rPr>
        <w:t>narrowed. Many</w:t>
      </w:r>
      <w:r>
        <w:rPr>
          <w:color w:val="231F20"/>
          <w:spacing w:val="-3"/>
          <w:sz w:val="24"/>
        </w:rPr>
        <w:t> </w:t>
      </w:r>
      <w:r>
        <w:rPr>
          <w:color w:val="231F20"/>
          <w:sz w:val="24"/>
        </w:rPr>
        <w:t>world</w:t>
      </w:r>
    </w:p>
    <w:p>
      <w:pPr>
        <w:spacing w:line="242" w:lineRule="auto" w:before="7"/>
        <w:ind w:left="5000" w:right="149" w:firstLine="0"/>
        <w:jc w:val="left"/>
        <w:rPr>
          <w:sz w:val="24"/>
        </w:rPr>
      </w:pPr>
      <w:r>
        <w:rPr>
          <w:color w:val="231F20"/>
          <w:sz w:val="24"/>
        </w:rPr>
        <w:t>commodity prices rose at the end of 1996 and in the first half of 1997. Some cost and price changes, such as supply-driven commodity price changes, should have only a short-term effect on the general price level. But others may affect or reflect real activity in the short and medium term.</w:t>
      </w:r>
    </w:p>
    <w:p>
      <w:pPr>
        <w:pStyle w:val="BodyText"/>
        <w:rPr>
          <w:sz w:val="21"/>
        </w:rPr>
      </w:pPr>
    </w:p>
    <w:p>
      <w:pPr>
        <w:spacing w:after="0"/>
        <w:rPr>
          <w:sz w:val="21"/>
        </w:rPr>
        <w:sectPr>
          <w:headerReference w:type="even" r:id="rId69"/>
          <w:footerReference w:type="even" r:id="rId70"/>
          <w:footerReference w:type="default" r:id="rId71"/>
          <w:pgSz w:w="11880" w:h="16840"/>
          <w:pgMar w:header="0" w:footer="597" w:top="780" w:bottom="780" w:left="640" w:right="620"/>
          <w:pgNumType w:start="36"/>
        </w:sectPr>
      </w:pPr>
    </w:p>
    <w:p>
      <w:pPr>
        <w:pStyle w:val="BodyText"/>
        <w:spacing w:before="7"/>
        <w:rPr>
          <w:sz w:val="32"/>
        </w:rPr>
      </w:pPr>
    </w:p>
    <w:p>
      <w:pPr>
        <w:pStyle w:val="Heading9"/>
        <w:spacing w:before="0"/>
        <w:ind w:left="200"/>
      </w:pPr>
      <w:r>
        <w:rPr>
          <w:color w:val="0093C1"/>
        </w:rPr>
        <w:t>Chart 5.1</w:t>
      </w:r>
    </w:p>
    <w:p>
      <w:pPr>
        <w:spacing w:before="10"/>
        <w:ind w:left="200" w:right="0" w:firstLine="0"/>
        <w:jc w:val="left"/>
        <w:rPr>
          <w:b/>
          <w:sz w:val="20"/>
        </w:rPr>
      </w:pPr>
      <w:r>
        <w:rPr>
          <w:b/>
          <w:color w:val="0093C1"/>
          <w:sz w:val="20"/>
        </w:rPr>
        <w:t>Import prices and the exchange rate</w:t>
      </w:r>
    </w:p>
    <w:p>
      <w:pPr>
        <w:tabs>
          <w:tab w:pos="2848" w:val="left" w:leader="none"/>
        </w:tabs>
        <w:spacing w:line="129" w:lineRule="exact" w:before="125"/>
        <w:ind w:left="124" w:right="0" w:firstLine="0"/>
        <w:jc w:val="center"/>
        <w:rPr>
          <w:sz w:val="12"/>
        </w:rPr>
      </w:pPr>
      <w:r>
        <w:rPr>
          <w:sz w:val="12"/>
        </w:rPr>
        <w:t>1990 = 100 (a)</w:t>
        <w:tab/>
        <w:t>1990 = 100 (a)</w:t>
      </w:r>
    </w:p>
    <w:p>
      <w:pPr>
        <w:tabs>
          <w:tab w:pos="3849" w:val="left" w:leader="none"/>
        </w:tabs>
        <w:spacing w:line="139" w:lineRule="exact" w:before="0"/>
        <w:ind w:left="180" w:right="0" w:firstLine="0"/>
        <w:jc w:val="center"/>
        <w:rPr>
          <w:sz w:val="12"/>
        </w:rPr>
      </w:pPr>
      <w:r>
        <w:rPr/>
        <w:pict>
          <v:line style="position:absolute;mso-position-horizontal-relative:page;mso-position-vertical-relative:paragraph;z-index:-20739072" from="223.5pt,2.651855pt" to="218.5pt,2.651855pt" stroked="true" strokeweight=".5pt" strokecolor="#000000">
            <v:stroke dashstyle="solid"/>
            <w10:wrap type="none"/>
          </v:line>
        </w:pict>
      </w:r>
      <w:r>
        <w:rPr/>
        <w:pict>
          <v:line style="position:absolute;mso-position-horizontal-relative:page;mso-position-vertical-relative:paragraph;z-index:-20734976" from="57.5pt,2.651855pt" to="52.5pt,2.651855pt" stroked="true" strokeweight=".5pt" strokecolor="#000000">
            <v:stroke dashstyle="solid"/>
            <w10:wrap type="none"/>
          </v:line>
        </w:pict>
      </w:r>
      <w:r>
        <w:rPr>
          <w:sz w:val="12"/>
        </w:rPr>
        <w:t>71</w:t>
        <w:tab/>
      </w:r>
      <w:r>
        <w:rPr>
          <w:position w:val="1"/>
          <w:sz w:val="12"/>
        </w:rPr>
        <w:t>140</w:t>
      </w:r>
    </w:p>
    <w:p>
      <w:pPr>
        <w:spacing w:before="112"/>
        <w:ind w:left="0" w:right="38" w:firstLine="0"/>
        <w:jc w:val="right"/>
        <w:rPr>
          <w:sz w:val="12"/>
        </w:rPr>
      </w:pPr>
      <w:r>
        <w:rPr/>
        <w:pict>
          <v:line style="position:absolute;mso-position-horizontal-relative:page;mso-position-vertical-relative:paragraph;z-index:15998464" from="223.5pt,8.699549pt" to="218.5pt,8.699549pt" stroked="true" strokeweight=".5pt" strokecolor="#000000">
            <v:stroke dashstyle="solid"/>
            <w10:wrap type="none"/>
          </v:line>
        </w:pict>
      </w:r>
      <w:r>
        <w:rPr/>
        <w:pict>
          <v:line style="position:absolute;mso-position-horizontal-relative:page;mso-position-vertical-relative:paragraph;z-index:16002560" from="57.5pt,16.699549pt" to="52.5pt,16.699549pt" stroked="true" strokeweight=".5pt" strokecolor="#000000">
            <v:stroke dashstyle="solid"/>
            <w10:wrap type="none"/>
          </v:line>
        </w:pict>
      </w:r>
      <w:r>
        <w:rPr>
          <w:sz w:val="12"/>
        </w:rPr>
        <w:t>135</w:t>
      </w:r>
    </w:p>
    <w:p>
      <w:pPr>
        <w:pStyle w:val="Heading3"/>
        <w:numPr>
          <w:ilvl w:val="1"/>
          <w:numId w:val="29"/>
        </w:numPr>
        <w:tabs>
          <w:tab w:pos="1149" w:val="left" w:leader="none"/>
          <w:tab w:pos="1150" w:val="left" w:leader="none"/>
        </w:tabs>
        <w:spacing w:line="240" w:lineRule="auto" w:before="89" w:after="0"/>
        <w:ind w:left="1149" w:right="0" w:hanging="950"/>
        <w:jc w:val="left"/>
        <w:rPr>
          <w:color w:val="009483"/>
        </w:rPr>
      </w:pPr>
      <w:r>
        <w:rPr>
          <w:color w:val="009483"/>
        </w:rPr>
        <w:br w:type="column"/>
        <w:t>Import prices and the exchange rate</w:t>
      </w:r>
    </w:p>
    <w:p>
      <w:pPr>
        <w:pStyle w:val="BodyText"/>
        <w:spacing w:line="40" w:lineRule="exact"/>
        <w:ind w:left="18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pStyle w:val="Heading5"/>
        <w:spacing w:line="242" w:lineRule="auto" w:before="235"/>
        <w:ind w:left="200" w:right="380"/>
      </w:pPr>
      <w:r>
        <w:rPr>
          <w:color w:val="231F20"/>
        </w:rPr>
        <w:t>The import prices of non-oil goods rose by 0.2% in August 1997 after falling by 1.1% in July. The index in August 1997 was only 6.8% below its level in</w:t>
      </w:r>
    </w:p>
    <w:p>
      <w:pPr>
        <w:spacing w:after="0" w:line="242" w:lineRule="auto"/>
        <w:sectPr>
          <w:type w:val="continuous"/>
          <w:pgSz w:w="11880" w:h="16840"/>
          <w:pgMar w:top="1040" w:bottom="280" w:left="640" w:right="620"/>
          <w:cols w:num="2" w:equalWidth="0">
            <w:col w:w="4111" w:space="689"/>
            <w:col w:w="5820"/>
          </w:cols>
        </w:sectPr>
      </w:pPr>
    </w:p>
    <w:p>
      <w:pPr>
        <w:spacing w:line="116" w:lineRule="exact" w:before="0"/>
        <w:ind w:left="220" w:right="0" w:firstLine="0"/>
        <w:jc w:val="left"/>
        <w:rPr>
          <w:sz w:val="12"/>
        </w:rPr>
      </w:pPr>
      <w:r>
        <w:rPr>
          <w:sz w:val="12"/>
        </w:rPr>
        <w:t>75</w:t>
      </w:r>
    </w:p>
    <w:p>
      <w:pPr>
        <w:pStyle w:val="BodyText"/>
        <w:rPr>
          <w:sz w:val="12"/>
        </w:rPr>
      </w:pPr>
    </w:p>
    <w:p>
      <w:pPr>
        <w:pStyle w:val="BodyText"/>
        <w:rPr>
          <w:sz w:val="12"/>
        </w:rPr>
      </w:pPr>
    </w:p>
    <w:p>
      <w:pPr>
        <w:spacing w:before="86"/>
        <w:ind w:left="220" w:right="0" w:firstLine="0"/>
        <w:jc w:val="left"/>
        <w:rPr>
          <w:sz w:val="12"/>
        </w:rPr>
      </w:pPr>
      <w:r>
        <w:rPr/>
        <w:pict>
          <v:line style="position:absolute;mso-position-horizontal-relative:page;mso-position-vertical-relative:paragraph;z-index:16002048" from="57.5pt,6.901563pt" to="52.5pt,6.901563pt" stroked="true" strokeweight=".5pt" strokecolor="#000000">
            <v:stroke dashstyle="solid"/>
            <w10:wrap type="none"/>
          </v:line>
        </w:pict>
      </w:r>
      <w:r>
        <w:rPr>
          <w:sz w:val="12"/>
        </w:rPr>
        <w:t>80</w:t>
      </w:r>
    </w:p>
    <w:p>
      <w:pPr>
        <w:pStyle w:val="BodyText"/>
        <w:rPr>
          <w:sz w:val="12"/>
        </w:rPr>
      </w:pPr>
    </w:p>
    <w:p>
      <w:pPr>
        <w:pStyle w:val="BodyText"/>
        <w:rPr>
          <w:sz w:val="16"/>
        </w:rPr>
      </w:pPr>
    </w:p>
    <w:p>
      <w:pPr>
        <w:spacing w:before="0"/>
        <w:ind w:left="220" w:right="0" w:firstLine="0"/>
        <w:jc w:val="left"/>
        <w:rPr>
          <w:sz w:val="12"/>
        </w:rPr>
      </w:pPr>
      <w:r>
        <w:rPr/>
        <w:pict>
          <v:line style="position:absolute;mso-position-horizontal-relative:page;mso-position-vertical-relative:paragraph;z-index:16001536" from="57.5pt,2.603577pt" to="52.5pt,2.603577pt" stroked="true" strokeweight=".5pt" strokecolor="#000000">
            <v:stroke dashstyle="solid"/>
            <w10:wrap type="none"/>
          </v:line>
        </w:pict>
      </w:r>
      <w:r>
        <w:rPr>
          <w:sz w:val="12"/>
        </w:rPr>
        <w:t>85</w:t>
      </w:r>
    </w:p>
    <w:p>
      <w:pPr>
        <w:pStyle w:val="BodyText"/>
        <w:rPr>
          <w:sz w:val="12"/>
        </w:rPr>
      </w:pPr>
    </w:p>
    <w:p>
      <w:pPr>
        <w:pStyle w:val="BodyText"/>
        <w:rPr>
          <w:sz w:val="16"/>
        </w:rPr>
      </w:pPr>
    </w:p>
    <w:p>
      <w:pPr>
        <w:spacing w:before="0"/>
        <w:ind w:left="220" w:right="0" w:firstLine="0"/>
        <w:jc w:val="left"/>
        <w:rPr>
          <w:sz w:val="12"/>
        </w:rPr>
      </w:pPr>
      <w:r>
        <w:rPr/>
        <w:pict>
          <v:line style="position:absolute;mso-position-horizontal-relative:page;mso-position-vertical-relative:paragraph;z-index:16001024" from="57.5pt,2.60556pt" to="52.5pt,2.60556pt" stroked="true" strokeweight=".5pt" strokecolor="#000000">
            <v:stroke dashstyle="solid"/>
            <w10:wrap type="none"/>
          </v:line>
        </w:pict>
      </w:r>
      <w:r>
        <w:rPr>
          <w:sz w:val="12"/>
        </w:rPr>
        <w:t>90</w:t>
      </w:r>
    </w:p>
    <w:p>
      <w:pPr>
        <w:pStyle w:val="BodyText"/>
        <w:rPr>
          <w:sz w:val="12"/>
        </w:rPr>
      </w:pPr>
    </w:p>
    <w:p>
      <w:pPr>
        <w:pStyle w:val="BodyText"/>
        <w:spacing w:before="6"/>
        <w:rPr>
          <w:sz w:val="12"/>
        </w:rPr>
      </w:pPr>
    </w:p>
    <w:p>
      <w:pPr>
        <w:spacing w:before="0"/>
        <w:ind w:left="220" w:right="0" w:firstLine="0"/>
        <w:jc w:val="left"/>
        <w:rPr>
          <w:sz w:val="12"/>
        </w:rPr>
      </w:pPr>
      <w:r>
        <w:rPr/>
        <w:pict>
          <v:line style="position:absolute;mso-position-horizontal-relative:page;mso-position-vertical-relative:paragraph;z-index:16000512" from="57.5pt,2.60556pt" to="52.5pt,2.60556pt" stroked="true" strokeweight=".5pt" strokecolor="#000000">
            <v:stroke dashstyle="solid"/>
            <w10:wrap type="none"/>
          </v:line>
        </w:pict>
      </w:r>
      <w:r>
        <w:rPr>
          <w:sz w:val="12"/>
        </w:rPr>
        <w:t>95</w:t>
      </w:r>
    </w:p>
    <w:p>
      <w:pPr>
        <w:pStyle w:val="BodyText"/>
        <w:rPr>
          <w:sz w:val="12"/>
        </w:rPr>
      </w:pPr>
    </w:p>
    <w:p>
      <w:pPr>
        <w:pStyle w:val="BodyText"/>
        <w:spacing w:before="9"/>
        <w:rPr>
          <w:sz w:val="10"/>
        </w:rPr>
      </w:pPr>
    </w:p>
    <w:p>
      <w:pPr>
        <w:spacing w:before="0"/>
        <w:ind w:left="160" w:right="0" w:firstLine="0"/>
        <w:jc w:val="left"/>
        <w:rPr>
          <w:sz w:val="12"/>
        </w:rPr>
      </w:pPr>
      <w:r>
        <w:rPr/>
        <w:pict>
          <v:line style="position:absolute;mso-position-horizontal-relative:page;mso-position-vertical-relative:paragraph;z-index:16000000" from="57.5pt,1.601563pt" to="52.5pt,1.601563pt" stroked="true" strokeweight=".5pt" strokecolor="#000000">
            <v:stroke dashstyle="solid"/>
            <w10:wrap type="none"/>
          </v:line>
        </w:pict>
      </w:r>
      <w:r>
        <w:rPr>
          <w:sz w:val="12"/>
        </w:rPr>
        <w:t>100</w:t>
      </w:r>
    </w:p>
    <w:p>
      <w:pPr>
        <w:pStyle w:val="BodyText"/>
        <w:spacing w:before="6"/>
        <w:rPr>
          <w:sz w:val="17"/>
        </w:rPr>
      </w:pPr>
    </w:p>
    <w:p>
      <w:pPr>
        <w:spacing w:before="0"/>
        <w:ind w:left="160" w:right="0" w:firstLine="0"/>
        <w:jc w:val="left"/>
        <w:rPr>
          <w:sz w:val="12"/>
        </w:rPr>
      </w:pPr>
      <w:r>
        <w:rPr/>
        <w:pict>
          <v:line style="position:absolute;mso-position-horizontal-relative:page;mso-position-vertical-relative:paragraph;z-index:15999488" from="57.5pt,3.603577pt" to="52.5pt,3.603577pt" stroked="true" strokeweight=".5pt" strokecolor="#000000">
            <v:stroke dashstyle="solid"/>
            <w10:wrap type="none"/>
          </v:line>
        </w:pict>
      </w:r>
      <w:r>
        <w:rPr>
          <w:sz w:val="12"/>
        </w:rPr>
        <w:t>105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tabs>
          <w:tab w:pos="759" w:val="left" w:leader="none"/>
          <w:tab w:pos="1279" w:val="left" w:leader="none"/>
          <w:tab w:pos="1819" w:val="left" w:leader="none"/>
          <w:tab w:pos="2339" w:val="left" w:leader="none"/>
          <w:tab w:pos="2819" w:val="left" w:leader="none"/>
        </w:tabs>
        <w:spacing w:before="0"/>
        <w:ind w:left="160" w:right="0" w:firstLine="0"/>
        <w:jc w:val="left"/>
        <w:rPr>
          <w:sz w:val="12"/>
        </w:rPr>
      </w:pPr>
      <w:r>
        <w:rPr>
          <w:sz w:val="12"/>
        </w:rPr>
        <w:t>1992</w:t>
        <w:tab/>
        <w:t>93</w:t>
        <w:tab/>
        <w:t>94</w:t>
        <w:tab/>
        <w:t>95</w:t>
        <w:tab/>
        <w:t>96</w:t>
        <w:tab/>
        <w:t>97</w:t>
      </w:r>
    </w:p>
    <w:p>
      <w:pPr>
        <w:pStyle w:val="BodyText"/>
        <w:spacing w:before="1"/>
        <w:rPr>
          <w:sz w:val="11"/>
        </w:rPr>
      </w:pPr>
      <w:r>
        <w:rPr/>
        <w:br w:type="column"/>
      </w:r>
      <w:r>
        <w:rPr>
          <w:sz w:val="11"/>
        </w:rPr>
      </w:r>
    </w:p>
    <w:p>
      <w:pPr>
        <w:spacing w:before="0"/>
        <w:ind w:left="160" w:right="0" w:firstLine="0"/>
        <w:jc w:val="left"/>
        <w:rPr>
          <w:sz w:val="12"/>
        </w:rPr>
      </w:pPr>
      <w:r>
        <w:rPr>
          <w:sz w:val="12"/>
        </w:rPr>
        <w:t>130</w:t>
      </w:r>
    </w:p>
    <w:p>
      <w:pPr>
        <w:pStyle w:val="BodyText"/>
        <w:spacing w:before="10"/>
        <w:rPr>
          <w:sz w:val="15"/>
        </w:rPr>
      </w:pPr>
    </w:p>
    <w:p>
      <w:pPr>
        <w:spacing w:before="0"/>
        <w:ind w:left="160" w:right="0" w:firstLine="0"/>
        <w:jc w:val="left"/>
        <w:rPr>
          <w:sz w:val="12"/>
        </w:rPr>
      </w:pPr>
      <w:r>
        <w:rPr/>
        <w:pict>
          <v:group style="position:absolute;margin-left:63.25pt;margin-top:-19.402435pt;width:160.25pt;height:132.75pt;mso-position-horizontal-relative:page;mso-position-vertical-relative:paragraph;z-index:15996928" coordorigin="1265,-388" coordsize="3205,2655">
            <v:shape style="position:absolute;left:1290;top:361;width:3000;height:1780" coordorigin="1290,362" coordsize="3000,1780" path="m1290,1762l1330,1782,1370,1722,1410,1822,1450,1942,1490,1942,1590,1842,1630,1522,1670,882,1730,662,1770,822,1810,882,1850,522,1890,662,1950,902,1990,902,2030,842,2070,1022,2110,1002m2110,1002l2170,962,2210,922,2250,1002,2290,1062,2350,1162,2390,1022,2430,962,2470,922,2510,902,2550,922,2610,802,2650,802,2690,822,2750,902,2830,902,2870,862,2910,762,2950,602m2950,602l3010,502,3090,462,3130,422,3190,502,3230,542,3270,482,3310,402,3350,362,3410,382,3450,442,3490,402,3530,442,3590,522,3630,642,3670,602,3710,522,3770,642,3810,842m3810,842l3850,1162,3890,1302,3930,1482,3970,1602,4030,1582,4070,1762,4110,1722,4170,1822,4210,2142,4290,1822e" filled="false" stroked="true" strokeweight="1pt" strokecolor="#008256">
              <v:path arrowok="t"/>
              <v:stroke dashstyle="solid"/>
            </v:shape>
            <v:shape style="position:absolute;left:1270;top:361;width:3200;height:1900" coordorigin="1270,362" coordsize="3200,1900" path="m1270,2262l4290,2262m1270,2262l1270,2222m1410,2262l1410,2222m1550,2262l1550,2222m1670,2262l1670,2222m1810,2262l1810,2222m1950,2262l1950,2222m2070,2262l2070,2222m2210,2262l2210,2222m2330,2262l2330,2222m2470,2262l2470,2222m2610,2262l2610,2222m2730,2262l2730,2222m2870,2262l2870,2222m3010,2262l3010,2222m3130,2262l3130,2222m3270,2262l3270,2222m3410,2262l3410,2222m3530,2262l3530,2222m3670,2262l3670,2222m3810,2262l3810,2222m3930,2262l3930,2222m4070,2262l4070,2222m4190,2262l4190,2222m1270,2262l1270,2182m1810,2262l1810,2182m2330,2262l2330,2182m2870,2262l2870,2182m3410,2262l3410,2182m3930,2262l3930,2182m1270,2262l4290,2262m1270,2262l1270,2222m1410,2262l1410,2222m1550,2262l1550,2222m1670,2262l1670,2222m1810,2262l1810,2222m1950,2262l1950,2222m2070,2262l2070,2222m2210,2262l2210,2222m2330,2262l2330,2222m2470,2262l2470,2222m2610,2262l2610,2222m2730,2262l2730,2222m2870,2262l2870,2222m3010,2262l3010,2222m3130,2262l3130,2222m3270,2262l3270,2222m3410,2262l3410,2222m3530,2262l3530,2222m3670,2262l3670,2222m3810,2262l3810,2222m3930,2262l3930,2222m4070,2262l4070,2222m4190,2262l4190,2222m1270,2262l1270,2182m1810,2262l1810,2182m2330,2262l2330,2182m2870,2262l2870,2182m3410,2262l3410,2182m3930,2262l3930,2182m4470,2182l4370,2182m4470,1782l4370,1782m4470,1382l4370,1382m4470,1042l4370,1042m4470,682l4370,682m4470,362l4370,362e" filled="false" stroked="true" strokeweight=".5pt" strokecolor="#000000">
              <v:path arrowok="t"/>
              <v:stroke dashstyle="solid"/>
            </v:shape>
            <v:shape style="position:absolute;left:1290;top:-379;width:2960;height:2160" coordorigin="1290,-378" coordsize="2960,2160" path="m1290,1682l1330,1582,1370,1522,1410,1502,1450,1722,1490,1782,1550,1702,1590,1762,1630,1742,1670,1382,1730,1222,1770,1082,1810,1062,1850,802,1890,702,1950,702,1990,802,2030,882,2070,702,2110,722m2110,722l2170,822,2250,742,2290,722,2350,742,2390,762,2430,662,2470,522,2510,542,2550,382,2610,322,2650,462,2690,422,2750,482,2790,442,2830,302,2870,82,2910,-18,2950,-58m2950,-58l3010,-218,3050,-238,3090,-318,3130,-358,3190,-378,3230,-378,3270,-318,3310,-318,3350,-338,3410,-318,3450,-278,3490,-298,3530,-338,3590,-338,3630,-298,3670,-238,3710,-258,3770,-238,3810,-158m3810,-158l3850,82,3890,122,3930,122,3970,82,4030,82,4070,162,4110,182,4170,222,4210,302,4250,302e" filled="false" stroked="true" strokeweight="1pt" strokecolor="#faab54">
              <v:path arrowok="t"/>
              <v:stroke dashstyle="solid"/>
            </v:shape>
            <v:shape style="position:absolute;left:1780;top:-376;width:1217;height:373" type="#_x0000_t202" filled="false" stroked="false">
              <v:textbox inset="0,0,0,0">
                <w:txbxContent>
                  <w:p>
                    <w:pPr>
                      <w:spacing w:line="208" w:lineRule="auto" w:before="9"/>
                      <w:ind w:left="60" w:right="18" w:hanging="60"/>
                      <w:jc w:val="left"/>
                      <w:rPr>
                        <w:sz w:val="12"/>
                      </w:rPr>
                    </w:pPr>
                    <w:r>
                      <w:rPr>
                        <w:sz w:val="12"/>
                      </w:rPr>
                      <w:t>Prices of non-oil imports from whole world (right-hand scale)</w:t>
                    </w:r>
                  </w:p>
                </w:txbxContent>
              </v:textbox>
              <w10:wrap type="none"/>
            </v:shape>
            <v:shape style="position:absolute;left:2579;top:904;width:990;height:373" type="#_x0000_t202" filled="false" stroked="false">
              <v:textbox inset="0,0,0,0">
                <w:txbxContent>
                  <w:p>
                    <w:pPr>
                      <w:spacing w:line="208" w:lineRule="auto" w:before="9"/>
                      <w:ind w:left="80" w:right="18" w:hanging="81"/>
                      <w:jc w:val="left"/>
                      <w:rPr>
                        <w:sz w:val="12"/>
                      </w:rPr>
                    </w:pPr>
                    <w:r>
                      <w:rPr>
                        <w:sz w:val="12"/>
                      </w:rPr>
                      <w:t>Sterling effective index, inverted (b) (left-hand scale)</w:t>
                    </w:r>
                  </w:p>
                </w:txbxContent>
              </v:textbox>
              <w10:wrap type="none"/>
            </v:shape>
            <w10:wrap type="none"/>
          </v:group>
        </w:pict>
      </w:r>
      <w:r>
        <w:rPr/>
        <w:pict>
          <v:line style="position:absolute;mso-position-horizontal-relative:page;mso-position-vertical-relative:paragraph;z-index:15997440" from="223.5pt,2.097565pt" to="218.5pt,2.097565pt" stroked="true" strokeweight=".5pt" strokecolor="#000000">
            <v:stroke dashstyle="solid"/>
            <w10:wrap type="none"/>
          </v:line>
        </w:pict>
      </w:r>
      <w:r>
        <w:rPr/>
        <w:pict>
          <v:line style="position:absolute;mso-position-horizontal-relative:page;mso-position-vertical-relative:paragraph;z-index:15997952" from="223.5pt,-12.902435pt" to="218.5pt,-12.902435pt" stroked="true" strokeweight=".5pt" strokecolor="#000000">
            <v:stroke dashstyle="solid"/>
            <w10:wrap type="none"/>
          </v:line>
        </w:pict>
      </w:r>
      <w:r>
        <w:rPr>
          <w:sz w:val="12"/>
        </w:rPr>
        <w:t>125</w:t>
      </w:r>
    </w:p>
    <w:p>
      <w:pPr>
        <w:pStyle w:val="BodyText"/>
        <w:spacing w:before="9"/>
        <w:rPr>
          <w:sz w:val="15"/>
        </w:rPr>
      </w:pPr>
    </w:p>
    <w:p>
      <w:pPr>
        <w:spacing w:before="1"/>
        <w:ind w:left="160" w:right="0" w:firstLine="0"/>
        <w:jc w:val="left"/>
        <w:rPr>
          <w:sz w:val="12"/>
        </w:rPr>
      </w:pPr>
      <w:r>
        <w:rPr>
          <w:sz w:val="12"/>
        </w:rPr>
        <w:t>120</w:t>
      </w:r>
    </w:p>
    <w:p>
      <w:pPr>
        <w:pStyle w:val="BodyText"/>
        <w:spacing w:before="9"/>
        <w:rPr>
          <w:sz w:val="15"/>
        </w:rPr>
      </w:pPr>
    </w:p>
    <w:p>
      <w:pPr>
        <w:spacing w:before="0"/>
        <w:ind w:left="160" w:right="0" w:firstLine="0"/>
        <w:jc w:val="left"/>
        <w:rPr>
          <w:sz w:val="12"/>
        </w:rPr>
      </w:pPr>
      <w:r>
        <w:rPr>
          <w:sz w:val="12"/>
        </w:rPr>
        <w:t>115</w:t>
      </w:r>
    </w:p>
    <w:p>
      <w:pPr>
        <w:pStyle w:val="BodyText"/>
        <w:spacing w:before="6"/>
        <w:rPr>
          <w:sz w:val="17"/>
        </w:rPr>
      </w:pPr>
    </w:p>
    <w:p>
      <w:pPr>
        <w:spacing w:before="1"/>
        <w:ind w:left="160" w:right="0" w:firstLine="0"/>
        <w:jc w:val="left"/>
        <w:rPr>
          <w:sz w:val="12"/>
        </w:rPr>
      </w:pPr>
      <w:r>
        <w:rPr>
          <w:sz w:val="12"/>
        </w:rPr>
        <w:t>110</w:t>
      </w:r>
    </w:p>
    <w:p>
      <w:pPr>
        <w:pStyle w:val="BodyText"/>
        <w:rPr>
          <w:sz w:val="12"/>
        </w:rPr>
      </w:pPr>
    </w:p>
    <w:p>
      <w:pPr>
        <w:spacing w:before="84"/>
        <w:ind w:left="160" w:right="0" w:firstLine="0"/>
        <w:jc w:val="left"/>
        <w:rPr>
          <w:sz w:val="12"/>
        </w:rPr>
      </w:pPr>
      <w:r>
        <w:rPr>
          <w:sz w:val="12"/>
        </w:rPr>
        <w:t>105</w:t>
      </w:r>
    </w:p>
    <w:p>
      <w:pPr>
        <w:pStyle w:val="BodyText"/>
        <w:rPr>
          <w:sz w:val="12"/>
        </w:rPr>
      </w:pPr>
    </w:p>
    <w:p>
      <w:pPr>
        <w:spacing w:before="104"/>
        <w:ind w:left="160" w:right="0" w:firstLine="0"/>
        <w:jc w:val="left"/>
        <w:rPr>
          <w:sz w:val="12"/>
        </w:rPr>
      </w:pPr>
      <w:r>
        <w:rPr>
          <w:sz w:val="12"/>
        </w:rPr>
        <w:t>100</w:t>
      </w:r>
    </w:p>
    <w:p>
      <w:pPr>
        <w:pStyle w:val="BodyText"/>
        <w:rPr>
          <w:sz w:val="12"/>
        </w:rPr>
      </w:pPr>
    </w:p>
    <w:p>
      <w:pPr>
        <w:spacing w:before="104"/>
        <w:ind w:left="220" w:right="0" w:firstLine="0"/>
        <w:jc w:val="left"/>
        <w:rPr>
          <w:sz w:val="12"/>
        </w:rPr>
      </w:pPr>
      <w:r>
        <w:rPr>
          <w:sz w:val="12"/>
        </w:rPr>
        <w:t>95</w:t>
      </w:r>
    </w:p>
    <w:p>
      <w:pPr>
        <w:pStyle w:val="Heading5"/>
        <w:spacing w:line="242" w:lineRule="auto" w:before="4"/>
        <w:ind w:left="160" w:right="168"/>
      </w:pPr>
      <w:r>
        <w:rPr/>
        <w:br w:type="column"/>
      </w:r>
      <w:r>
        <w:rPr>
          <w:color w:val="231F20"/>
        </w:rPr>
        <w:t>August 1996, whereas the monthly average of sterling’s effective rate rose by more than 21% during the same period (see Chart 5.1). Since many retail goods are imported, the speed and extent of pass-through from an appreciation to import prices will affect RPIX inflation in the short term. And since it determines the degree of import price competition that UK producers face,</w:t>
      </w:r>
    </w:p>
    <w:p>
      <w:pPr>
        <w:spacing w:line="242" w:lineRule="auto" w:before="9"/>
        <w:ind w:left="160" w:right="168" w:firstLine="0"/>
        <w:jc w:val="left"/>
        <w:rPr>
          <w:sz w:val="24"/>
        </w:rPr>
      </w:pPr>
      <w:r>
        <w:rPr>
          <w:color w:val="231F20"/>
          <w:sz w:val="24"/>
        </w:rPr>
        <w:t>pass-through may also affect the United Kingdom’s real net exports or UK companies’ profitability in the medium term. This will in turn influence demand and output. So import price pass-through affects both the</w:t>
      </w:r>
    </w:p>
    <w:p>
      <w:pPr>
        <w:spacing w:after="0" w:line="242" w:lineRule="auto"/>
        <w:jc w:val="left"/>
        <w:rPr>
          <w:sz w:val="24"/>
        </w:rPr>
        <w:sectPr>
          <w:type w:val="continuous"/>
          <w:pgSz w:w="11880" w:h="16840"/>
          <w:pgMar w:top="1040" w:bottom="280" w:left="640" w:right="620"/>
          <w:cols w:num="4" w:equalWidth="0">
            <w:col w:w="381" w:space="239"/>
            <w:col w:w="2980" w:space="130"/>
            <w:col w:w="381" w:space="729"/>
            <w:col w:w="5780"/>
          </w:cols>
        </w:sectPr>
      </w:pPr>
    </w:p>
    <w:p>
      <w:pPr>
        <w:spacing w:line="208" w:lineRule="auto" w:before="7"/>
        <w:ind w:left="540" w:right="0" w:hanging="360"/>
        <w:jc w:val="left"/>
        <w:rPr>
          <w:sz w:val="12"/>
        </w:rPr>
      </w:pPr>
      <w:r>
        <w:rPr>
          <w:color w:val="231F20"/>
          <w:sz w:val="12"/>
        </w:rPr>
        <w:t>Note: The ERI is measured against 20 other industrialised countries. The import price index for the whole world covers imports from all countries.</w:t>
      </w:r>
    </w:p>
    <w:p>
      <w:pPr>
        <w:pStyle w:val="ListParagraph"/>
        <w:numPr>
          <w:ilvl w:val="0"/>
          <w:numId w:val="30"/>
        </w:numPr>
        <w:tabs>
          <w:tab w:pos="420" w:val="left" w:leader="none"/>
        </w:tabs>
        <w:spacing w:line="129" w:lineRule="exact" w:before="106" w:after="0"/>
        <w:ind w:left="419" w:right="0" w:hanging="240"/>
        <w:jc w:val="left"/>
        <w:rPr>
          <w:sz w:val="12"/>
        </w:rPr>
      </w:pPr>
      <w:r>
        <w:rPr>
          <w:color w:val="231F20"/>
          <w:sz w:val="12"/>
        </w:rPr>
        <w:t>Both scales are logarithmic.</w:t>
      </w:r>
    </w:p>
    <w:p>
      <w:pPr>
        <w:pStyle w:val="ListParagraph"/>
        <w:numPr>
          <w:ilvl w:val="0"/>
          <w:numId w:val="30"/>
        </w:numPr>
        <w:tabs>
          <w:tab w:pos="421" w:val="left" w:leader="none"/>
        </w:tabs>
        <w:spacing w:line="129" w:lineRule="exact" w:before="0" w:after="0"/>
        <w:ind w:left="420" w:right="0" w:hanging="241"/>
        <w:jc w:val="left"/>
        <w:rPr>
          <w:sz w:val="12"/>
        </w:rPr>
      </w:pPr>
      <w:r>
        <w:rPr>
          <w:color w:val="231F20"/>
          <w:sz w:val="12"/>
        </w:rPr>
        <w:t>Monthly average of daily data. A rise in the line reflects a depreciation.</w:t>
      </w:r>
    </w:p>
    <w:p>
      <w:pPr>
        <w:pStyle w:val="Heading5"/>
        <w:spacing w:before="6"/>
      </w:pPr>
      <w:r>
        <w:rPr/>
        <w:br w:type="column"/>
      </w:r>
      <w:r>
        <w:rPr>
          <w:color w:val="231F20"/>
        </w:rPr>
        <w:t>short and medium-term prospects for inflation.</w:t>
      </w:r>
    </w:p>
    <w:p>
      <w:pPr>
        <w:pStyle w:val="BodyText"/>
        <w:spacing w:before="8"/>
        <w:rPr>
          <w:sz w:val="24"/>
        </w:rPr>
      </w:pPr>
    </w:p>
    <w:p>
      <w:pPr>
        <w:spacing w:line="242" w:lineRule="auto" w:before="0"/>
        <w:ind w:left="180" w:right="134" w:firstLine="0"/>
        <w:jc w:val="left"/>
        <w:rPr>
          <w:sz w:val="24"/>
        </w:rPr>
      </w:pPr>
      <w:r>
        <w:rPr>
          <w:color w:val="231F20"/>
          <w:sz w:val="24"/>
        </w:rPr>
        <w:t>Import prices will probably fall further in the United Kingdom, especially if the strength of sterling is thought likely to persist. But they may not fall by as much as sterling has risen since August 1996. Import prices do not always fully reflect movements in exchange rates in the short and medium term, in the United Kingdom and elsewhere. Import prices in other European countries have generally fallen after appreciations. But there are few consistent patterns between countries concerning the speed and extent of pass-through.</w:t>
      </w:r>
    </w:p>
    <w:p>
      <w:pPr>
        <w:pStyle w:val="BodyText"/>
        <w:spacing w:before="5"/>
        <w:rPr>
          <w:sz w:val="25"/>
        </w:rPr>
      </w:pPr>
    </w:p>
    <w:p>
      <w:pPr>
        <w:spacing w:line="242" w:lineRule="auto" w:before="1"/>
        <w:ind w:left="180" w:right="160" w:hanging="1"/>
        <w:jc w:val="left"/>
        <w:rPr>
          <w:sz w:val="24"/>
        </w:rPr>
      </w:pPr>
      <w:r>
        <w:rPr>
          <w:color w:val="231F20"/>
          <w:sz w:val="24"/>
        </w:rPr>
        <w:t>In the previous </w:t>
      </w:r>
      <w:r>
        <w:rPr>
          <w:i/>
          <w:color w:val="231F20"/>
          <w:sz w:val="24"/>
        </w:rPr>
        <w:t>Report, </w:t>
      </w:r>
      <w:r>
        <w:rPr>
          <w:color w:val="231F20"/>
          <w:sz w:val="24"/>
        </w:rPr>
        <w:t>it was noted that recent changes to the way in which import prices are recorded made the comparison with previous periods of exchange rate</w:t>
      </w:r>
    </w:p>
    <w:p>
      <w:pPr>
        <w:spacing w:before="2"/>
        <w:ind w:left="180" w:right="0" w:firstLine="0"/>
        <w:jc w:val="left"/>
        <w:rPr>
          <w:sz w:val="24"/>
        </w:rPr>
      </w:pPr>
      <w:r>
        <w:rPr>
          <w:color w:val="231F20"/>
          <w:sz w:val="24"/>
        </w:rPr>
        <w:t>pass-through difficult. The new method may also</w:t>
      </w:r>
    </w:p>
    <w:p>
      <w:pPr>
        <w:spacing w:after="0"/>
        <w:jc w:val="left"/>
        <w:rPr>
          <w:sz w:val="24"/>
        </w:rPr>
        <w:sectPr>
          <w:type w:val="continuous"/>
          <w:pgSz w:w="11880" w:h="16840"/>
          <w:pgMar w:top="1040" w:bottom="280" w:left="640" w:right="620"/>
          <w:cols w:num="2" w:equalWidth="0">
            <w:col w:w="4126" w:space="694"/>
            <w:col w:w="5800"/>
          </w:cols>
        </w:sectPr>
      </w:pPr>
    </w:p>
    <w:p>
      <w:pPr>
        <w:pStyle w:val="BodyText"/>
        <w:rPr>
          <w:sz w:val="20"/>
        </w:rPr>
      </w:pPr>
    </w:p>
    <w:p>
      <w:pPr>
        <w:spacing w:after="0"/>
        <w:rPr>
          <w:sz w:val="20"/>
        </w:rPr>
        <w:sectPr>
          <w:headerReference w:type="default" r:id="rId72"/>
          <w:headerReference w:type="even" r:id="rId73"/>
          <w:pgSz w:w="11880" w:h="16840"/>
          <w:pgMar w:header="586" w:footer="617" w:top="780" w:bottom="800" w:left="640" w:right="620"/>
        </w:sectPr>
      </w:pPr>
    </w:p>
    <w:p>
      <w:pPr>
        <w:pStyle w:val="BodyText"/>
        <w:spacing w:before="6"/>
        <w:rPr>
          <w:sz w:val="20"/>
        </w:rPr>
      </w:pPr>
    </w:p>
    <w:p>
      <w:pPr>
        <w:pStyle w:val="Heading9"/>
        <w:spacing w:before="0"/>
        <w:ind w:left="165"/>
      </w:pPr>
      <w:bookmarkStart w:name="Raw material and commodity prices" w:id="74"/>
      <w:bookmarkEnd w:id="74"/>
      <w:r>
        <w:rPr>
          <w:b w:val="0"/>
        </w:rPr>
      </w:r>
      <w:bookmarkStart w:name="_bookmark34" w:id="75"/>
      <w:bookmarkEnd w:id="75"/>
      <w:r>
        <w:rPr>
          <w:b w:val="0"/>
        </w:rPr>
      </w:r>
      <w:r>
        <w:rPr>
          <w:color w:val="0093C1"/>
        </w:rPr>
        <w:t>Chart 5.2</w:t>
      </w:r>
    </w:p>
    <w:p>
      <w:pPr>
        <w:spacing w:before="10"/>
        <w:ind w:left="165" w:right="0" w:firstLine="0"/>
        <w:jc w:val="left"/>
        <w:rPr>
          <w:b/>
          <w:sz w:val="20"/>
        </w:rPr>
      </w:pPr>
      <w:r>
        <w:rPr/>
        <w:pict>
          <v:group style="position:absolute;margin-left:40.25pt;margin-top:36.845947pt;width:158.5pt;height:125pt;mso-position-horizontal-relative:page;mso-position-vertical-relative:paragraph;z-index:16023552" coordorigin="805,737" coordsize="3170,2500">
            <v:shape style="position:absolute;left:965;top:746;width:3000;height:2480" coordorigin="965,747" coordsize="3000,2480" path="m965,967l965,1007,985,807,1005,867,1025,747,1025,867,1045,867,1065,1127,1065,1167,1085,1047,1105,1107,1105,1087,1125,1047,1145,1627,1165,1407,1165,1307,1185,1367,1205,1407,1205,1227,1225,1127m1225,1127l1245,947,1245,1127,1265,1167,1285,1267,1305,1307,1305,1587,1325,1827,1345,1807,1345,1847,1365,2027,1385,1987,1405,1987,1405,2027,1425,1927,1445,1887,1445,2087,1465,2227,1485,2547,1485,2427m1485,2427l1505,2367,1525,2447,1545,2627,1545,2567,1565,2327,1585,2327,1585,2227,1605,2147,1625,2347,1625,2387,1645,2187,1665,2087,1685,2027,1685,2187,1705,1907,1725,1927,1725,1967,1745,2087,1765,2287m1765,2287l1765,2327,1785,2447,1805,2447,1825,2607,1825,2827,1845,2927,1865,3107,1865,3027,1885,2947,1905,3007,1925,2947,1925,2967,1945,2847,1965,2947,1965,2987,1985,3047,2005,2967,2005,2827,2025,2967m2025,2967l2045,2887,2065,2787,2065,2827,2085,2827,2105,2727,2125,2807,2145,2907,2145,2947,2165,2907,2185,2647,2205,2547,2205,2287,2225,2347,2245,2447,2265,2107,2305,2267m2285,2267l2305,2227,2325,2167,2345,2207,2345,2487m2345,2487l2365,2527,2385,2447,2385,2467,2405,2387,2425,2647,2445,2667,2445,2827,2465,3047,2485,3127,2505,3167,2505,3207,2525,3167,2545,3087,2545,3027,2565,2947,2585,3067,2585,3087,2605,3167,2625,3087m2625,3087l2645,3127,2645,3007,2665,3147,2685,3007,2685,2887,2705,2767,2725,2687,2725,3087,2745,3147,2765,3087,2785,3047,2785,3087,2805,3187,2825,3167,2825,3227,2845,2987,2865,2987,2865,2867,2885,3087m2885,3087l2905,3107,2925,3047,2925,3007,2945,2967,2965,2887,2965,2807,2985,2727,3005,2587,3005,2627,3025,2627,3045,2407,3065,2367,3085,2427,3105,2547,3105,2567,3125,2407,3145,2347,3145,2307m3165,2307l3165,2487,3185,2507,3205,2447,3205,2427,3225,2567,3245,2647,3245,2807,3265,2647,3285,2727,3305,2727,3305,2707,3325,2627,3345,2607,3345,2667,3365,2587,3385,2607,3385,2667,3405,2647,3425,2647m3425,2647l3445,2747,3465,2567,3485,2687,3485,2727,3505,2707,3525,2587,3525,2627,3565,2507,3585,2247,3585,2167,3605,2187,3625,2187,3625,1967,3645,1527,3665,1887,3685,1927,3685,1867m3685,1867l3705,1907,3725,1887,3725,2127,3745,2307m3745,2307l3765,2347,3765,2247,3785,2227,3805,2287,3825,2327,3825,2107,3865,2267,3865,2327,3885,2627,3905,2487,3905,2327,3925,2407,3945,2427,3965,2587,3965,2627e" filled="false" stroked="true" strokeweight="1pt" strokecolor="#ed1b2d">
              <v:path arrowok="t"/>
              <v:stroke dashstyle="solid"/>
            </v:shape>
            <v:shape style="position:absolute;left:955;top:1816;width:280;height:320" type="#_x0000_t75" stroked="false">
              <v:imagedata r:id="rId74" o:title=""/>
            </v:shape>
            <v:shape style="position:absolute;left:1225;top:1766;width:1920;height:1320" coordorigin="1225,1767" coordsize="1920,1320" path="m1225,1847l1245,1767,1245,1887,1265,1887,1305,2047,1305,2167,1325,2307,1345,2367,1365,2487,1385,2407,1405,2347,1405,2407,1425,2327,1445,2307,1445,2427,1465,2547,1485,2727,1485,2687m1485,2687l1505,2667,1525,2667,1545,2747,1545,2767,1565,2647,1585,2607,1585,2467,1605,2347,1625,2467,1645,2307,1665,2327,1685,2307,1705,2107,1725,2107,1725,2127,1745,2207,1765,2307m1765,2307l1765,2307,1785,2447,1805,2407,1825,2527,1825,2607,1845,2667,1865,2847,1865,2827,1885,2767,1905,2807,1925,2727,1925,2787,1945,2667,1965,2727,1965,2787,2005,2827,2005,2747,2025,2867m2025,2867l2045,2767,2065,2687,2065,2727,2085,2727,2105,2647,2105,2627,2125,2687,2145,2687,2145,2767,2165,2767,2185,2607,2205,2587,2205,2447,2225,2467,2245,2467,2245,2447,2265,2267,2285,2227,2305,2327m2285,2327l2305,2287,2325,2227,2345,2227,2345,2427m2345,2427l2365,2427,2405,2347,2425,2487,2445,2507,2445,2607,2465,2827,2485,2807,2505,2807,2505,2827,2525,2827,2545,2847,2545,2827,2565,2787,2585,2867,2585,2927,2605,2907,2625,2927m2625,2927l2645,2947,2645,2847,2665,2947,2685,2867,2685,2787,2705,2727,2725,2647,2725,2927,2745,2947,2785,2867,2785,2907,2805,3007,2825,3007,2825,3087,2845,2887,2865,2907,2865,2827,2885,2987m2885,2987l2905,2987,2925,2947,2925,2927,2945,2847,2965,2787,2965,2347,2985,2647,3005,2587,3025,2587,3045,2427,3065,2347,3065,2307,3085,2287,3105,2387,3105,2407,3125,2307,3145,2247,3145,2327e" filled="false" stroked="true" strokeweight="1pt" strokecolor="#0066a5">
              <v:path arrowok="t"/>
              <v:stroke dashstyle="solid"/>
            </v:shape>
            <v:shape style="position:absolute;left:3155;top:2316;width:280;height:380" type="#_x0000_t75" stroked="false">
              <v:imagedata r:id="rId75" o:title=""/>
            </v:shape>
            <v:shape style="position:absolute;left:3425;top:1926;width:540;height:780" coordorigin="3425,1927" coordsize="540,780" path="m3425,2587l3445,2687,3445,2667,3465,2547,3485,2647,3485,2707,3505,2307,3525,2587,3525,2627,3545,2567,3565,2527,3585,2287,3585,2307,3625,2307,3625,2147,3645,1927,3665,2207,3685,2167,3685,2107m3685,2107l3705,2147,3725,2107,3725,2287,3745,2427m3745,2427l3765,2447,3765,2327,3785,2407,3805,2447,3825,2467,3825,2327,3865,2367,3865,2467,3885,2707,3905,2607,3905,2487,3945,2607,3965,2707e" filled="false" stroked="true" strokeweight="1pt" strokecolor="#0066a5">
              <v:path arrowok="t"/>
              <v:stroke dashstyle="solid"/>
            </v:shape>
            <v:shape style="position:absolute;left:805;top:1166;width:340;height:1800" coordorigin="805,1167" coordsize="340,1800" path="m905,2967l805,2967m905,2367l805,2367m905,1767l805,1767m905,1167l805,1167m1145,2867l1145,2227e" filled="false" stroked="true" strokeweight=".5pt" strokecolor="#000000">
              <v:path arrowok="t"/>
              <v:stroke dashstyle="solid"/>
            </v:shape>
            <v:shape style="position:absolute;left:1119;top:2159;width:51;height:85" coordorigin="1120,2159" coordsize="51,85" path="m1145,2159l1120,2244,1170,2244,1149,2178,1146,2168,1145,2159xe" filled="true" fillcolor="#000000" stroked="false">
              <v:path arrowok="t"/>
              <v:fill type="solid"/>
            </v:shape>
            <v:shape style="position:absolute;left:1354;top:1230;width:884;height:133" type="#_x0000_t202" filled="false" stroked="false">
              <v:textbox inset="0,0,0,0">
                <w:txbxContent>
                  <w:p>
                    <w:pPr>
                      <w:spacing w:line="133" w:lineRule="exact" w:before="0"/>
                      <w:ind w:left="0" w:right="0" w:firstLine="0"/>
                      <w:jc w:val="left"/>
                      <w:rPr>
                        <w:sz w:val="12"/>
                      </w:rPr>
                    </w:pPr>
                    <w:r>
                      <w:rPr>
                        <w:sz w:val="12"/>
                      </w:rPr>
                      <w:t>One-month future</w:t>
                    </w:r>
                  </w:p>
                </w:txbxContent>
              </v:textbox>
              <w10:wrap type="none"/>
            </v:shape>
            <v:shape style="position:absolute;left:981;top:2850;width:844;height:133" type="#_x0000_t202" filled="false" stroked="false">
              <v:textbox inset="0,0,0,0">
                <w:txbxContent>
                  <w:p>
                    <w:pPr>
                      <w:spacing w:line="133" w:lineRule="exact" w:before="0"/>
                      <w:ind w:left="0" w:right="0" w:firstLine="0"/>
                      <w:jc w:val="left"/>
                      <w:rPr>
                        <w:sz w:val="12"/>
                      </w:rPr>
                    </w:pPr>
                    <w:r>
                      <w:rPr>
                        <w:sz w:val="12"/>
                      </w:rPr>
                      <w:t>Six-month future</w:t>
                    </w:r>
                  </w:p>
                </w:txbxContent>
              </v:textbox>
              <w10:wrap type="none"/>
            </v:shape>
            <w10:wrap type="none"/>
          </v:group>
        </w:pict>
      </w:r>
      <w:r>
        <w:rPr>
          <w:b/>
          <w:color w:val="0093C1"/>
          <w:sz w:val="20"/>
        </w:rPr>
        <w:t>Price of Brent crude</w:t>
      </w:r>
    </w:p>
    <w:p>
      <w:pPr>
        <w:pStyle w:val="BodyText"/>
        <w:spacing w:before="7"/>
        <w:rPr>
          <w:b/>
          <w:sz w:val="24"/>
        </w:rPr>
      </w:pPr>
      <w:r>
        <w:rPr/>
        <w:pict>
          <v:shape style="position:absolute;margin-left:40.25pt;margin-top:16.383438pt;width:5pt;height:.1pt;mso-position-horizontal-relative:page;mso-position-vertical-relative:paragraph;z-index:-15453696;mso-wrap-distance-left:0;mso-wrap-distance-right:0" coordorigin="805,328" coordsize="100,0" path="m905,328l805,328e" filled="false" stroked="true" strokeweight=".5pt" strokecolor="#000000">
            <v:path arrowok="t"/>
            <v:stroke dashstyle="solid"/>
            <w10:wrap type="topAndBottom"/>
          </v:shape>
        </w:pic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48"/>
        <w:ind w:left="1695" w:right="0" w:firstLine="0"/>
        <w:jc w:val="left"/>
        <w:rPr>
          <w:sz w:val="12"/>
        </w:rPr>
      </w:pPr>
      <w:r>
        <w:rPr/>
        <w:pict>
          <v:group style="position:absolute;margin-left:40.25pt;margin-top:-3.897947pt;width:171.8pt;height:9pt;mso-position-horizontal-relative:page;mso-position-vertical-relative:paragraph;z-index:16019456" coordorigin="805,-78" coordsize="3436,180">
            <v:shape style="position:absolute;left:811;top:-70;width:3400;height:167" coordorigin="812,-70" coordsize="3400,167" path="m4212,-70l4112,-70m812,97l4205,97m965,90l965,30m1034,90l1034,30m1103,90l1103,30m1172,90l1172,30m1240,90l1240,30m1309,90l1309,30m1378,90l1378,30m1447,90l1447,30m1516,90l1516,30m1585,90l1585,30m1653,90l1653,30m1722,90l1722,30m1791,90l1791,30m1860,90l1860,30m1929,90l1929,30m1998,90l1998,30m2066,90l2066,30m2135,90l2135,30m2204,90l2204,30m2273,90l2273,30m2342,90l2342,30m2411,90l2411,30m2479,90l2479,30m2548,90l2548,30m2617,90l2617,30m2686,90l2686,30m2755,90l2755,30m2824,90l2824,30m2892,90l2892,30m2961,90l2961,30m3030,90l3030,30m3099,90l3099,30m3168,90l3168,30m3237,90l3237,30m3305,90l3305,30m3374,90l3374,30m3443,90l3443,30m3512,90l3512,30m3581,90l3581,30m3650,90l3650,30m3718,90l3718,30m3787,90l3787,30m3856,90l3856,30m3925,90l3925,30e" filled="false" stroked="true" strokeweight=".5pt" strokecolor="#000000">
              <v:path arrowok="t"/>
              <v:stroke dashstyle="solid"/>
            </v:shape>
            <v:shape style="position:absolute;left:4185;top:-70;width:49;height:164" coordorigin="4186,-69" coordsize="49,164" path="m4210,-69l4210,-37,4186,-18,4234,-1,4186,23,4234,43,4206,56,4205,94e" filled="false" stroked="true" strokeweight=".605pt" strokecolor="#000000">
              <v:path arrowok="t"/>
              <v:stroke dashstyle="solid"/>
            </v:shape>
            <v:line style="position:absolute" from="905,-70" to="805,-70" stroked="true" strokeweight=".5pt" strokecolor="#000000">
              <v:stroke dashstyle="solid"/>
            </v:line>
            <v:shape style="position:absolute;left:888;top:-72;width:49;height:164" coordorigin="889,-72" coordsize="49,164" path="m913,-72l913,-30,889,-10,937,7,889,31,937,51,909,63,908,91e" filled="false" stroked="true" strokeweight=".605pt" strokecolor="#000000">
              <v:path arrowok="t"/>
              <v:stroke dashstyle="solid"/>
            </v:shape>
            <w10:wrap type="none"/>
          </v:group>
        </w:pict>
      </w:r>
      <w:r>
        <w:rPr>
          <w:sz w:val="12"/>
        </w:rPr>
        <w:t>1997</w:t>
      </w:r>
    </w:p>
    <w:p>
      <w:pPr>
        <w:spacing w:line="417" w:lineRule="auto" w:before="46"/>
        <w:ind w:left="155" w:right="0" w:firstLine="0"/>
        <w:jc w:val="left"/>
        <w:rPr>
          <w:sz w:val="12"/>
        </w:rPr>
      </w:pPr>
      <w:r>
        <w:rPr>
          <w:color w:val="231F20"/>
          <w:sz w:val="12"/>
        </w:rPr>
        <w:t>Note: Daily data. Final observation is 5 November. Source: International Petroleum Exchange.</w:t>
      </w:r>
    </w:p>
    <w:p>
      <w:pPr>
        <w:pStyle w:val="Heading9"/>
        <w:spacing w:line="143" w:lineRule="exact" w:before="0"/>
        <w:ind w:left="155"/>
      </w:pPr>
      <w:r>
        <w:rPr>
          <w:color w:val="0093C1"/>
        </w:rPr>
        <w:t>Chart 5.3</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0"/>
        <w:rPr>
          <w:b/>
          <w:sz w:val="12"/>
        </w:rPr>
      </w:pPr>
    </w:p>
    <w:p>
      <w:pPr>
        <w:spacing w:line="129" w:lineRule="exact" w:before="0"/>
        <w:ind w:left="155" w:right="0" w:firstLine="0"/>
        <w:jc w:val="left"/>
        <w:rPr>
          <w:sz w:val="12"/>
        </w:rPr>
      </w:pPr>
      <w:r>
        <w:rPr>
          <w:sz w:val="12"/>
        </w:rPr>
        <w:t>£ per barrel</w:t>
      </w:r>
    </w:p>
    <w:p>
      <w:pPr>
        <w:spacing w:line="129" w:lineRule="exact" w:before="0"/>
        <w:ind w:left="761" w:right="0" w:firstLine="0"/>
        <w:jc w:val="left"/>
        <w:rPr>
          <w:sz w:val="12"/>
        </w:rPr>
      </w:pPr>
      <w:r>
        <w:rPr/>
        <w:pict>
          <v:line style="position:absolute;mso-position-horizontal-relative:page;mso-position-vertical-relative:paragraph;z-index:16022016" from="210.582993pt,3.318848pt" to="205.582993pt,3.318848pt" stroked="true" strokeweight=".5pt" strokecolor="#000000">
            <v:stroke dashstyle="solid"/>
            <w10:wrap type="none"/>
          </v:line>
        </w:pict>
      </w:r>
      <w:r>
        <w:rPr>
          <w:sz w:val="12"/>
        </w:rPr>
        <w:t>15</w:t>
      </w:r>
    </w:p>
    <w:p>
      <w:pPr>
        <w:pStyle w:val="BodyText"/>
        <w:rPr>
          <w:sz w:val="12"/>
        </w:rPr>
      </w:pPr>
    </w:p>
    <w:p>
      <w:pPr>
        <w:pStyle w:val="BodyText"/>
        <w:rPr>
          <w:sz w:val="12"/>
        </w:rPr>
      </w:pPr>
    </w:p>
    <w:p>
      <w:pPr>
        <w:pStyle w:val="BodyText"/>
        <w:spacing w:before="2"/>
        <w:rPr>
          <w:sz w:val="16"/>
        </w:rPr>
      </w:pPr>
    </w:p>
    <w:p>
      <w:pPr>
        <w:spacing w:before="0"/>
        <w:ind w:left="761" w:right="0" w:firstLine="0"/>
        <w:jc w:val="left"/>
        <w:rPr>
          <w:sz w:val="12"/>
        </w:rPr>
      </w:pPr>
      <w:r>
        <w:rPr/>
        <w:pict>
          <v:line style="position:absolute;mso-position-horizontal-relative:page;mso-position-vertical-relative:paragraph;z-index:16021504" from="210.582993pt,3.768555pt" to="205.582993pt,3.768555pt" stroked="true" strokeweight=".5pt" strokecolor="#000000">
            <v:stroke dashstyle="solid"/>
            <w10:wrap type="none"/>
          </v:line>
        </w:pict>
      </w:r>
      <w:r>
        <w:rPr>
          <w:sz w:val="12"/>
        </w:rPr>
        <w:t>14</w:t>
      </w:r>
    </w:p>
    <w:p>
      <w:pPr>
        <w:pStyle w:val="BodyText"/>
        <w:rPr>
          <w:sz w:val="12"/>
        </w:rPr>
      </w:pPr>
    </w:p>
    <w:p>
      <w:pPr>
        <w:pStyle w:val="BodyText"/>
        <w:rPr>
          <w:sz w:val="12"/>
        </w:rPr>
      </w:pPr>
    </w:p>
    <w:p>
      <w:pPr>
        <w:pStyle w:val="BodyText"/>
        <w:spacing w:before="2"/>
        <w:rPr>
          <w:sz w:val="16"/>
        </w:rPr>
      </w:pPr>
    </w:p>
    <w:p>
      <w:pPr>
        <w:spacing w:before="0"/>
        <w:ind w:left="761" w:right="0" w:firstLine="0"/>
        <w:jc w:val="left"/>
        <w:rPr>
          <w:sz w:val="12"/>
        </w:rPr>
      </w:pPr>
      <w:r>
        <w:rPr/>
        <w:pict>
          <v:line style="position:absolute;mso-position-horizontal-relative:page;mso-position-vertical-relative:paragraph;z-index:16020992" from="210.582993pt,3.768555pt" to="205.582993pt,3.768555pt" stroked="true" strokeweight=".5pt" strokecolor="#000000">
            <v:stroke dashstyle="solid"/>
            <w10:wrap type="none"/>
          </v:line>
        </w:pict>
      </w:r>
      <w:r>
        <w:rPr>
          <w:sz w:val="12"/>
        </w:rPr>
        <w:t>13</w:t>
      </w:r>
    </w:p>
    <w:p>
      <w:pPr>
        <w:pStyle w:val="BodyText"/>
        <w:rPr>
          <w:sz w:val="12"/>
        </w:rPr>
      </w:pPr>
    </w:p>
    <w:p>
      <w:pPr>
        <w:pStyle w:val="BodyText"/>
        <w:rPr>
          <w:sz w:val="12"/>
        </w:rPr>
      </w:pPr>
    </w:p>
    <w:p>
      <w:pPr>
        <w:pStyle w:val="BodyText"/>
        <w:spacing w:before="2"/>
        <w:rPr>
          <w:sz w:val="16"/>
        </w:rPr>
      </w:pPr>
    </w:p>
    <w:p>
      <w:pPr>
        <w:spacing w:before="0"/>
        <w:ind w:left="761" w:right="0" w:firstLine="0"/>
        <w:jc w:val="left"/>
        <w:rPr>
          <w:sz w:val="12"/>
        </w:rPr>
      </w:pPr>
      <w:r>
        <w:rPr/>
        <w:pict>
          <v:line style="position:absolute;mso-position-horizontal-relative:page;mso-position-vertical-relative:paragraph;z-index:16020480" from="210.582993pt,3.768555pt" to="205.582993pt,3.768555pt" stroked="true" strokeweight=".5pt" strokecolor="#000000">
            <v:stroke dashstyle="solid"/>
            <w10:wrap type="none"/>
          </v:line>
        </w:pict>
      </w:r>
      <w:r>
        <w:rPr>
          <w:sz w:val="12"/>
        </w:rPr>
        <w:t>12</w:t>
      </w:r>
    </w:p>
    <w:p>
      <w:pPr>
        <w:pStyle w:val="BodyText"/>
        <w:rPr>
          <w:sz w:val="12"/>
        </w:rPr>
      </w:pPr>
    </w:p>
    <w:p>
      <w:pPr>
        <w:pStyle w:val="BodyText"/>
        <w:rPr>
          <w:sz w:val="12"/>
        </w:rPr>
      </w:pPr>
    </w:p>
    <w:p>
      <w:pPr>
        <w:pStyle w:val="BodyText"/>
        <w:spacing w:before="2"/>
        <w:rPr>
          <w:sz w:val="16"/>
        </w:rPr>
      </w:pPr>
    </w:p>
    <w:p>
      <w:pPr>
        <w:spacing w:before="0"/>
        <w:ind w:left="761" w:right="0" w:firstLine="0"/>
        <w:jc w:val="left"/>
        <w:rPr>
          <w:sz w:val="12"/>
        </w:rPr>
      </w:pPr>
      <w:r>
        <w:rPr/>
        <w:pict>
          <v:line style="position:absolute;mso-position-horizontal-relative:page;mso-position-vertical-relative:paragraph;z-index:16019968" from="210.582993pt,3.768555pt" to="205.582993pt,3.768555pt" stroked="true" strokeweight=".5pt" strokecolor="#000000">
            <v:stroke dashstyle="solid"/>
            <w10:wrap type="none"/>
          </v:line>
        </w:pict>
      </w:r>
      <w:r>
        <w:rPr>
          <w:sz w:val="12"/>
        </w:rPr>
        <w:t>11</w:t>
      </w:r>
    </w:p>
    <w:p>
      <w:pPr>
        <w:pStyle w:val="BodyText"/>
        <w:rPr>
          <w:sz w:val="12"/>
        </w:rPr>
      </w:pPr>
    </w:p>
    <w:p>
      <w:pPr>
        <w:pStyle w:val="BodyText"/>
        <w:rPr>
          <w:sz w:val="12"/>
        </w:rPr>
      </w:pPr>
    </w:p>
    <w:p>
      <w:pPr>
        <w:pStyle w:val="BodyText"/>
        <w:spacing w:before="2"/>
        <w:rPr>
          <w:sz w:val="16"/>
        </w:rPr>
      </w:pPr>
    </w:p>
    <w:p>
      <w:pPr>
        <w:spacing w:before="0"/>
        <w:ind w:left="761" w:right="0" w:firstLine="0"/>
        <w:jc w:val="left"/>
        <w:rPr>
          <w:sz w:val="12"/>
        </w:rPr>
      </w:pPr>
      <w:r>
        <w:rPr>
          <w:sz w:val="12"/>
        </w:rPr>
        <w:t>10</w:t>
      </w:r>
    </w:p>
    <w:p>
      <w:pPr>
        <w:spacing w:before="22"/>
        <w:ind w:left="821" w:right="0" w:firstLine="0"/>
        <w:jc w:val="left"/>
        <w:rPr>
          <w:sz w:val="12"/>
        </w:rPr>
      </w:pPr>
      <w:r>
        <w:rPr>
          <w:sz w:val="12"/>
        </w:rPr>
        <w:t>0</w:t>
      </w:r>
    </w:p>
    <w:p>
      <w:pPr>
        <w:pStyle w:val="Heading5"/>
        <w:spacing w:line="242" w:lineRule="auto" w:before="227"/>
        <w:ind w:left="155" w:right="283"/>
      </w:pPr>
      <w:r>
        <w:rPr/>
        <w:br w:type="column"/>
      </w:r>
      <w:r>
        <w:rPr>
          <w:color w:val="231F20"/>
        </w:rPr>
        <w:t>slightly bias the recording of certain import prices. Import price data for basic goods and semi-finished manufactures are collected directly from importers. But those for finished manufactures—more than half of the total—are estimated from the prices of domestically produced finished manufactures, using an adjustment factor derived from the observed relationship between semi-finished import prices and domestic prices. If this relationship differs for finished and semi-finished manufactures, the estimation of finished manufacture import prices, which have fallen slightly less since August 1996 than those of semi-manufactures, may be inaccurate.</w:t>
      </w:r>
    </w:p>
    <w:p>
      <w:pPr>
        <w:pStyle w:val="BodyText"/>
        <w:spacing w:before="1"/>
        <w:rPr>
          <w:sz w:val="31"/>
        </w:rPr>
      </w:pPr>
    </w:p>
    <w:p>
      <w:pPr>
        <w:spacing w:line="242" w:lineRule="auto" w:before="0"/>
        <w:ind w:left="155" w:right="316" w:firstLine="0"/>
        <w:jc w:val="both"/>
        <w:rPr>
          <w:sz w:val="24"/>
        </w:rPr>
      </w:pPr>
      <w:r>
        <w:rPr>
          <w:color w:val="231F20"/>
          <w:sz w:val="24"/>
        </w:rPr>
        <w:t>Some of the uncertainty may be resolved by using </w:t>
      </w:r>
      <w:r>
        <w:rPr>
          <w:color w:val="231F20"/>
          <w:spacing w:val="-3"/>
          <w:sz w:val="24"/>
        </w:rPr>
        <w:t>other </w:t>
      </w:r>
      <w:r>
        <w:rPr>
          <w:color w:val="231F20"/>
          <w:sz w:val="24"/>
        </w:rPr>
        <w:t>data. The </w:t>
      </w:r>
      <w:r>
        <w:rPr>
          <w:color w:val="231F20"/>
          <w:spacing w:val="-3"/>
          <w:sz w:val="24"/>
        </w:rPr>
        <w:t>Bank’s </w:t>
      </w:r>
      <w:r>
        <w:rPr>
          <w:color w:val="231F20"/>
          <w:sz w:val="24"/>
        </w:rPr>
        <w:t>Agencies conducted a survey of their contacts in September regarding imports and import</w:t>
      </w:r>
    </w:p>
    <w:p>
      <w:pPr>
        <w:spacing w:after="0" w:line="242" w:lineRule="auto"/>
        <w:jc w:val="both"/>
        <w:rPr>
          <w:sz w:val="24"/>
        </w:rPr>
        <w:sectPr>
          <w:type w:val="continuous"/>
          <w:pgSz w:w="11880" w:h="16840"/>
          <w:pgMar w:top="1040" w:bottom="280" w:left="640" w:right="620"/>
          <w:cols w:num="3" w:equalWidth="0">
            <w:col w:w="2712" w:space="168"/>
            <w:col w:w="922" w:space="982"/>
            <w:col w:w="5836"/>
          </w:cols>
        </w:sectPr>
      </w:pPr>
    </w:p>
    <w:p>
      <w:pPr>
        <w:pStyle w:val="Heading9"/>
        <w:spacing w:line="249" w:lineRule="auto" w:before="93"/>
        <w:ind w:left="155" w:right="170"/>
        <w:rPr>
          <w:b w:val="0"/>
          <w:sz w:val="12"/>
        </w:rPr>
      </w:pPr>
      <w:r>
        <w:rPr>
          <w:color w:val="0093C1"/>
        </w:rPr>
        <w:t>Forward curves of Brent crude sterling oil prices</w:t>
      </w:r>
      <w:r>
        <w:rPr>
          <w:b w:val="0"/>
          <w:color w:val="231F20"/>
          <w:position w:val="4"/>
          <w:sz w:val="12"/>
        </w:rPr>
        <w:t>(a)</w:t>
      </w:r>
    </w:p>
    <w:p>
      <w:pPr>
        <w:spacing w:before="51"/>
        <w:ind w:left="3105" w:right="0" w:firstLine="0"/>
        <w:jc w:val="left"/>
        <w:rPr>
          <w:sz w:val="12"/>
        </w:rPr>
      </w:pPr>
      <w:r>
        <w:rPr>
          <w:sz w:val="12"/>
        </w:rPr>
        <w:t>£ per barrel</w:t>
      </w:r>
    </w:p>
    <w:p>
      <w:pPr>
        <w:spacing w:before="22"/>
        <w:ind w:left="3705" w:right="0" w:firstLine="0"/>
        <w:jc w:val="left"/>
        <w:rPr>
          <w:sz w:val="12"/>
        </w:rPr>
      </w:pPr>
      <w:r>
        <w:rPr/>
        <w:pict>
          <v:line style="position:absolute;mso-position-horizontal-relative:page;mso-position-vertical-relative:paragraph;z-index:16025088" from="48.779999pt,3.701562pt" to="43.779999pt,3.701562pt" stroked="true" strokeweight=".5pt" strokecolor="#000000">
            <v:stroke dashstyle="solid"/>
            <w10:wrap type="none"/>
          </v:line>
        </w:pict>
      </w:r>
      <w:r>
        <w:rPr/>
        <w:pict>
          <v:line style="position:absolute;mso-position-horizontal-relative:page;mso-position-vertical-relative:paragraph;z-index:16029184" from="213.779999pt,3.701562pt" to="209.779999pt,3.701562pt" stroked="true" strokeweight=".5pt" strokecolor="#000000">
            <v:stroke dashstyle="solid"/>
            <w10:wrap type="none"/>
          </v:line>
        </w:pict>
      </w:r>
      <w:r>
        <w:rPr>
          <w:sz w:val="12"/>
        </w:rPr>
        <w:t>14.5</w:t>
      </w:r>
    </w:p>
    <w:p>
      <w:pPr>
        <w:pStyle w:val="BodyText"/>
        <w:rPr>
          <w:sz w:val="12"/>
        </w:rPr>
      </w:pPr>
    </w:p>
    <w:p>
      <w:pPr>
        <w:spacing w:before="84"/>
        <w:ind w:left="3705" w:right="0" w:firstLine="0"/>
        <w:jc w:val="left"/>
        <w:rPr>
          <w:sz w:val="12"/>
        </w:rPr>
      </w:pPr>
      <w:r>
        <w:rPr/>
        <w:pict>
          <v:line style="position:absolute;mso-position-horizontal-relative:page;mso-position-vertical-relative:paragraph;z-index:16024576" from="48.779999pt,7.801562pt" to="43.779999pt,7.801562pt" stroked="true" strokeweight=".5pt" strokecolor="#000000">
            <v:stroke dashstyle="solid"/>
            <w10:wrap type="none"/>
          </v:line>
        </w:pict>
      </w:r>
      <w:r>
        <w:rPr/>
        <w:pict>
          <v:group style="position:absolute;margin-left:53.279999pt;margin-top:.301562pt;width:152pt;height:122pt;mso-position-horizontal-relative:page;mso-position-vertical-relative:paragraph;z-index:-20712448" coordorigin="1066,6" coordsize="3040,2440">
            <v:shape style="position:absolute;left:1275;top:76;width:1000;height:1080" coordorigin="1276,76" coordsize="1000,1080" path="m1276,76l1676,556,1876,756,2076,976,2276,1156e" filled="false" stroked="true" strokeweight="1pt" strokecolor="#0099d8">
              <v:path arrowok="t"/>
              <v:stroke dashstyle="solid"/>
            </v:shape>
            <v:shape style="position:absolute;left:1475;top:1156;width:1000;height:540" coordorigin="1476,1156" coordsize="1000,540" path="m1476,1156l1676,1316,1876,1436,2076,1536,2476,1696e" filled="false" stroked="true" strokeweight="1pt" strokecolor="#008256">
              <v:path arrowok="t"/>
              <v:stroke dashstyle="solid"/>
            </v:shape>
            <v:shape style="position:absolute;left:1675;top:1476;width:1000;height:200" coordorigin="1676,1476" coordsize="1000,200" path="m1676,1476l1876,1556,2276,1636,2676,1676e" filled="false" stroked="true" strokeweight="1pt" strokecolor="#9bd3ae">
              <v:path arrowok="t"/>
              <v:stroke dashstyle="solid"/>
            </v:shape>
            <v:shape style="position:absolute;left:2675;top:1736;width:1000;height:100" coordorigin="2676,1736" coordsize="1000,100" path="m2676,1836l3076,1756,3276,1736,3476,1736,3676,1756e" filled="false" stroked="true" strokeweight="1pt" strokecolor="#75442b">
              <v:path arrowok="t"/>
              <v:stroke dashstyle="solid"/>
            </v:shape>
            <v:shape style="position:absolute;left:2875;top:1856;width:1000;height:80" coordorigin="2876,1856" coordsize="1000,80" path="m2876,1936l3276,1856,3676,1856,3876,1876e" filled="false" stroked="true" strokeweight="1pt" strokecolor="#00a995">
              <v:path arrowok="t"/>
              <v:stroke dashstyle="solid"/>
            </v:shape>
            <v:shape style="position:absolute;left:3075;top:1396;width:1020;height:240" coordorigin="3076,1396" coordsize="1020,240" path="m3076,1416l3276,1396,3476,1436,3876,1556,4096,1636e" filled="false" stroked="true" strokeweight="1pt" strokecolor="#95459a">
              <v:path arrowok="t"/>
              <v:stroke dashstyle="solid"/>
            </v:shape>
            <v:shape style="position:absolute;left:2275;top:2176;width:1000;height:260" coordorigin="2276,2176" coordsize="1000,260" path="m2276,2436l2476,2356,2876,2236,3076,2196,3276,2176e" filled="false" stroked="true" strokeweight="1pt" strokecolor="#ed1b2d">
              <v:path arrowok="t"/>
              <v:stroke dashstyle="solid"/>
            </v:shape>
            <v:shape style="position:absolute;left:2475;top:2256;width:1000;height:140" coordorigin="2476,2256" coordsize="1000,140" path="m2476,2396l2676,2376,3076,2296,3276,2276,3476,2256e" filled="false" stroked="true" strokeweight="1pt" strokecolor="#952e40">
              <v:path arrowok="t"/>
              <v:stroke dashstyle="solid"/>
            </v:shape>
            <v:shape style="position:absolute;left:1875;top:2116;width:1000;height:200" coordorigin="1876,2116" coordsize="1000,200" path="m1876,2316l2276,2196,2476,2156,2876,2116e" filled="false" stroked="true" strokeweight="1pt" strokecolor="#a790c4">
              <v:path arrowok="t"/>
              <v:stroke dashstyle="solid"/>
            </v:shape>
            <v:shape style="position:absolute;left:1075;top:16;width:2000;height:2420" coordorigin="1076,16" coordsize="2000,2420" path="m1076,16l1276,76,1476,1156,1676,1476,1876,2316,2076,1796,2276,2436,2476,2396,2676,1836,2876,1936,3076,1416e" filled="false" stroked="true" strokeweight="1pt" strokecolor="#0066a5">
              <v:path arrowok="t"/>
              <v:stroke dashstyle="solid"/>
            </v:shape>
            <v:shape style="position:absolute;left:2075;top:1756;width:1000;height:40" coordorigin="2076,1756" coordsize="1000,40" path="m2076,1796l2276,1796,2676,1756,2876,1756,3076,1776e" filled="false" stroked="true" strokeweight="1pt" strokecolor="#faab54">
              <v:path arrowok="t"/>
              <v:stroke dashstyle="solid"/>
            </v:shape>
            <v:shape style="position:absolute;left:1280;top:1688;width:383;height:383" type="#_x0000_t75" stroked="false">
              <v:imagedata r:id="rId76" o:title=""/>
            </v:shape>
            <w10:wrap type="none"/>
          </v:group>
        </w:pict>
      </w:r>
      <w:r>
        <w:rPr/>
        <w:pict>
          <v:line style="position:absolute;mso-position-horizontal-relative:page;mso-position-vertical-relative:paragraph;z-index:16028672" from="213.779999pt,7.801562pt" to="209.779999pt,7.801562pt" stroked="true" strokeweight=".5pt" strokecolor="#000000">
            <v:stroke dashstyle="solid"/>
            <w10:wrap type="none"/>
          </v:line>
        </w:pict>
      </w:r>
      <w:r>
        <w:rPr>
          <w:sz w:val="12"/>
        </w:rPr>
        <w:t>14.0</w:t>
      </w:r>
    </w:p>
    <w:p>
      <w:pPr>
        <w:pStyle w:val="Heading5"/>
        <w:spacing w:line="242" w:lineRule="auto"/>
        <w:ind w:left="155" w:right="229"/>
      </w:pPr>
      <w:r>
        <w:rPr/>
        <w:br w:type="column"/>
      </w:r>
      <w:r>
        <w:rPr>
          <w:color w:val="231F20"/>
        </w:rPr>
        <w:t>prices. The results broadly supported the picture </w:t>
      </w:r>
      <w:r>
        <w:rPr>
          <w:color w:val="231F20"/>
          <w:spacing w:val="-3"/>
        </w:rPr>
        <w:t>given </w:t>
      </w:r>
      <w:r>
        <w:rPr>
          <w:color w:val="231F20"/>
        </w:rPr>
        <w:t>by the ONS data. Most contacts reported that the cost </w:t>
      </w:r>
      <w:r>
        <w:rPr>
          <w:color w:val="231F20"/>
          <w:spacing w:val="-7"/>
        </w:rPr>
        <w:t>of </w:t>
      </w:r>
      <w:r>
        <w:rPr>
          <w:color w:val="231F20"/>
        </w:rPr>
        <w:t>imports had fallen by 5% or less in the previous twelve months, and that cheaper imported inputs had not led them to cut their domestic prices. And the survey</w:t>
      </w:r>
      <w:r>
        <w:rPr>
          <w:color w:val="231F20"/>
          <w:spacing w:val="-11"/>
        </w:rPr>
        <w:t> </w:t>
      </w:r>
      <w:r>
        <w:rPr>
          <w:color w:val="231F20"/>
        </w:rPr>
        <w:t>was</w:t>
      </w:r>
    </w:p>
    <w:p>
      <w:pPr>
        <w:spacing w:after="0" w:line="242" w:lineRule="auto"/>
        <w:sectPr>
          <w:type w:val="continuous"/>
          <w:pgSz w:w="11880" w:h="16840"/>
          <w:pgMar w:top="1040" w:bottom="280" w:left="640" w:right="620"/>
          <w:cols w:num="2" w:equalWidth="0">
            <w:col w:w="3956" w:space="829"/>
            <w:col w:w="5835"/>
          </w:cols>
        </w:sectPr>
      </w:pPr>
    </w:p>
    <w:p>
      <w:pPr>
        <w:pStyle w:val="BodyText"/>
        <w:spacing w:after="1"/>
        <w:rPr>
          <w:sz w:val="17"/>
        </w:rPr>
      </w:pPr>
    </w:p>
    <w:p>
      <w:pPr>
        <w:pStyle w:val="BodyText"/>
        <w:spacing w:line="20" w:lineRule="exact"/>
        <w:ind w:left="23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7"/>
        </w:rPr>
      </w:pPr>
      <w:r>
        <w:rPr/>
        <w:pict>
          <v:shape style="position:absolute;margin-left:43.779999pt;margin-top:18.25pt;width:5pt;height:.1pt;mso-position-horizontal-relative:page;mso-position-vertical-relative:paragraph;z-index:-15452672;mso-wrap-distance-left:0;mso-wrap-distance-right:0" coordorigin="876,365" coordsize="100,0" path="m976,365l876,365e" filled="false" stroked="true" strokeweight=".5pt" strokecolor="#000000">
            <v:path arrowok="t"/>
            <v:stroke dashstyle="solid"/>
            <w10:wrap type="topAndBottom"/>
          </v:shape>
        </w:pict>
      </w:r>
      <w:r>
        <w:rPr/>
        <w:pict>
          <v:shape style="position:absolute;margin-left:43.779999pt;margin-top:36.25pt;width:5pt;height:.1pt;mso-position-horizontal-relative:page;mso-position-vertical-relative:paragraph;z-index:-15452160;mso-wrap-distance-left:0;mso-wrap-distance-right:0" coordorigin="876,725" coordsize="100,0" path="m976,725l876,725e" filled="false" stroked="true" strokeweight=".5pt" strokecolor="#000000">
            <v:path arrowok="t"/>
            <v:stroke dashstyle="solid"/>
            <w10:wrap type="topAndBottom"/>
          </v:shape>
        </w:pict>
      </w:r>
      <w:r>
        <w:rPr/>
        <w:pict>
          <v:shape style="position:absolute;margin-left:43.779999pt;margin-top:55.25pt;width:5pt;height:.1pt;mso-position-horizontal-relative:page;mso-position-vertical-relative:paragraph;z-index:-15451648;mso-wrap-distance-left:0;mso-wrap-distance-right:0" coordorigin="876,1105" coordsize="100,0" path="m976,1105l876,1105e" filled="false" stroked="true" strokeweight=".5pt" strokecolor="#000000">
            <v:path arrowok="t"/>
            <v:stroke dashstyle="solid"/>
            <w10:wrap type="topAndBottom"/>
          </v:shape>
        </w:pict>
      </w:r>
      <w:r>
        <w:rPr/>
        <w:pict>
          <v:shape style="position:absolute;margin-left:43.779999pt;margin-top:74.25pt;width:5pt;height:.1pt;mso-position-horizontal-relative:page;mso-position-vertical-relative:paragraph;z-index:-15451136;mso-wrap-distance-left:0;mso-wrap-distance-right:0" coordorigin="876,1485" coordsize="100,0" path="m976,1485l876,1485e" filled="false" stroked="true" strokeweight=".5pt" strokecolor="#000000">
            <v:path arrowok="t"/>
            <v:stroke dashstyle="solid"/>
            <w10:wrap type="topAndBottom"/>
          </v:shape>
        </w:pict>
      </w:r>
    </w:p>
    <w:p>
      <w:pPr>
        <w:pStyle w:val="BodyText"/>
        <w:spacing w:before="6"/>
        <w:rPr>
          <w:sz w:val="24"/>
        </w:rPr>
      </w:pPr>
    </w:p>
    <w:p>
      <w:pPr>
        <w:pStyle w:val="BodyText"/>
        <w:spacing w:before="3"/>
        <w:rPr>
          <w:sz w:val="26"/>
        </w:rPr>
      </w:pPr>
    </w:p>
    <w:p>
      <w:pPr>
        <w:pStyle w:val="BodyText"/>
        <w:spacing w:before="3"/>
        <w:rPr>
          <w:sz w:val="26"/>
        </w:rPr>
      </w:pPr>
    </w:p>
    <w:p>
      <w:pPr>
        <w:spacing w:line="124" w:lineRule="exact" w:before="14"/>
        <w:ind w:left="445" w:right="0" w:firstLine="0"/>
        <w:jc w:val="left"/>
        <w:rPr>
          <w:sz w:val="12"/>
        </w:rPr>
      </w:pPr>
      <w:r>
        <w:rPr>
          <w:sz w:val="12"/>
        </w:rPr>
        <w:t>Actual</w:t>
      </w:r>
    </w:p>
    <w:p>
      <w:pPr>
        <w:spacing w:line="111" w:lineRule="exact" w:before="0"/>
        <w:ind w:left="505" w:right="0" w:firstLine="0"/>
        <w:jc w:val="left"/>
        <w:rPr>
          <w:sz w:val="12"/>
        </w:rPr>
      </w:pPr>
      <w:r>
        <w:rPr>
          <w:sz w:val="12"/>
        </w:rPr>
        <w:t>one-month</w:t>
      </w:r>
    </w:p>
    <w:p>
      <w:pPr>
        <w:pStyle w:val="BodyText"/>
        <w:spacing w:before="11"/>
        <w:rPr>
          <w:sz w:val="7"/>
        </w:rPr>
      </w:pPr>
    </w:p>
    <w:p>
      <w:pPr>
        <w:pStyle w:val="BodyText"/>
        <w:spacing w:line="20" w:lineRule="exact"/>
        <w:ind w:left="23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39"/>
        <w:ind w:left="-40" w:right="0" w:firstLine="0"/>
        <w:jc w:val="left"/>
        <w:rPr>
          <w:sz w:val="12"/>
        </w:rPr>
      </w:pPr>
      <w:r>
        <w:rPr/>
        <w:br w:type="column"/>
      </w:r>
      <w:r>
        <w:rPr>
          <w:sz w:val="12"/>
        </w:rPr>
        <w:t>Jan.</w:t>
      </w:r>
    </w:p>
    <w:p>
      <w:pPr>
        <w:pStyle w:val="BodyText"/>
        <w:rPr>
          <w:sz w:val="12"/>
        </w:rPr>
      </w:pPr>
    </w:p>
    <w:p>
      <w:pPr>
        <w:pStyle w:val="BodyText"/>
        <w:rPr>
          <w:sz w:val="12"/>
        </w:rPr>
      </w:pPr>
    </w:p>
    <w:p>
      <w:pPr>
        <w:pStyle w:val="BodyText"/>
        <w:rPr>
          <w:sz w:val="12"/>
        </w:rPr>
      </w:pPr>
    </w:p>
    <w:p>
      <w:pPr>
        <w:pStyle w:val="BodyText"/>
        <w:rPr>
          <w:sz w:val="12"/>
        </w:rPr>
      </w:pPr>
    </w:p>
    <w:p>
      <w:pPr>
        <w:spacing w:before="70"/>
        <w:ind w:left="-40" w:right="0" w:firstLine="0"/>
        <w:jc w:val="left"/>
        <w:rPr>
          <w:sz w:val="12"/>
        </w:rPr>
      </w:pPr>
      <w:r>
        <w:rPr>
          <w:sz w:val="12"/>
        </w:rPr>
        <w:t>Feb.</w:t>
      </w:r>
    </w:p>
    <w:p>
      <w:pPr>
        <w:pStyle w:val="BodyText"/>
        <w:rPr>
          <w:sz w:val="12"/>
        </w:rPr>
      </w:pPr>
    </w:p>
    <w:p>
      <w:pPr>
        <w:pStyle w:val="BodyText"/>
        <w:spacing w:before="3"/>
        <w:rPr>
          <w:sz w:val="14"/>
        </w:rPr>
      </w:pPr>
    </w:p>
    <w:p>
      <w:pPr>
        <w:spacing w:before="0"/>
        <w:ind w:left="120" w:right="0" w:firstLine="0"/>
        <w:jc w:val="left"/>
        <w:rPr>
          <w:sz w:val="12"/>
        </w:rPr>
      </w:pPr>
      <w:r>
        <w:rPr>
          <w:sz w:val="12"/>
        </w:rPr>
        <w:t>Mar.</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9"/>
        <w:ind w:left="210" w:right="0" w:firstLine="0"/>
        <w:jc w:val="left"/>
        <w:rPr>
          <w:sz w:val="12"/>
        </w:rPr>
      </w:pPr>
      <w:r>
        <w:rPr>
          <w:sz w:val="12"/>
        </w:rPr>
        <w:t>May</w:t>
      </w:r>
    </w:p>
    <w:p>
      <w:pPr>
        <w:tabs>
          <w:tab w:pos="850" w:val="left" w:leader="none"/>
        </w:tabs>
        <w:spacing w:before="82"/>
        <w:ind w:left="170" w:right="0" w:firstLine="0"/>
        <w:jc w:val="left"/>
        <w:rPr>
          <w:sz w:val="12"/>
        </w:rPr>
      </w:pPr>
      <w:r>
        <w:rPr>
          <w:sz w:val="12"/>
        </w:rPr>
        <w:t>Apr.</w:t>
        <w:tab/>
      </w:r>
      <w:r>
        <w:rPr>
          <w:spacing w:val="-5"/>
          <w:position w:val="-1"/>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1"/>
        <w:ind w:left="199" w:right="0" w:firstLine="0"/>
        <w:jc w:val="left"/>
        <w:rPr>
          <w:sz w:val="12"/>
        </w:rPr>
      </w:pPr>
      <w:r>
        <w:rPr>
          <w:sz w:val="12"/>
        </w:rPr>
        <w:t>Oct.</w:t>
      </w:r>
    </w:p>
    <w:p>
      <w:pPr>
        <w:pStyle w:val="BodyText"/>
        <w:spacing w:before="9"/>
        <w:rPr>
          <w:sz w:val="15"/>
        </w:rPr>
      </w:pPr>
    </w:p>
    <w:p>
      <w:pPr>
        <w:spacing w:line="487" w:lineRule="auto" w:before="1"/>
        <w:ind w:left="79" w:right="101" w:hanging="21"/>
        <w:jc w:val="left"/>
        <w:rPr>
          <w:sz w:val="12"/>
        </w:rPr>
      </w:pPr>
      <w:r>
        <w:rPr>
          <w:sz w:val="12"/>
        </w:rPr>
        <w:t>Aug. Sept.</w:t>
      </w:r>
    </w:p>
    <w:p>
      <w:pPr>
        <w:pStyle w:val="BodyText"/>
        <w:spacing w:before="1"/>
        <w:rPr>
          <w:sz w:val="12"/>
        </w:rPr>
      </w:pPr>
    </w:p>
    <w:p>
      <w:pPr>
        <w:spacing w:line="45" w:lineRule="exact" w:before="0"/>
        <w:ind w:left="-20" w:right="0" w:firstLine="0"/>
        <w:jc w:val="left"/>
        <w:rPr>
          <w:sz w:val="12"/>
        </w:rPr>
      </w:pPr>
      <w:r>
        <w:rPr>
          <w:sz w:val="12"/>
        </w:rPr>
        <w:t>July</w:t>
      </w:r>
    </w:p>
    <w:p>
      <w:pPr>
        <w:pStyle w:val="BodyText"/>
        <w:spacing w:before="2"/>
        <w:rPr>
          <w:sz w:val="11"/>
        </w:rPr>
      </w:pPr>
      <w:r>
        <w:rPr/>
        <w:br w:type="column"/>
      </w:r>
      <w:r>
        <w:rPr>
          <w:sz w:val="11"/>
        </w:rPr>
      </w:r>
    </w:p>
    <w:p>
      <w:pPr>
        <w:spacing w:before="0"/>
        <w:ind w:left="445" w:right="0" w:firstLine="0"/>
        <w:jc w:val="left"/>
        <w:rPr>
          <w:sz w:val="12"/>
        </w:rPr>
      </w:pPr>
      <w:r>
        <w:rPr>
          <w:sz w:val="12"/>
        </w:rPr>
        <w:t>13.5</w:t>
      </w:r>
    </w:p>
    <w:p>
      <w:pPr>
        <w:pStyle w:val="BodyText"/>
        <w:rPr>
          <w:sz w:val="12"/>
        </w:rPr>
      </w:pPr>
    </w:p>
    <w:p>
      <w:pPr>
        <w:spacing w:before="105"/>
        <w:ind w:left="445" w:right="0" w:firstLine="0"/>
        <w:jc w:val="left"/>
        <w:rPr>
          <w:sz w:val="12"/>
        </w:rPr>
      </w:pPr>
      <w:r>
        <w:rPr/>
        <w:pict>
          <v:line style="position:absolute;mso-position-horizontal-relative:page;mso-position-vertical-relative:paragraph;z-index:16027648" from="213.779999pt,8.851563pt" to="209.779999pt,8.851563pt" stroked="true" strokeweight=".5pt" strokecolor="#000000">
            <v:stroke dashstyle="solid"/>
            <w10:wrap type="none"/>
          </v:line>
        </w:pict>
      </w:r>
      <w:r>
        <w:rPr/>
        <w:pict>
          <v:line style="position:absolute;mso-position-horizontal-relative:page;mso-position-vertical-relative:paragraph;z-index:16028160" from="213.779999pt,-10.148438pt" to="209.779999pt,-10.148438pt" stroked="true" strokeweight=".5pt" strokecolor="#000000">
            <v:stroke dashstyle="solid"/>
            <w10:wrap type="none"/>
          </v:line>
        </w:pict>
      </w:r>
      <w:r>
        <w:rPr>
          <w:sz w:val="12"/>
        </w:rPr>
        <w:t>13.0</w:t>
      </w:r>
    </w:p>
    <w:p>
      <w:pPr>
        <w:pStyle w:val="BodyText"/>
        <w:rPr>
          <w:sz w:val="12"/>
        </w:rPr>
      </w:pPr>
    </w:p>
    <w:p>
      <w:pPr>
        <w:spacing w:before="104"/>
        <w:ind w:left="445" w:right="0" w:firstLine="0"/>
        <w:jc w:val="left"/>
        <w:rPr>
          <w:sz w:val="12"/>
        </w:rPr>
      </w:pPr>
      <w:r>
        <w:rPr/>
        <w:pict>
          <v:line style="position:absolute;mso-position-horizontal-relative:page;mso-position-vertical-relative:paragraph;z-index:16027136" from="213.779999pt,7.801562pt" to="209.779999pt,7.801562pt" stroked="true" strokeweight=".5pt" strokecolor="#000000">
            <v:stroke dashstyle="solid"/>
            <w10:wrap type="none"/>
          </v:line>
        </w:pict>
      </w:r>
      <w:r>
        <w:rPr>
          <w:sz w:val="12"/>
        </w:rPr>
        <w:t>12.5</w:t>
      </w:r>
    </w:p>
    <w:p>
      <w:pPr>
        <w:pStyle w:val="BodyText"/>
        <w:rPr>
          <w:sz w:val="12"/>
        </w:rPr>
      </w:pPr>
    </w:p>
    <w:p>
      <w:pPr>
        <w:spacing w:before="104"/>
        <w:ind w:left="445" w:right="0" w:firstLine="0"/>
        <w:jc w:val="left"/>
        <w:rPr>
          <w:sz w:val="12"/>
        </w:rPr>
      </w:pPr>
      <w:r>
        <w:rPr/>
        <w:pict>
          <v:line style="position:absolute;mso-position-horizontal-relative:page;mso-position-vertical-relative:paragraph;z-index:16026624" from="213.779999pt,7.801562pt" to="209.779999pt,7.801562pt" stroked="true" strokeweight=".5pt" strokecolor="#000000">
            <v:stroke dashstyle="solid"/>
            <w10:wrap type="none"/>
          </v:line>
        </w:pict>
      </w:r>
      <w:r>
        <w:rPr>
          <w:sz w:val="12"/>
        </w:rPr>
        <w:t>12.0</w:t>
      </w:r>
    </w:p>
    <w:p>
      <w:pPr>
        <w:pStyle w:val="BodyText"/>
        <w:rPr>
          <w:sz w:val="12"/>
        </w:rPr>
      </w:pPr>
    </w:p>
    <w:p>
      <w:pPr>
        <w:spacing w:before="84"/>
        <w:ind w:left="445" w:right="0" w:firstLine="0"/>
        <w:jc w:val="left"/>
        <w:rPr>
          <w:sz w:val="12"/>
        </w:rPr>
      </w:pPr>
      <w:r>
        <w:rPr/>
        <w:pict>
          <v:line style="position:absolute;mso-position-horizontal-relative:page;mso-position-vertical-relative:paragraph;z-index:16026112" from="213.779999pt,7.801562pt" to="209.779999pt,7.801562pt" stroked="true" strokeweight=".5pt" strokecolor="#000000">
            <v:stroke dashstyle="solid"/>
            <w10:wrap type="none"/>
          </v:line>
        </w:pict>
      </w:r>
      <w:r>
        <w:rPr>
          <w:sz w:val="12"/>
        </w:rPr>
        <w:t>11.5</w:t>
      </w:r>
    </w:p>
    <w:p>
      <w:pPr>
        <w:pStyle w:val="BodyText"/>
        <w:spacing w:before="5" w:after="39"/>
        <w:rPr>
          <w:sz w:val="23"/>
        </w:rPr>
      </w:pPr>
    </w:p>
    <w:p>
      <w:pPr>
        <w:pStyle w:val="BodyText"/>
        <w:spacing w:line="20" w:lineRule="exact"/>
        <w:ind w:left="29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Heading5"/>
        <w:spacing w:line="242" w:lineRule="auto"/>
        <w:ind w:left="445" w:right="188"/>
      </w:pPr>
      <w:r>
        <w:rPr/>
        <w:br w:type="column"/>
      </w:r>
      <w:r>
        <w:rPr>
          <w:color w:val="231F20"/>
        </w:rPr>
        <w:t>also consistent with the disaggregated ONS import price data; contacts reported a larger appreciation effect on </w:t>
      </w:r>
      <w:r>
        <w:rPr>
          <w:color w:val="231F20"/>
          <w:spacing w:val="-5"/>
        </w:rPr>
        <w:t>the </w:t>
      </w:r>
      <w:r>
        <w:rPr>
          <w:color w:val="231F20"/>
        </w:rPr>
        <w:t>import prices of homogeneous commodities than on more complex finished</w:t>
      </w:r>
      <w:r>
        <w:rPr>
          <w:color w:val="231F20"/>
          <w:spacing w:val="-1"/>
        </w:rPr>
        <w:t> </w:t>
      </w:r>
      <w:r>
        <w:rPr>
          <w:color w:val="231F20"/>
        </w:rPr>
        <w:t>goods.</w:t>
      </w:r>
    </w:p>
    <w:p>
      <w:pPr>
        <w:pStyle w:val="BodyText"/>
        <w:rPr>
          <w:sz w:val="35"/>
        </w:rPr>
      </w:pPr>
    </w:p>
    <w:p>
      <w:pPr>
        <w:pStyle w:val="ListParagraph"/>
        <w:numPr>
          <w:ilvl w:val="1"/>
          <w:numId w:val="29"/>
        </w:numPr>
        <w:tabs>
          <w:tab w:pos="1387" w:val="left" w:leader="none"/>
          <w:tab w:pos="1388" w:val="left" w:leader="none"/>
          <w:tab w:pos="5991" w:val="left" w:leader="none"/>
        </w:tabs>
        <w:spacing w:line="240" w:lineRule="auto" w:before="0" w:after="0"/>
        <w:ind w:left="1387" w:right="0" w:hanging="942"/>
        <w:jc w:val="left"/>
        <w:rPr>
          <w:b/>
          <w:color w:val="009483"/>
          <w:sz w:val="28"/>
        </w:rPr>
      </w:pPr>
      <w:r>
        <w:rPr>
          <w:b/>
          <w:color w:val="009483"/>
          <w:sz w:val="28"/>
          <w:u w:val="thick" w:color="0093C1"/>
        </w:rPr>
        <w:t>Raw material and commodity</w:t>
      </w:r>
      <w:r>
        <w:rPr>
          <w:b/>
          <w:color w:val="009483"/>
          <w:spacing w:val="-4"/>
          <w:sz w:val="28"/>
          <w:u w:val="thick" w:color="0093C1"/>
        </w:rPr>
        <w:t> </w:t>
      </w:r>
      <w:r>
        <w:rPr>
          <w:b/>
          <w:color w:val="009483"/>
          <w:sz w:val="28"/>
          <w:u w:val="thick" w:color="0093C1"/>
        </w:rPr>
        <w:t>prices</w:t>
        <w:tab/>
      </w:r>
    </w:p>
    <w:p>
      <w:pPr>
        <w:spacing w:after="0" w:line="240" w:lineRule="auto"/>
        <w:jc w:val="left"/>
        <w:rPr>
          <w:sz w:val="28"/>
        </w:rPr>
        <w:sectPr>
          <w:type w:val="continuous"/>
          <w:pgSz w:w="11880" w:h="16840"/>
          <w:pgMar w:top="1040" w:bottom="280" w:left="640" w:right="620"/>
          <w:cols w:num="6" w:equalWidth="0">
            <w:col w:w="1026" w:space="40"/>
            <w:col w:w="350" w:space="39"/>
            <w:col w:w="1071" w:space="40"/>
            <w:col w:w="444" w:space="250"/>
            <w:col w:w="696" w:space="538"/>
            <w:col w:w="6126"/>
          </w:cols>
        </w:sectPr>
      </w:pPr>
    </w:p>
    <w:p>
      <w:pPr>
        <w:spacing w:line="21" w:lineRule="exact" w:before="0"/>
        <w:ind w:left="505" w:right="0" w:firstLine="0"/>
        <w:jc w:val="left"/>
        <w:rPr>
          <w:sz w:val="12"/>
        </w:rPr>
      </w:pPr>
      <w:r>
        <w:rPr>
          <w:sz w:val="12"/>
        </w:rPr>
        <w:t>future (at date</w:t>
      </w:r>
    </w:p>
    <w:p>
      <w:pPr>
        <w:spacing w:before="2"/>
        <w:ind w:left="505" w:right="0" w:firstLine="0"/>
        <w:jc w:val="left"/>
        <w:rPr>
          <w:sz w:val="12"/>
        </w:rPr>
      </w:pPr>
      <w:r>
        <w:rPr>
          <w:sz w:val="12"/>
        </w:rPr>
        <w:t>of contract)</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5"/>
        <w:rPr>
          <w:sz w:val="9"/>
        </w:rPr>
      </w:pPr>
    </w:p>
    <w:p>
      <w:pPr>
        <w:tabs>
          <w:tab w:pos="1867" w:val="left" w:leader="none"/>
        </w:tabs>
        <w:spacing w:line="106" w:lineRule="exact" w:before="0"/>
        <w:ind w:left="167" w:right="0" w:firstLine="0"/>
        <w:jc w:val="left"/>
        <w:rPr>
          <w:sz w:val="12"/>
        </w:rPr>
      </w:pPr>
      <w:r>
        <w:rPr>
          <w:sz w:val="12"/>
        </w:rPr>
        <w:t>1997</w:t>
        <w:tab/>
      </w:r>
      <w:r>
        <w:rPr>
          <w:spacing w:val="-10"/>
          <w:sz w:val="12"/>
        </w:rPr>
        <w:t>98</w:t>
      </w:r>
    </w:p>
    <w:p>
      <w:pPr>
        <w:spacing w:line="51" w:lineRule="exact" w:before="0"/>
        <w:ind w:left="459" w:right="0" w:firstLine="0"/>
        <w:jc w:val="left"/>
        <w:rPr>
          <w:sz w:val="12"/>
        </w:rPr>
      </w:pPr>
      <w:r>
        <w:rPr/>
        <w:br w:type="column"/>
      </w:r>
      <w:r>
        <w:rPr>
          <w:sz w:val="12"/>
        </w:rPr>
        <w:t>11.0</w:t>
      </w:r>
    </w:p>
    <w:p>
      <w:pPr>
        <w:pStyle w:val="BodyText"/>
        <w:rPr>
          <w:sz w:val="12"/>
        </w:rPr>
      </w:pPr>
    </w:p>
    <w:p>
      <w:pPr>
        <w:spacing w:before="104"/>
        <w:ind w:left="459" w:right="0" w:firstLine="0"/>
        <w:jc w:val="left"/>
        <w:rPr>
          <w:sz w:val="12"/>
        </w:rPr>
      </w:pPr>
      <w:r>
        <w:rPr/>
        <w:pict>
          <v:group style="position:absolute;margin-left:43.779999pt;margin-top:8.551562pt;width:171.6pt;height:7.75pt;mso-position-horizontal-relative:page;mso-position-vertical-relative:paragraph;z-index:16024064" coordorigin="876,171" coordsize="3432,155">
            <v:shape style="position:absolute;left:875;top:176;width:3410;height:140" coordorigin="876,176" coordsize="3410,140" path="m976,176l876,176m896,316l4286,316m1076,316l1076,276m1276,316l1276,276m1476,316l1476,276m1676,316l1676,276m1876,316l1876,276m2076,316l2076,276m2276,316l2276,276m2476,316l2476,276m2676,316l2676,276m2876,316l2876,276m3076,316l3076,276m3276,316l3276,276m3476,316l3476,276m3676,316l3676,276m3876,316l3876,276m4076,316l4076,276m1076,316l1076,216m3476,316l3476,216m4276,176l4196,176m976,176l876,176m976,176l876,176e" filled="false" stroked="true" strokeweight=".5pt" strokecolor="#000000">
              <v:path arrowok="t"/>
              <v:stroke dashstyle="solid"/>
            </v:shape>
            <v:shape style="position:absolute;left:958;top:186;width:3344;height:135" coordorigin="959,186" coordsize="3344,135" path="m4282,186l4282,213,4262,229,4302,243,4262,263,4302,280,4279,290,4278,313m979,194l979,221,959,237,999,251,959,271,999,287,975,297,975,321e" filled="false" stroked="true" strokeweight=".5pt" strokecolor="#000000">
              <v:path arrowok="t"/>
              <v:stroke dashstyle="solid"/>
            </v:shape>
            <w10:wrap type="none"/>
          </v:group>
        </w:pict>
      </w:r>
      <w:r>
        <w:rPr>
          <w:sz w:val="12"/>
        </w:rPr>
        <w:t>10.5</w:t>
      </w:r>
    </w:p>
    <w:p>
      <w:pPr>
        <w:spacing w:before="22"/>
        <w:ind w:left="519" w:right="0" w:firstLine="0"/>
        <w:jc w:val="left"/>
        <w:rPr>
          <w:sz w:val="12"/>
        </w:rPr>
      </w:pPr>
      <w:r>
        <w:rPr>
          <w:sz w:val="12"/>
        </w:rPr>
        <w:t>0.0</w:t>
      </w:r>
    </w:p>
    <w:p>
      <w:pPr>
        <w:pStyle w:val="Heading5"/>
        <w:spacing w:line="242" w:lineRule="auto" w:before="58"/>
        <w:ind w:left="505"/>
      </w:pPr>
      <w:r>
        <w:rPr/>
        <w:br w:type="column"/>
      </w:r>
      <w:r>
        <w:rPr>
          <w:color w:val="231F20"/>
        </w:rPr>
        <w:t>The sterling Brent crude oil price rose rapidly in the first week of October to more than £13 per barrel, before</w:t>
      </w:r>
    </w:p>
    <w:p>
      <w:pPr>
        <w:spacing w:after="0" w:line="242" w:lineRule="auto"/>
        <w:sectPr>
          <w:type w:val="continuous"/>
          <w:pgSz w:w="11880" w:h="16840"/>
          <w:pgMar w:top="1040" w:bottom="280" w:left="640" w:right="620"/>
          <w:cols w:num="4" w:equalWidth="0">
            <w:col w:w="1179" w:space="40"/>
            <w:col w:w="1988" w:space="39"/>
            <w:col w:w="710" w:space="478"/>
            <w:col w:w="6186"/>
          </w:cols>
        </w:sectPr>
      </w:pPr>
    </w:p>
    <w:p>
      <w:pPr>
        <w:pStyle w:val="BodyText"/>
        <w:spacing w:before="9"/>
        <w:rPr>
          <w:sz w:val="9"/>
        </w:rPr>
      </w:pPr>
    </w:p>
    <w:p>
      <w:pPr>
        <w:spacing w:before="0"/>
        <w:ind w:left="155" w:right="0" w:firstLine="0"/>
        <w:jc w:val="left"/>
        <w:rPr>
          <w:sz w:val="12"/>
        </w:rPr>
      </w:pPr>
      <w:r>
        <w:rPr>
          <w:color w:val="231F20"/>
          <w:sz w:val="12"/>
        </w:rPr>
        <w:t>Source: International Petroleum Exchange.</w:t>
      </w:r>
    </w:p>
    <w:p>
      <w:pPr>
        <w:spacing w:before="102"/>
        <w:ind w:left="155" w:right="0" w:firstLine="0"/>
        <w:jc w:val="left"/>
        <w:rPr>
          <w:sz w:val="12"/>
        </w:rPr>
      </w:pPr>
      <w:r>
        <w:rPr>
          <w:color w:val="231F20"/>
          <w:sz w:val="12"/>
        </w:rPr>
        <w:t>(a) Derived from futures prices. All prices are monthly averages of daily data.</w:t>
      </w:r>
    </w:p>
    <w:p>
      <w:pPr>
        <w:pStyle w:val="BodyText"/>
        <w:spacing w:before="5"/>
        <w:rPr>
          <w:sz w:val="9"/>
        </w:rPr>
      </w:pPr>
    </w:p>
    <w:p>
      <w:pPr>
        <w:pStyle w:val="Heading9"/>
        <w:spacing w:before="0"/>
        <w:ind w:left="170"/>
      </w:pPr>
      <w:r>
        <w:rPr>
          <w:color w:val="0093C1"/>
        </w:rPr>
        <w:t>Chart 5.4</w:t>
      </w:r>
    </w:p>
    <w:p>
      <w:pPr>
        <w:spacing w:line="249" w:lineRule="auto" w:before="10"/>
        <w:ind w:left="170" w:right="0" w:firstLine="0"/>
        <w:jc w:val="left"/>
        <w:rPr>
          <w:b/>
          <w:sz w:val="20"/>
        </w:rPr>
      </w:pPr>
      <w:r>
        <w:rPr>
          <w:b/>
          <w:color w:val="0093C1"/>
          <w:sz w:val="20"/>
        </w:rPr>
        <w:t>Relative commodity prices and GDP </w:t>
      </w:r>
      <w:r>
        <w:rPr>
          <w:b/>
          <w:color w:val="0093C1"/>
          <w:spacing w:val="-3"/>
          <w:sz w:val="20"/>
        </w:rPr>
        <w:t>growth </w:t>
      </w:r>
      <w:r>
        <w:rPr>
          <w:b/>
          <w:color w:val="0093C1"/>
          <w:sz w:val="20"/>
        </w:rPr>
        <w:t>in the G7</w:t>
      </w:r>
    </w:p>
    <w:p>
      <w:pPr>
        <w:spacing w:line="242" w:lineRule="auto" w:before="0"/>
        <w:ind w:left="155" w:right="161" w:firstLine="0"/>
        <w:jc w:val="left"/>
        <w:rPr>
          <w:sz w:val="24"/>
        </w:rPr>
      </w:pPr>
      <w:r>
        <w:rPr/>
        <w:br w:type="column"/>
      </w:r>
      <w:r>
        <w:rPr>
          <w:color w:val="231F20"/>
          <w:sz w:val="24"/>
        </w:rPr>
        <w:t>falling back to around £11–12 (see Chart 5.2). It rose primarily because of further uncertainty over future supplies of Iraqi oil, and short-term supply shortages caused by rising world demand. Prices on longer-term contracts rose by less than the one-month price, implying</w:t>
      </w:r>
    </w:p>
    <w:p>
      <w:pPr>
        <w:spacing w:after="0" w:line="242" w:lineRule="auto"/>
        <w:jc w:val="left"/>
        <w:rPr>
          <w:sz w:val="24"/>
        </w:rPr>
        <w:sectPr>
          <w:type w:val="continuous"/>
          <w:pgSz w:w="11880" w:h="16840"/>
          <w:pgMar w:top="1040" w:bottom="280" w:left="640" w:right="620"/>
          <w:cols w:num="2" w:equalWidth="0">
            <w:col w:w="4041" w:space="744"/>
            <w:col w:w="5835"/>
          </w:cols>
        </w:sectPr>
      </w:pPr>
    </w:p>
    <w:p>
      <w:pPr>
        <w:spacing w:before="15"/>
        <w:ind w:left="180" w:right="0" w:firstLine="0"/>
        <w:jc w:val="left"/>
        <w:rPr>
          <w:sz w:val="12"/>
        </w:rPr>
      </w:pPr>
      <w:r>
        <w:rPr/>
        <w:pict>
          <v:line style="position:absolute;mso-position-horizontal-relative:page;mso-position-vertical-relative:paragraph;z-index:16012288" from="58.5pt,8.851563pt" to="53.5pt,8.851563pt" stroked="true" strokeweight=".5pt" strokecolor="#000000">
            <v:stroke dashstyle="solid"/>
            <w10:wrap type="none"/>
          </v:line>
        </w:pict>
      </w:r>
      <w:r>
        <w:rPr>
          <w:position w:val="-5"/>
          <w:sz w:val="12"/>
        </w:rPr>
        <w:t>150 </w:t>
      </w:r>
      <w:r>
        <w:rPr>
          <w:sz w:val="12"/>
        </w:rPr>
        <w:t>1990 = 100</w:t>
      </w:r>
    </w:p>
    <w:p>
      <w:pPr>
        <w:pStyle w:val="BodyText"/>
        <w:spacing w:before="7"/>
        <w:rPr>
          <w:sz w:val="17"/>
        </w:rPr>
      </w:pPr>
    </w:p>
    <w:p>
      <w:pPr>
        <w:spacing w:before="0"/>
        <w:ind w:left="180" w:right="0" w:firstLine="0"/>
        <w:jc w:val="left"/>
        <w:rPr>
          <w:sz w:val="12"/>
        </w:rPr>
      </w:pPr>
      <w:r>
        <w:rPr/>
        <w:pict>
          <v:line style="position:absolute;mso-position-horizontal-relative:page;mso-position-vertical-relative:paragraph;z-index:16011776" from="58.5pt,5.093567pt" to="53.5pt,5.093567pt" stroked="true" strokeweight=".5pt" strokecolor="#000000">
            <v:stroke dashstyle="solid"/>
            <w10:wrap type="none"/>
          </v:line>
        </w:pict>
      </w:r>
      <w:r>
        <w:rPr/>
        <w:pict>
          <v:group style="position:absolute;margin-left:63.5pt;margin-top:-1.753113pt;width:151.65pt;height:141.1pt;mso-position-horizontal-relative:page;mso-position-vertical-relative:paragraph;z-index:16018944" coordorigin="1270,-35" coordsize="3033,2822">
            <v:line style="position:absolute" from="1270,2442" to="4290,2442" stroked="true" strokeweight=".5pt" strokecolor="#000000">
              <v:stroke dashstyle="solid"/>
            </v:line>
            <v:rect style="position:absolute;left:1300;top:2261;width:28;height:180" filled="true" fillcolor="#e1eecd" stroked="false">
              <v:fill type="solid"/>
            </v:rect>
            <v:shape style="position:absolute;left:1300;top:2261;width:62;height:260" coordorigin="1300,2262" coordsize="62,260" path="m1300,2442l1328,2442,1328,2262,1300,2262,1300,2442m1334,2522l1362,2522,1362,2442,1334,2442,1334,2522e" filled="false" stroked="true" strokeweight=".5pt" strokecolor="#000000">
              <v:path arrowok="t"/>
              <v:stroke dashstyle="solid"/>
            </v:shape>
            <v:rect style="position:absolute;left:1367;top:2397;width:30;height:40" filled="true" fillcolor="#e1eecd" stroked="false">
              <v:fill type="solid"/>
            </v:rect>
            <v:rect style="position:absolute;left:1367;top:2397;width:30;height:40" filled="false" stroked="true" strokeweight=".5pt" strokecolor="#000000">
              <v:stroke dashstyle="solid"/>
            </v:rect>
            <v:rect style="position:absolute;left:1424;top:2196;width:25;height:240" filled="true" fillcolor="#e1eecd" stroked="false">
              <v:fill type="solid"/>
            </v:rect>
            <v:rect style="position:absolute;left:1424;top:2196;width:25;height:240" filled="false" stroked="true" strokeweight=".5pt" strokecolor="#000000">
              <v:stroke dashstyle="solid"/>
            </v:rect>
            <v:rect style="position:absolute;left:1453;top:1800;width:27;height:640" filled="true" fillcolor="#e1eecd" stroked="false">
              <v:fill type="solid"/>
            </v:rect>
            <v:rect style="position:absolute;left:1453;top:1800;width:27;height:640" filled="false" stroked="true" strokeweight=".5pt" strokecolor="#000000">
              <v:stroke dashstyle="solid"/>
            </v:rect>
            <v:rect style="position:absolute;left:1487;top:1480;width:32;height:960" filled="true" fillcolor="#e1eecd" stroked="false">
              <v:fill type="solid"/>
            </v:rect>
            <v:rect style="position:absolute;left:1487;top:1480;width:32;height:960" filled="false" stroked="true" strokeweight=".5pt" strokecolor="#000000">
              <v:stroke dashstyle="solid"/>
            </v:rect>
            <v:rect style="position:absolute;left:1527;top:1940;width:25;height:500" filled="true" fillcolor="#e1eecd" stroked="false">
              <v:fill type="solid"/>
            </v:rect>
            <v:rect style="position:absolute;left:1527;top:1940;width:25;height:500" filled="false" stroked="true" strokeweight=".5pt" strokecolor="#000000">
              <v:stroke dashstyle="solid"/>
            </v:rect>
            <v:rect style="position:absolute;left:1601;top:2442;width:24;height:40" filled="true" fillcolor="#e1eecd" stroked="false">
              <v:fill type="solid"/>
            </v:rect>
            <v:shape style="position:absolute;left:1601;top:2321;width:61;height:161" coordorigin="1601,2322" coordsize="61,161" path="m1601,2482l1625,2482,1625,2442,1601,2442,1601,2482m1633,2442l1662,2442,1662,2322,1633,2322,1633,2442e" filled="false" stroked="true" strokeweight=".5pt" strokecolor="#000000">
              <v:path arrowok="t"/>
              <v:stroke dashstyle="solid"/>
            </v:shape>
            <v:rect style="position:absolute;left:1675;top:2441;width:30;height:240" filled="true" fillcolor="#e1eecd" stroked="false">
              <v:fill type="solid"/>
            </v:rect>
            <v:rect style="position:absolute;left:1675;top:2441;width:30;height:240" filled="false" stroked="true" strokeweight=".5pt" strokecolor="#000000">
              <v:stroke dashstyle="solid"/>
            </v:rect>
            <v:rect style="position:absolute;left:1775;top:2040;width:27;height:400" filled="true" fillcolor="#e1eecd" stroked="false">
              <v:fill type="solid"/>
            </v:rect>
            <v:rect style="position:absolute;left:1775;top:2040;width:27;height:400" filled="false" stroked="true" strokeweight=".5pt" strokecolor="#000000">
              <v:stroke dashstyle="solid"/>
            </v:rect>
            <v:rect style="position:absolute;left:1807;top:1780;width:30;height:660" filled="true" fillcolor="#e1eecd" stroked="false">
              <v:fill type="solid"/>
            </v:rect>
            <v:rect style="position:absolute;left:1807;top:1780;width:30;height:660" filled="false" stroked="true" strokeweight=".5pt" strokecolor="#000000">
              <v:stroke dashstyle="solid"/>
            </v:rect>
            <v:rect style="position:absolute;left:1842;top:1280;width:30;height:1160" filled="true" fillcolor="#e1eecd" stroked="false">
              <v:fill type="solid"/>
            </v:rect>
            <v:rect style="position:absolute;left:1842;top:1280;width:30;height:1160" filled="false" stroked="true" strokeweight=".5pt" strokecolor="#000000">
              <v:stroke dashstyle="solid"/>
            </v:rect>
            <v:rect style="position:absolute;left:1873;top:920;width:37;height:1520" filled="true" fillcolor="#e1eecd" stroked="false">
              <v:fill type="solid"/>
            </v:rect>
            <v:rect style="position:absolute;left:1873;top:920;width:37;height:1520" filled="false" stroked="true" strokeweight=".5pt" strokecolor="#000000">
              <v:stroke dashstyle="solid"/>
            </v:rect>
            <v:rect style="position:absolute;left:1933;top:641;width:30;height:1800" filled="true" fillcolor="#e1eecd" stroked="false">
              <v:fill type="solid"/>
            </v:rect>
            <v:rect style="position:absolute;left:1933;top:641;width:30;height:1800" filled="false" stroked="true" strokeweight=".5pt" strokecolor="#000000">
              <v:stroke dashstyle="solid"/>
            </v:rect>
            <v:rect style="position:absolute;left:1970;top:841;width:34;height:1600" filled="true" fillcolor="#e1eecd" stroked="false">
              <v:fill type="solid"/>
            </v:rect>
            <v:rect style="position:absolute;left:1970;top:841;width:34;height:1600" filled="false" stroked="true" strokeweight=".5pt" strokecolor="#000000">
              <v:stroke dashstyle="solid"/>
            </v:rect>
            <v:rect style="position:absolute;left:2007;top:921;width:37;height:1520" filled="true" fillcolor="#e1eecd" stroked="false">
              <v:fill type="solid"/>
            </v:rect>
            <v:rect style="position:absolute;left:2007;top:921;width:37;height:1520" filled="false" stroked="true" strokeweight=".5pt" strokecolor="#000000">
              <v:stroke dashstyle="solid"/>
            </v:rect>
            <v:rect style="position:absolute;left:2050;top:1161;width:30;height:1280" filled="true" fillcolor="#e1eecd" stroked="false">
              <v:fill type="solid"/>
            </v:rect>
            <v:rect style="position:absolute;left:2050;top:1161;width:30;height:1280" filled="false" stroked="true" strokeweight=".5pt" strokecolor="#000000">
              <v:stroke dashstyle="solid"/>
            </v:rect>
            <v:rect style="position:absolute;left:2110;top:1421;width:37;height:1020" filled="true" fillcolor="#e1eecd" stroked="false">
              <v:fill type="solid"/>
            </v:rect>
            <v:rect style="position:absolute;left:2110;top:1421;width:37;height:1020" filled="false" stroked="true" strokeweight=".5pt" strokecolor="#000000">
              <v:stroke dashstyle="solid"/>
            </v:rect>
            <v:rect style="position:absolute;left:2152;top:1341;width:30;height:1100" filled="true" fillcolor="#e1eecd" stroked="false">
              <v:fill type="solid"/>
            </v:rect>
            <v:rect style="position:absolute;left:2152;top:1341;width:30;height:1100" filled="false" stroked="true" strokeweight=".5pt" strokecolor="#000000">
              <v:stroke dashstyle="solid"/>
            </v:rect>
            <v:rect style="position:absolute;left:2191;top:1241;width:30;height:1200" filled="true" fillcolor="#e1eecd" stroked="false">
              <v:fill type="solid"/>
            </v:rect>
            <v:rect style="position:absolute;left:2191;top:1241;width:30;height:1200" filled="false" stroked="true" strokeweight=".5pt" strokecolor="#000000">
              <v:stroke dashstyle="solid"/>
            </v:rect>
            <v:rect style="position:absolute;left:2230;top:1161;width:30;height:1280" filled="true" fillcolor="#e1eecd" stroked="false">
              <v:fill type="solid"/>
            </v:rect>
            <v:rect style="position:absolute;left:2230;top:1161;width:30;height:1280" filled="false" stroked="true" strokeweight=".5pt" strokecolor="#000000">
              <v:stroke dashstyle="solid"/>
            </v:rect>
            <v:rect style="position:absolute;left:2290;top:1341;width:30;height:1100" filled="true" fillcolor="#e1eecd" stroked="false">
              <v:fill type="solid"/>
            </v:rect>
            <v:rect style="position:absolute;left:2290;top:1341;width:30;height:1100" filled="false" stroked="true" strokeweight=".5pt" strokecolor="#000000">
              <v:stroke dashstyle="solid"/>
            </v:rect>
            <v:rect style="position:absolute;left:2330;top:1361;width:30;height:1080" filled="true" fillcolor="#e1eecd" stroked="false">
              <v:fill type="solid"/>
            </v:rect>
            <v:rect style="position:absolute;left:2330;top:1361;width:30;height:1080" filled="false" stroked="true" strokeweight=".5pt" strokecolor="#000000">
              <v:stroke dashstyle="solid"/>
            </v:rect>
            <v:rect style="position:absolute;left:2370;top:1501;width:30;height:940" filled="true" fillcolor="#e1eecd" stroked="false">
              <v:fill type="solid"/>
            </v:rect>
            <v:rect style="position:absolute;left:2370;top:1501;width:30;height:940" filled="false" stroked="true" strokeweight=".5pt" strokecolor="#000000">
              <v:stroke dashstyle="solid"/>
            </v:rect>
            <v:rect style="position:absolute;left:2410;top:1561;width:30;height:880" filled="true" fillcolor="#e1eecd" stroked="false">
              <v:fill type="solid"/>
            </v:rect>
            <v:rect style="position:absolute;left:2410;top:1561;width:30;height:880" filled="false" stroked="true" strokeweight=".5pt" strokecolor="#000000">
              <v:stroke dashstyle="solid"/>
            </v:rect>
            <v:rect style="position:absolute;left:2473;top:1641;width:34;height:800" filled="true" fillcolor="#e1eecd" stroked="false">
              <v:fill type="solid"/>
            </v:rect>
            <v:rect style="position:absolute;left:2473;top:1641;width:34;height:800" filled="false" stroked="true" strokeweight=".5pt" strokecolor="#000000">
              <v:stroke dashstyle="solid"/>
            </v:rect>
            <v:rect style="position:absolute;left:2514;top:1501;width:30;height:940" filled="true" fillcolor="#e1eecd" stroked="false">
              <v:fill type="solid"/>
            </v:rect>
            <v:rect style="position:absolute;left:2514;top:1501;width:30;height:940" filled="false" stroked="true" strokeweight=".5pt" strokecolor="#000000">
              <v:stroke dashstyle="solid"/>
            </v:rect>
            <v:rect style="position:absolute;left:2553;top:1361;width:30;height:1080" filled="true" fillcolor="#e1eecd" stroked="false">
              <v:fill type="solid"/>
            </v:rect>
            <v:rect style="position:absolute;left:2553;top:1361;width:30;height:1080" filled="false" stroked="true" strokeweight=".5pt" strokecolor="#000000">
              <v:stroke dashstyle="solid"/>
            </v:rect>
            <v:rect style="position:absolute;left:2590;top:1081;width:37;height:1360" filled="true" fillcolor="#e1eecd" stroked="false">
              <v:fill type="solid"/>
            </v:rect>
            <v:rect style="position:absolute;left:2590;top:1081;width:37;height:1360" filled="false" stroked="true" strokeweight=".5pt" strokecolor="#000000">
              <v:stroke dashstyle="solid"/>
            </v:rect>
            <v:rect style="position:absolute;left:2660;top:801;width:27;height:1640" filled="true" fillcolor="#e1eecd" stroked="false">
              <v:fill type="solid"/>
            </v:rect>
            <v:rect style="position:absolute;left:2660;top:801;width:27;height:1640" filled="false" stroked="true" strokeweight=".5pt" strokecolor="#000000">
              <v:stroke dashstyle="solid"/>
            </v:rect>
            <v:rect style="position:absolute;left:2695;top:921;width:30;height:1520" filled="true" fillcolor="#e1eecd" stroked="false">
              <v:fill type="solid"/>
            </v:rect>
            <v:rect style="position:absolute;left:2695;top:921;width:30;height:1520" filled="false" stroked="true" strokeweight=".5pt" strokecolor="#000000">
              <v:stroke dashstyle="solid"/>
            </v:rect>
            <v:rect style="position:absolute;left:2732;top:941;width:30;height:1500" filled="true" fillcolor="#e1eecd" stroked="false">
              <v:fill type="solid"/>
            </v:rect>
            <v:rect style="position:absolute;left:2732;top:941;width:30;height:1500" filled="false" stroked="true" strokeweight=".5pt" strokecolor="#000000">
              <v:stroke dashstyle="solid"/>
            </v:rect>
            <v:rect style="position:absolute;left:2770;top:1081;width:30;height:1360" filled="true" fillcolor="#e1eecd" stroked="false">
              <v:fill type="solid"/>
            </v:rect>
            <v:rect style="position:absolute;left:2770;top:1081;width:30;height:1360" filled="false" stroked="true" strokeweight=".5pt" strokecolor="#000000">
              <v:stroke dashstyle="solid"/>
            </v:rect>
            <v:rect style="position:absolute;left:2830;top:1041;width:30;height:1400" filled="true" fillcolor="#e1eecd" stroked="false">
              <v:fill type="solid"/>
            </v:rect>
            <v:rect style="position:absolute;left:2830;top:1041;width:30;height:1400" filled="false" stroked="true" strokeweight=".5pt" strokecolor="#000000">
              <v:stroke dashstyle="solid"/>
            </v:rect>
            <v:rect style="position:absolute;left:2863;top:1201;width:30;height:1240" filled="true" fillcolor="#e1eecd" stroked="false">
              <v:fill type="solid"/>
            </v:rect>
            <v:rect style="position:absolute;left:2863;top:1201;width:30;height:1240" filled="false" stroked="true" strokeweight=".5pt" strokecolor="#000000">
              <v:stroke dashstyle="solid"/>
            </v:rect>
            <v:rect style="position:absolute;left:2896;top:1281;width:30;height:1160" filled="true" fillcolor="#e1eecd" stroked="false">
              <v:fill type="solid"/>
            </v:rect>
            <v:rect style="position:absolute;left:2896;top:1281;width:30;height:1160" filled="false" stroked="true" strokeweight=".5pt" strokecolor="#000000">
              <v:stroke dashstyle="solid"/>
            </v:rect>
            <v:rect style="position:absolute;left:2930;top:1421;width:30;height:1020" filled="true" fillcolor="#e1eecd" stroked="false">
              <v:fill type="solid"/>
            </v:rect>
            <v:rect style="position:absolute;left:2930;top:1421;width:30;height:1020" filled="false" stroked="true" strokeweight=".5pt" strokecolor="#000000">
              <v:stroke dashstyle="solid"/>
            </v:rect>
            <v:rect style="position:absolute;left:2990;top:1461;width:30;height:980" filled="true" fillcolor="#e1eecd" stroked="false">
              <v:fill type="solid"/>
            </v:rect>
            <v:rect style="position:absolute;left:2990;top:1461;width:30;height:980" filled="false" stroked="true" strokeweight=".5pt" strokecolor="#000000">
              <v:stroke dashstyle="solid"/>
            </v:rect>
            <v:rect style="position:absolute;left:3030;top:1361;width:30;height:1080" filled="true" fillcolor="#e1eecd" stroked="false">
              <v:fill type="solid"/>
            </v:rect>
            <v:rect style="position:absolute;left:3030;top:1361;width:30;height:1080" filled="false" stroked="true" strokeweight=".5pt" strokecolor="#000000">
              <v:stroke dashstyle="solid"/>
            </v:rect>
            <v:rect style="position:absolute;left:3070;top:1561;width:30;height:880" filled="true" fillcolor="#e1eecd" stroked="false">
              <v:fill type="solid"/>
            </v:rect>
            <v:rect style="position:absolute;left:3070;top:1561;width:30;height:880" filled="false" stroked="true" strokeweight=".5pt" strokecolor="#000000">
              <v:stroke dashstyle="solid"/>
            </v:rect>
            <v:rect style="position:absolute;left:3110;top:1841;width:30;height:600" filled="true" fillcolor="#e1eecd" stroked="false">
              <v:fill type="solid"/>
            </v:rect>
            <v:rect style="position:absolute;left:3110;top:1841;width:30;height:600" filled="false" stroked="true" strokeweight=".5pt" strokecolor="#000000">
              <v:stroke dashstyle="solid"/>
            </v:rect>
            <v:rect style="position:absolute;left:3175;top:1761;width:30;height:680" filled="true" fillcolor="#e1eecd" stroked="false">
              <v:fill type="solid"/>
            </v:rect>
            <v:rect style="position:absolute;left:3175;top:1761;width:30;height:680" filled="false" stroked="true" strokeweight=".5pt" strokecolor="#000000">
              <v:stroke dashstyle="solid"/>
            </v:rect>
            <v:rect style="position:absolute;left:3207;top:1861;width:30;height:580" filled="true" fillcolor="#e1eecd" stroked="false">
              <v:fill type="solid"/>
            </v:rect>
            <v:rect style="position:absolute;left:3207;top:1861;width:30;height:580" filled="false" stroked="true" strokeweight=".5pt" strokecolor="#000000">
              <v:stroke dashstyle="solid"/>
            </v:rect>
            <v:rect style="position:absolute;left:3244;top:1861;width:30;height:580" filled="true" fillcolor="#e1eecd" stroked="false">
              <v:fill type="solid"/>
            </v:rect>
            <v:rect style="position:absolute;left:3244;top:1861;width:30;height:580" filled="false" stroked="true" strokeweight=".5pt" strokecolor="#000000">
              <v:stroke dashstyle="solid"/>
            </v:rect>
            <v:rect style="position:absolute;left:3280;top:1681;width:34;height:760" filled="true" fillcolor="#e1eecd" stroked="false">
              <v:fill type="solid"/>
            </v:rect>
            <v:rect style="position:absolute;left:3280;top:1681;width:34;height:760" filled="false" stroked="true" strokeweight=".5pt" strokecolor="#000000">
              <v:stroke dashstyle="solid"/>
            </v:rect>
            <v:rect style="position:absolute;left:3336;top:1801;width:30;height:640" filled="true" fillcolor="#e1eecd" stroked="false">
              <v:fill type="solid"/>
            </v:rect>
            <v:rect style="position:absolute;left:3336;top:1801;width:30;height:640" filled="false" stroked="true" strokeweight=".5pt" strokecolor="#000000">
              <v:stroke dashstyle="solid"/>
            </v:rect>
            <v:rect style="position:absolute;left:3376;top:1921;width:30;height:520" filled="true" fillcolor="#e1eecd" stroked="false">
              <v:fill type="solid"/>
            </v:rect>
            <v:rect style="position:absolute;left:3376;top:1921;width:30;height:520" filled="false" stroked="true" strokeweight=".5pt" strokecolor="#000000">
              <v:stroke dashstyle="solid"/>
            </v:rect>
            <v:rect style="position:absolute;left:3415;top:1901;width:30;height:540" filled="true" fillcolor="#e1eecd" stroked="false">
              <v:fill type="solid"/>
            </v:rect>
            <v:rect style="position:absolute;left:3415;top:1901;width:30;height:540" filled="false" stroked="true" strokeweight=".5pt" strokecolor="#000000">
              <v:stroke dashstyle="solid"/>
            </v:rect>
            <v:rect style="position:absolute;left:3456;top:1941;width:27;height:500" filled="true" fillcolor="#e1eecd" stroked="false">
              <v:fill type="solid"/>
            </v:rect>
            <v:rect style="position:absolute;left:3456;top:1941;width:27;height:500" filled="false" stroked="true" strokeweight=".5pt" strokecolor="#000000">
              <v:stroke dashstyle="solid"/>
            </v:rect>
            <v:rect style="position:absolute;left:3510;top:2281;width:30;height:160" filled="true" fillcolor="#e1eecd" stroked="false">
              <v:fill type="solid"/>
            </v:rect>
            <v:rect style="position:absolute;left:3510;top:2281;width:30;height:160" filled="false" stroked="true" strokeweight=".5pt" strokecolor="#000000">
              <v:stroke dashstyle="solid"/>
            </v:rect>
            <v:rect style="position:absolute;left:3550;top:2201;width:30;height:240" filled="true" fillcolor="#e1eecd" stroked="false">
              <v:fill type="solid"/>
            </v:rect>
            <v:rect style="position:absolute;left:3550;top:2201;width:30;height:240" filled="false" stroked="true" strokeweight=".5pt" strokecolor="#000000">
              <v:stroke dashstyle="solid"/>
            </v:rect>
            <v:rect style="position:absolute;left:3588;top:2121;width:34;height:320" filled="true" fillcolor="#e1eecd" stroked="false">
              <v:fill type="solid"/>
            </v:rect>
            <v:rect style="position:absolute;left:3588;top:2121;width:34;height:320" filled="false" stroked="true" strokeweight=".5pt" strokecolor="#000000">
              <v:stroke dashstyle="solid"/>
            </v:rect>
            <v:rect style="position:absolute;left:3630;top:2021;width:30;height:420" filled="true" fillcolor="#e1eecd" stroked="false">
              <v:fill type="solid"/>
            </v:rect>
            <v:rect style="position:absolute;left:3630;top:2021;width:30;height:420" filled="false" stroked="true" strokeweight=".5pt" strokecolor="#000000">
              <v:stroke dashstyle="solid"/>
            </v:rect>
            <v:rect style="position:absolute;left:3690;top:1721;width:30;height:720" filled="true" fillcolor="#e1eecd" stroked="false">
              <v:fill type="solid"/>
            </v:rect>
            <v:rect style="position:absolute;left:3690;top:1721;width:30;height:720" filled="false" stroked="true" strokeweight=".5pt" strokecolor="#000000">
              <v:stroke dashstyle="solid"/>
            </v:rect>
            <v:rect style="position:absolute;left:3728;top:1501;width:34;height:940" filled="true" fillcolor="#e1eecd" stroked="false">
              <v:fill type="solid"/>
            </v:rect>
            <v:rect style="position:absolute;left:3728;top:1501;width:34;height:940" filled="false" stroked="true" strokeweight=".5pt" strokecolor="#000000">
              <v:stroke dashstyle="solid"/>
            </v:rect>
            <v:rect style="position:absolute;left:3771;top:1441;width:30;height:1000" filled="true" fillcolor="#e1eecd" stroked="false">
              <v:fill type="solid"/>
            </v:rect>
            <v:rect style="position:absolute;left:3771;top:1441;width:30;height:1000" filled="false" stroked="true" strokeweight=".5pt" strokecolor="#000000">
              <v:stroke dashstyle="solid"/>
            </v:rect>
            <v:rect style="position:absolute;left:3810;top:1441;width:34;height:1000" filled="true" fillcolor="#e1eecd" stroked="false">
              <v:fill type="solid"/>
            </v:rect>
            <v:rect style="position:absolute;left:3810;top:1441;width:34;height:1000" filled="false" stroked="true" strokeweight=".5pt" strokecolor="#000000">
              <v:stroke dashstyle="solid"/>
            </v:rect>
            <v:rect style="position:absolute;left:3873;top:1581;width:30;height:860" filled="true" fillcolor="#e1eecd" stroked="false">
              <v:fill type="solid"/>
            </v:rect>
            <v:rect style="position:absolute;left:3873;top:1581;width:30;height:860" filled="false" stroked="true" strokeweight=".5pt" strokecolor="#000000">
              <v:stroke dashstyle="solid"/>
            </v:rect>
            <v:rect style="position:absolute;left:3912;top:1801;width:30;height:640" filled="true" fillcolor="#e1eecd" stroked="false">
              <v:fill type="solid"/>
            </v:rect>
            <v:rect style="position:absolute;left:3912;top:1801;width:30;height:640" filled="false" stroked="true" strokeweight=".5pt" strokecolor="#000000">
              <v:stroke dashstyle="solid"/>
            </v:rect>
            <v:rect style="position:absolute;left:3951;top:1841;width:30;height:600" filled="true" fillcolor="#e1eecd" stroked="false">
              <v:fill type="solid"/>
            </v:rect>
            <v:rect style="position:absolute;left:3951;top:1841;width:30;height:600" filled="false" stroked="true" strokeweight=".5pt" strokecolor="#000000">
              <v:stroke dashstyle="solid"/>
            </v:rect>
            <v:rect style="position:absolute;left:3990;top:1881;width:30;height:560" filled="true" fillcolor="#e1eecd" stroked="false">
              <v:fill type="solid"/>
            </v:rect>
            <v:rect style="position:absolute;left:3990;top:1881;width:30;height:560" filled="false" stroked="true" strokeweight=".5pt" strokecolor="#000000">
              <v:stroke dashstyle="solid"/>
            </v:rect>
            <v:rect style="position:absolute;left:4046;top:1721;width:30;height:720" filled="true" fillcolor="#e1eecd" stroked="false">
              <v:fill type="solid"/>
            </v:rect>
            <v:rect style="position:absolute;left:4046;top:1721;width:30;height:720" filled="false" stroked="true" strokeweight=".5pt" strokecolor="#000000">
              <v:stroke dashstyle="solid"/>
            </v:rect>
            <v:rect style="position:absolute;left:4083;top:1601;width:30;height:840" filled="true" fillcolor="#e1eecd" stroked="false">
              <v:fill type="solid"/>
            </v:rect>
            <v:rect style="position:absolute;left:4083;top:1601;width:30;height:840" filled="false" stroked="true" strokeweight=".5pt" strokecolor="#000000">
              <v:stroke dashstyle="solid"/>
            </v:rect>
            <v:rect style="position:absolute;left:4120;top:1601;width:30;height:840" filled="true" fillcolor="#e1eecd" stroked="false">
              <v:fill type="solid"/>
            </v:rect>
            <v:rect style="position:absolute;left:4120;top:1601;width:30;height:840" filled="false" stroked="true" strokeweight=".5pt" strokecolor="#000000">
              <v:stroke dashstyle="solid"/>
            </v:rect>
            <v:rect style="position:absolute;left:4156;top:1541;width:30;height:900" filled="true" fillcolor="#e1eecd" stroked="false">
              <v:fill type="solid"/>
            </v:rect>
            <v:rect style="position:absolute;left:4156;top:1541;width:30;height:900" filled="false" stroked="true" strokeweight=".5pt" strokecolor="#000000">
              <v:stroke dashstyle="solid"/>
            </v:rect>
            <v:rect style="position:absolute;left:4210;top:1501;width:30;height:940" filled="true" fillcolor="#e1eecd" stroked="false">
              <v:fill type="solid"/>
            </v:rect>
            <v:rect style="position:absolute;left:4210;top:1501;width:30;height:940" filled="false" stroked="true" strokeweight=".5pt" strokecolor="#000000">
              <v:stroke dashstyle="solid"/>
            </v:rect>
            <v:rect style="position:absolute;left:4250;top:1681;width:30;height:760" filled="true" fillcolor="#e1eecd" stroked="false">
              <v:fill type="solid"/>
            </v:rect>
            <v:rect style="position:absolute;left:4250;top:1681;width:30;height:760" filled="false" stroked="true" strokeweight=".5pt" strokecolor="#000000">
              <v:stroke dashstyle="solid"/>
            </v:rect>
            <v:shape style="position:absolute;left:1290;top:81;width:2980;height:2380" coordorigin="1290,82" coordsize="2980,2380" path="m1290,82l1330,102,1370,322,1430,442,1470,422,1510,482,1550,922,1590,982,1650,1222,1690,1262,1730,1322,1770,1042,1810,542,1850,482,1910,662,1950,622,1990,842,2030,1202,2070,1242,2130,1142m2130,1142l2170,1162,2210,1482,2250,1782,2310,1802,2350,1842,2390,2022,2430,1962,2470,1922,2510,1702,2570,1302,2610,1222,2650,942,2690,182,2730,422,2770,522,2830,322,2870,582,2910,802,2950,1082m2950,1082l2990,1442,3030,1262,3090,1302,3130,1762,3170,1962,3210,1882,3250,2062,3310,2302,3350,2242,3390,2162,3430,2262,3490,2402,3530,2122,3570,2402,3610,2462,3650,2442,3690,2142,3750,2042,3790,1942m3790,1942l3830,1682,3870,1462,3910,1762,3950,1742,4010,1822,4050,1862,4090,1842,4130,2042,4170,2022,4210,1762,4270,1762e" filled="false" stroked="true" strokeweight="1pt" strokecolor="#95459a">
              <v:path arrowok="t"/>
              <v:stroke dashstyle="solid"/>
            </v:shape>
            <v:shape style="position:absolute;left:1270;top:2681;width:3020;height:100" coordorigin="1270,2682" coordsize="3020,100" path="m1270,2782l4290,2782m1430,2782l1430,2722m1590,2782l1590,2722m1770,2782l1770,2722m1950,2782l1950,2722m2110,2782l2110,2722m2290,2782l2290,2722m2470,2782l2470,2722m2650,2782l2650,2722m2830,2782l2830,2722m2990,2782l2990,2722m3170,2782l3170,2722m3330,2782l3330,2722m3510,2782l3510,2722m3690,2782l3690,2722m3870,2782l3870,2722m4050,2782l4050,2722m4210,2782l4210,2722m2110,2782l2110,2682m2990,2782l2990,2682m3870,2782l3870,2682e" filled="false" stroked="true" strokeweight=".5pt" strokecolor="#000000">
              <v:path arrowok="t"/>
              <v:stroke dashstyle="solid"/>
            </v:shape>
            <v:rect style="position:absolute;left:1717;top:2443;width:30;height:15" filled="true" fillcolor="#e1eecd" stroked="false">
              <v:fill type="solid"/>
            </v:rect>
            <v:rect style="position:absolute;left:1717;top:2443;width:30;height:15" filled="false" stroked="true" strokeweight=".5pt" strokecolor="#000000">
              <v:stroke dashstyle="solid"/>
            </v:rect>
            <v:shape style="position:absolute;left:1353;top:-36;width:1323;height:273" type="#_x0000_t202" filled="false" stroked="false">
              <v:textbox inset="0,0,0,0">
                <w:txbxContent>
                  <w:p>
                    <w:pPr>
                      <w:spacing w:line="133" w:lineRule="exact" w:before="0"/>
                      <w:ind w:left="0" w:right="0" w:firstLine="0"/>
                      <w:jc w:val="left"/>
                      <w:rPr>
                        <w:sz w:val="12"/>
                      </w:rPr>
                    </w:pPr>
                    <w:r>
                      <w:rPr>
                        <w:sz w:val="12"/>
                      </w:rPr>
                      <w:t>Relative commodity</w:t>
                    </w:r>
                  </w:p>
                  <w:p>
                    <w:pPr>
                      <w:spacing w:before="2"/>
                      <w:ind w:left="39" w:right="0" w:firstLine="0"/>
                      <w:jc w:val="left"/>
                      <w:rPr>
                        <w:sz w:val="12"/>
                      </w:rPr>
                    </w:pPr>
                    <w:r>
                      <w:rPr>
                        <w:sz w:val="12"/>
                      </w:rPr>
                      <w:t>prices (left-hand scale) (a)</w:t>
                    </w:r>
                  </w:p>
                </w:txbxContent>
              </v:textbox>
              <w10:wrap type="none"/>
            </v:shape>
            <v:shape style="position:absolute;left:3373;top:1184;width:930;height:253" type="#_x0000_t202" filled="false" stroked="false">
              <v:textbox inset="0,0,0,0">
                <w:txbxContent>
                  <w:p>
                    <w:pPr>
                      <w:spacing w:line="124" w:lineRule="exact" w:before="0"/>
                      <w:ind w:left="0" w:right="0" w:firstLine="0"/>
                      <w:jc w:val="left"/>
                      <w:rPr>
                        <w:sz w:val="12"/>
                      </w:rPr>
                    </w:pPr>
                    <w:r>
                      <w:rPr>
                        <w:sz w:val="12"/>
                      </w:rPr>
                      <w:t>GDP growth</w:t>
                    </w:r>
                  </w:p>
                  <w:p>
                    <w:pPr>
                      <w:spacing w:line="129" w:lineRule="exact" w:before="0"/>
                      <w:ind w:left="60" w:right="0" w:firstLine="0"/>
                      <w:jc w:val="left"/>
                      <w:rPr>
                        <w:sz w:val="12"/>
                      </w:rPr>
                    </w:pPr>
                    <w:r>
                      <w:rPr>
                        <w:sz w:val="12"/>
                      </w:rPr>
                      <w:t>(right-hand scale)</w:t>
                    </w:r>
                  </w:p>
                </w:txbxContent>
              </v:textbox>
              <w10:wrap type="none"/>
            </v:shape>
            <w10:wrap type="none"/>
          </v:group>
        </w:pict>
      </w:r>
      <w:r>
        <w:rPr>
          <w:sz w:val="12"/>
        </w:rPr>
        <w:t>140</w:t>
      </w:r>
    </w:p>
    <w:p>
      <w:pPr>
        <w:pStyle w:val="BodyText"/>
        <w:spacing w:before="6"/>
        <w:rPr>
          <w:sz w:val="17"/>
        </w:rPr>
      </w:pPr>
    </w:p>
    <w:p>
      <w:pPr>
        <w:spacing w:before="1"/>
        <w:ind w:left="180" w:right="0" w:firstLine="0"/>
        <w:jc w:val="left"/>
        <w:rPr>
          <w:sz w:val="12"/>
        </w:rPr>
      </w:pPr>
      <w:r>
        <w:rPr/>
        <w:pict>
          <v:line style="position:absolute;mso-position-horizontal-relative:page;mso-position-vertical-relative:paragraph;z-index:16011264" from="58.5pt,5.145566pt" to="53.5pt,5.145566pt" stroked="true" strokeweight=".5pt" strokecolor="#000000">
            <v:stroke dashstyle="solid"/>
            <w10:wrap type="none"/>
          </v:line>
        </w:pict>
      </w:r>
      <w:r>
        <w:rPr>
          <w:sz w:val="12"/>
        </w:rPr>
        <w:t>130</w:t>
      </w:r>
    </w:p>
    <w:p>
      <w:pPr>
        <w:pStyle w:val="BodyText"/>
        <w:spacing w:before="9"/>
        <w:rPr>
          <w:sz w:val="15"/>
        </w:rPr>
      </w:pPr>
    </w:p>
    <w:p>
      <w:pPr>
        <w:spacing w:before="0"/>
        <w:ind w:left="180" w:right="0" w:firstLine="0"/>
        <w:jc w:val="left"/>
        <w:rPr>
          <w:sz w:val="12"/>
        </w:rPr>
      </w:pPr>
      <w:r>
        <w:rPr/>
        <w:pict>
          <v:line style="position:absolute;mso-position-horizontal-relative:page;mso-position-vertical-relative:paragraph;z-index:16010752" from="58.5pt,5.093567pt" to="53.5pt,5.093567pt" stroked="true" strokeweight=".5pt" strokecolor="#000000">
            <v:stroke dashstyle="solid"/>
            <w10:wrap type="none"/>
          </v:line>
        </w:pict>
      </w:r>
      <w:r>
        <w:rPr>
          <w:sz w:val="12"/>
        </w:rPr>
        <w:t>120</w:t>
      </w:r>
    </w:p>
    <w:p>
      <w:pPr>
        <w:spacing w:before="15"/>
        <w:ind w:left="180" w:right="0" w:firstLine="0"/>
        <w:jc w:val="left"/>
        <w:rPr>
          <w:sz w:val="12"/>
        </w:rPr>
      </w:pPr>
      <w:r>
        <w:rPr/>
        <w:br w:type="column"/>
      </w:r>
      <w:r>
        <w:rPr>
          <w:sz w:val="12"/>
        </w:rPr>
        <w:t>Percentage change on a year earlier </w:t>
      </w:r>
      <w:r>
        <w:rPr>
          <w:position w:val="-5"/>
          <w:sz w:val="12"/>
        </w:rPr>
        <w:t>8</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6016896" from="218.5pt,5.081558pt" to="223.5pt,5.081558pt" stroked="true" strokeweight=".5pt" strokecolor="#000000">
            <v:stroke dashstyle="solid"/>
            <w10:wrap type="none"/>
          </v:line>
        </w:pict>
      </w:r>
      <w:r>
        <w:rPr/>
        <w:pict>
          <v:line style="position:absolute;mso-position-horizontal-relative:page;mso-position-vertical-relative:paragraph;z-index:16017408" from="218.5pt,-11.918442pt" to="223.5pt,-11.918442pt" stroked="true" strokeweight=".5pt" strokecolor="#000000">
            <v:stroke dashstyle="solid"/>
            <w10:wrap type="none"/>
          </v:line>
        </w:pict>
      </w:r>
      <w:r>
        <w:rPr>
          <w:sz w:val="12"/>
        </w:rPr>
        <w:t>7</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6016384" from="218.5pt,5.083557pt" to="223.5pt,5.083557pt" stroked="true" strokeweight=".5pt" strokecolor="#000000">
            <v:stroke dashstyle="solid"/>
            <w10:wrap type="none"/>
          </v:line>
        </w:pict>
      </w:r>
      <w:r>
        <w:rPr>
          <w:sz w:val="12"/>
        </w:rPr>
        <w:t>6</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6015872" from="218.5pt,4.085556pt" to="223.5pt,4.085556pt" stroked="true" strokeweight=".5pt" strokecolor="#000000">
            <v:stroke dashstyle="solid"/>
            <w10:wrap type="none"/>
          </v:line>
        </w:pict>
      </w:r>
      <w:r>
        <w:rPr>
          <w:sz w:val="12"/>
        </w:rPr>
        <w:t>5</w:t>
      </w:r>
    </w:p>
    <w:p>
      <w:pPr>
        <w:pStyle w:val="Heading5"/>
        <w:spacing w:line="242" w:lineRule="auto"/>
        <w:ind w:right="27"/>
      </w:pPr>
      <w:r>
        <w:rPr/>
        <w:br w:type="column"/>
      </w:r>
      <w:r>
        <w:rPr>
          <w:color w:val="231F20"/>
        </w:rPr>
        <w:t>that the market expected the rises to be reversed. In the past few months, expectations of future price movements have generally remained within the £11–12 range (see Chart 5.3).</w:t>
      </w:r>
    </w:p>
    <w:p>
      <w:pPr>
        <w:spacing w:after="0" w:line="242" w:lineRule="auto"/>
        <w:sectPr>
          <w:type w:val="continuous"/>
          <w:pgSz w:w="11880" w:h="16840"/>
          <w:pgMar w:top="1040" w:bottom="280" w:left="640" w:right="620"/>
          <w:cols w:num="3" w:equalWidth="0">
            <w:col w:w="1008" w:space="945"/>
            <w:col w:w="2058" w:space="750"/>
            <w:col w:w="5859"/>
          </w:cols>
        </w:sectPr>
      </w:pPr>
    </w:p>
    <w:p>
      <w:pPr>
        <w:pStyle w:val="BodyText"/>
        <w:spacing w:before="9"/>
        <w:rPr>
          <w:sz w:val="15"/>
        </w:rPr>
      </w:pPr>
    </w:p>
    <w:p>
      <w:pPr>
        <w:spacing w:before="1"/>
        <w:ind w:left="180" w:right="0" w:firstLine="0"/>
        <w:jc w:val="left"/>
        <w:rPr>
          <w:sz w:val="12"/>
        </w:rPr>
      </w:pPr>
      <w:r>
        <w:rPr>
          <w:sz w:val="12"/>
        </w:rPr>
        <w:t>110</w:t>
      </w:r>
    </w:p>
    <w:p>
      <w:pPr>
        <w:pStyle w:val="BodyText"/>
        <w:spacing w:before="6"/>
        <w:rPr>
          <w:sz w:val="17"/>
        </w:rPr>
      </w:pPr>
    </w:p>
    <w:p>
      <w:pPr>
        <w:spacing w:before="0"/>
        <w:ind w:left="180" w:right="0" w:firstLine="0"/>
        <w:jc w:val="left"/>
        <w:rPr>
          <w:sz w:val="12"/>
        </w:rPr>
      </w:pPr>
      <w:r>
        <w:rPr>
          <w:sz w:val="12"/>
        </w:rPr>
        <w:t>100</w:t>
      </w:r>
    </w:p>
    <w:p>
      <w:pPr>
        <w:pStyle w:val="BodyText"/>
        <w:spacing w:before="6"/>
        <w:rPr>
          <w:sz w:val="17"/>
        </w:rPr>
      </w:pPr>
    </w:p>
    <w:p>
      <w:pPr>
        <w:spacing w:before="1"/>
        <w:ind w:left="240" w:right="0" w:firstLine="0"/>
        <w:jc w:val="left"/>
        <w:rPr>
          <w:sz w:val="12"/>
        </w:rPr>
      </w:pPr>
      <w:r>
        <w:rPr>
          <w:sz w:val="12"/>
        </w:rPr>
        <w:t>90</w:t>
      </w:r>
    </w:p>
    <w:p>
      <w:pPr>
        <w:pStyle w:val="BodyText"/>
        <w:spacing w:before="9"/>
        <w:rPr>
          <w:sz w:val="15"/>
        </w:rPr>
      </w:pPr>
    </w:p>
    <w:p>
      <w:pPr>
        <w:spacing w:before="0"/>
        <w:ind w:left="240" w:right="0" w:firstLine="0"/>
        <w:jc w:val="left"/>
        <w:rPr>
          <w:sz w:val="12"/>
        </w:rPr>
      </w:pPr>
      <w:r>
        <w:rPr>
          <w:sz w:val="12"/>
        </w:rPr>
        <w:t>80</w:t>
      </w:r>
    </w:p>
    <w:p>
      <w:pPr>
        <w:pStyle w:val="BodyText"/>
        <w:spacing w:before="7"/>
        <w:rPr>
          <w:sz w:val="17"/>
        </w:rPr>
      </w:pPr>
    </w:p>
    <w:p>
      <w:pPr>
        <w:spacing w:before="0"/>
        <w:ind w:left="240" w:right="0" w:firstLine="0"/>
        <w:jc w:val="left"/>
        <w:rPr>
          <w:sz w:val="12"/>
        </w:rPr>
      </w:pPr>
      <w:r>
        <w:rPr>
          <w:sz w:val="12"/>
        </w:rPr>
        <w:t>70</w:t>
      </w:r>
    </w:p>
    <w:p>
      <w:pPr>
        <w:pStyle w:val="BodyText"/>
        <w:spacing w:before="6"/>
        <w:rPr>
          <w:sz w:val="17"/>
        </w:rPr>
      </w:pPr>
    </w:p>
    <w:p>
      <w:pPr>
        <w:spacing w:before="0"/>
        <w:ind w:left="240" w:right="0" w:firstLine="0"/>
        <w:jc w:val="left"/>
        <w:rPr>
          <w:sz w:val="12"/>
        </w:rPr>
      </w:pPr>
      <w:r>
        <w:rPr>
          <w:sz w:val="12"/>
        </w:rPr>
        <w:t>60</w:t>
      </w:r>
    </w:p>
    <w:p>
      <w:pPr>
        <w:pStyle w:val="BodyText"/>
        <w:spacing w:before="10" w:after="39"/>
        <w:rPr>
          <w:sz w:val="20"/>
        </w:rPr>
      </w:pPr>
      <w:r>
        <w:rPr/>
        <w:br w:type="column"/>
      </w:r>
      <w:r>
        <w:rPr>
          <w:sz w:val="20"/>
        </w:rPr>
      </w:r>
    </w:p>
    <w:p>
      <w:pPr>
        <w:pStyle w:val="BodyText"/>
        <w:spacing w:line="20" w:lineRule="exact"/>
        <w:ind w:left="2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sz w:val="24"/>
        </w:rPr>
      </w:pPr>
      <w:r>
        <w:rPr/>
        <w:pict>
          <v:shape style="position:absolute;margin-left:53.5pt;margin-top:16.25pt;width:5pt;height:.1pt;mso-position-horizontal-relative:page;mso-position-vertical-relative:paragraph;z-index:-15449088;mso-wrap-distance-left:0;mso-wrap-distance-right:0" coordorigin="1070,325" coordsize="100,0" path="m1170,325l1070,325e" filled="false" stroked="true" strokeweight=".5pt" strokecolor="#000000">
            <v:path arrowok="t"/>
            <v:stroke dashstyle="solid"/>
            <w10:wrap type="topAndBottom"/>
          </v:shape>
        </w:pict>
      </w:r>
      <w:r>
        <w:rPr/>
        <w:pict>
          <v:shape style="position:absolute;margin-left:53.5pt;margin-top:33.25pt;width:5pt;height:.1pt;mso-position-horizontal-relative:page;mso-position-vertical-relative:paragraph;z-index:-15448576;mso-wrap-distance-left:0;mso-wrap-distance-right:0" coordorigin="1070,665" coordsize="100,0" path="m1170,665l1070,665e" filled="false" stroked="true" strokeweight=".5pt" strokecolor="#000000">
            <v:path arrowok="t"/>
            <v:stroke dashstyle="solid"/>
            <w10:wrap type="topAndBottom"/>
          </v:shape>
        </w:pict>
      </w:r>
      <w:r>
        <w:rPr/>
        <w:pict>
          <v:shape style="position:absolute;margin-left:53.5pt;margin-top:49.25pt;width:5pt;height:.1pt;mso-position-horizontal-relative:page;mso-position-vertical-relative:paragraph;z-index:-15448064;mso-wrap-distance-left:0;mso-wrap-distance-right:0" coordorigin="1070,985" coordsize="100,0" path="m1170,985l1070,985e" filled="false" stroked="true" strokeweight=".5pt" strokecolor="#000000">
            <v:path arrowok="t"/>
            <v:stroke dashstyle="solid"/>
            <w10:wrap type="topAndBottom"/>
          </v:shape>
        </w:pict>
      </w:r>
      <w:r>
        <w:rPr/>
        <w:pict>
          <v:shape style="position:absolute;margin-left:53.5pt;margin-top:66.25pt;width:5pt;height:.1pt;mso-position-horizontal-relative:page;mso-position-vertical-relative:paragraph;z-index:-15447552;mso-wrap-distance-left:0;mso-wrap-distance-right:0" coordorigin="1070,1325" coordsize="100,0" path="m1170,1325l1070,1325e" filled="false" stroked="true" strokeweight=".5pt" strokecolor="#000000">
            <v:path arrowok="t"/>
            <v:stroke dashstyle="solid"/>
            <w10:wrap type="topAndBottom"/>
          </v:shape>
        </w:pict>
      </w:r>
      <w:r>
        <w:rPr/>
        <w:pict>
          <v:shape style="position:absolute;margin-left:53.5pt;margin-top:83.25pt;width:5pt;height:.1pt;mso-position-horizontal-relative:page;mso-position-vertical-relative:paragraph;z-index:-15447040;mso-wrap-distance-left:0;mso-wrap-distance-right:0" coordorigin="1070,1665" coordsize="100,0" path="m1170,1665l1070,1665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tabs>
          <w:tab w:pos="1099" w:val="left" w:leader="none"/>
        </w:tabs>
        <w:spacing w:before="0"/>
        <w:ind w:left="179" w:right="0" w:firstLine="0"/>
        <w:jc w:val="left"/>
        <w:rPr>
          <w:sz w:val="12"/>
        </w:rPr>
      </w:pPr>
      <w:r>
        <w:rPr>
          <w:sz w:val="12"/>
        </w:rPr>
        <w:t>1980</w:t>
        <w:tab/>
        <w:t>85</w:t>
      </w:r>
    </w:p>
    <w:p>
      <w:pPr>
        <w:pStyle w:val="BodyText"/>
        <w:spacing w:before="10"/>
        <w:rPr>
          <w:sz w:val="15"/>
        </w:rPr>
      </w:pPr>
      <w:r>
        <w:rPr/>
        <w:br w:type="column"/>
      </w:r>
      <w:r>
        <w:rPr>
          <w:sz w:val="15"/>
        </w:rPr>
      </w:r>
    </w:p>
    <w:p>
      <w:pPr>
        <w:spacing w:before="0"/>
        <w:ind w:left="0" w:right="38" w:firstLine="0"/>
        <w:jc w:val="right"/>
        <w:rPr>
          <w:sz w:val="12"/>
        </w:rPr>
      </w:pPr>
      <w:r>
        <w:rPr>
          <w:sz w:val="12"/>
        </w:rPr>
        <w:t>4</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6014848" from="218.5pt,5.085556pt" to="223.5pt,5.085556pt" stroked="true" strokeweight=".5pt" strokecolor="#000000">
            <v:stroke dashstyle="solid"/>
            <w10:wrap type="none"/>
          </v:line>
        </w:pict>
      </w:r>
      <w:r>
        <w:rPr/>
        <w:pict>
          <v:line style="position:absolute;mso-position-horizontal-relative:page;mso-position-vertical-relative:paragraph;z-index:16015360" from="218.5pt,-11.914444pt" to="223.5pt,-11.914444pt" stroked="true" strokeweight=".5pt" strokecolor="#000000">
            <v:stroke dashstyle="solid"/>
            <w10:wrap type="none"/>
          </v:line>
        </w:pict>
      </w:r>
      <w:r>
        <w:rPr>
          <w:sz w:val="12"/>
        </w:rPr>
        <w:t>3</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6014336" from="218.5pt,5.087555pt" to="223.5pt,5.087555pt" stroked="true" strokeweight=".5pt" strokecolor="#000000">
            <v:stroke dashstyle="solid"/>
            <w10:wrap type="none"/>
          </v:line>
        </w:pict>
      </w:r>
      <w:r>
        <w:rPr>
          <w:sz w:val="12"/>
        </w:rPr>
        <w:t>2</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6013824" from="218.5pt,5.085556pt" to="223.5pt,5.085556pt" stroked="true" strokeweight=".5pt" strokecolor="#000000">
            <v:stroke dashstyle="solid"/>
            <w10:wrap type="none"/>
          </v:line>
        </w:pict>
      </w:r>
      <w:r>
        <w:rPr>
          <w:sz w:val="12"/>
        </w:rPr>
        <w:t>1</w:t>
      </w:r>
    </w:p>
    <w:p>
      <w:pPr>
        <w:spacing w:line="166" w:lineRule="exact" w:before="55"/>
        <w:ind w:left="1599" w:right="0" w:firstLine="0"/>
        <w:jc w:val="left"/>
        <w:rPr>
          <w:sz w:val="16"/>
        </w:rPr>
      </w:pPr>
      <w:r>
        <w:rPr>
          <w:sz w:val="16"/>
        </w:rPr>
        <w:t>+</w:t>
      </w:r>
    </w:p>
    <w:p>
      <w:pPr>
        <w:spacing w:line="148" w:lineRule="auto" w:before="4"/>
        <w:ind w:left="1599" w:right="0" w:firstLine="0"/>
        <w:jc w:val="left"/>
        <w:rPr>
          <w:sz w:val="12"/>
        </w:rPr>
      </w:pPr>
      <w:r>
        <w:rPr/>
        <w:pict>
          <v:line style="position:absolute;mso-position-horizontal-relative:page;mso-position-vertical-relative:paragraph;z-index:16013312" from="218.5pt,4.189125pt" to="223.5pt,4.189125pt" stroked="true" strokeweight=".5pt" strokecolor="#000000">
            <v:stroke dashstyle="solid"/>
            <w10:wrap type="none"/>
          </v:line>
        </w:pict>
      </w:r>
      <w:r>
        <w:rPr>
          <w:position w:val="-8"/>
          <w:sz w:val="16"/>
        </w:rPr>
        <w:t>_</w:t>
      </w:r>
      <w:r>
        <w:rPr>
          <w:sz w:val="12"/>
        </w:rPr>
        <w:t>0</w:t>
      </w:r>
    </w:p>
    <w:p>
      <w:pPr>
        <w:spacing w:line="129" w:lineRule="exact" w:before="149"/>
        <w:ind w:left="1689" w:right="0" w:firstLine="0"/>
        <w:jc w:val="left"/>
        <w:rPr>
          <w:sz w:val="12"/>
        </w:rPr>
      </w:pPr>
      <w:r>
        <w:rPr/>
        <w:pict>
          <v:line style="position:absolute;mso-position-horizontal-relative:page;mso-position-vertical-relative:paragraph;z-index:16012800" from="218.5pt,12.539561pt" to="223.5pt,12.539561pt" stroked="true" strokeweight=".5pt" strokecolor="#000000">
            <v:stroke dashstyle="solid"/>
            <w10:wrap type="none"/>
          </v:line>
        </w:pict>
      </w:r>
      <w:r>
        <w:rPr>
          <w:sz w:val="12"/>
        </w:rPr>
        <w:t>1</w:t>
      </w:r>
    </w:p>
    <w:p>
      <w:pPr>
        <w:tabs>
          <w:tab w:pos="1059" w:val="left" w:leader="none"/>
        </w:tabs>
        <w:spacing w:line="129" w:lineRule="exact" w:before="0"/>
        <w:ind w:left="180" w:right="0" w:firstLine="0"/>
        <w:jc w:val="left"/>
        <w:rPr>
          <w:sz w:val="12"/>
        </w:rPr>
      </w:pPr>
      <w:r>
        <w:rPr>
          <w:sz w:val="12"/>
        </w:rPr>
        <w:t>90</w:t>
        <w:tab/>
        <w:t>95</w:t>
      </w:r>
    </w:p>
    <w:p>
      <w:pPr>
        <w:pStyle w:val="BodyText"/>
        <w:spacing w:before="2"/>
        <w:rPr>
          <w:sz w:val="21"/>
        </w:rPr>
      </w:pPr>
      <w:r>
        <w:rPr/>
        <w:br w:type="column"/>
      </w:r>
      <w:r>
        <w:rPr>
          <w:sz w:val="21"/>
        </w:rPr>
      </w:r>
    </w:p>
    <w:p>
      <w:pPr>
        <w:pStyle w:val="Heading5"/>
        <w:spacing w:line="242" w:lineRule="auto"/>
        <w:ind w:right="261" w:hanging="1"/>
      </w:pPr>
      <w:r>
        <w:rPr>
          <w:color w:val="231F20"/>
        </w:rPr>
        <w:t>Many non-oil world commodity prices, which rose rapidly at the end of 1996, were broadly unchanged or rose again in the first three quarters of 1997. Such prices—especially those of ‘hard’ commodities such as timber and metals—often follow movements in world GDP growth (see Chart 5.4). So the rise in GDP growth in the major economies in late 1996 and early 1997 may</w:t>
      </w:r>
    </w:p>
    <w:p>
      <w:pPr>
        <w:spacing w:after="0" w:line="242" w:lineRule="auto"/>
        <w:sectPr>
          <w:type w:val="continuous"/>
          <w:pgSz w:w="11880" w:h="16840"/>
          <w:pgMar w:top="1040" w:bottom="280" w:left="640" w:right="620"/>
          <w:cols w:num="4" w:equalWidth="0">
            <w:col w:w="361" w:space="40"/>
            <w:col w:w="1260" w:space="559"/>
            <w:col w:w="1790" w:space="750"/>
            <w:col w:w="5860"/>
          </w:cols>
        </w:sectPr>
      </w:pPr>
    </w:p>
    <w:p>
      <w:pPr>
        <w:spacing w:line="119" w:lineRule="exact" w:before="0"/>
        <w:ind w:left="160" w:right="0" w:firstLine="0"/>
        <w:jc w:val="left"/>
        <w:rPr>
          <w:sz w:val="12"/>
        </w:rPr>
      </w:pPr>
      <w:r>
        <w:rPr>
          <w:color w:val="231F20"/>
          <w:sz w:val="12"/>
        </w:rPr>
        <w:t>Sources: Bank for International Settlements, </w:t>
      </w:r>
      <w:r>
        <w:rPr>
          <w:i/>
          <w:color w:val="231F20"/>
          <w:sz w:val="12"/>
        </w:rPr>
        <w:t>The Economist </w:t>
      </w:r>
      <w:r>
        <w:rPr>
          <w:color w:val="231F20"/>
          <w:sz w:val="12"/>
        </w:rPr>
        <w:t>and the Bank of England.</w:t>
      </w:r>
    </w:p>
    <w:p>
      <w:pPr>
        <w:pStyle w:val="BodyText"/>
        <w:spacing w:before="1"/>
        <w:rPr>
          <w:sz w:val="10"/>
        </w:rPr>
      </w:pPr>
    </w:p>
    <w:p>
      <w:pPr>
        <w:spacing w:line="208" w:lineRule="auto" w:before="0"/>
        <w:ind w:left="400" w:right="63" w:hanging="240"/>
        <w:jc w:val="left"/>
        <w:rPr>
          <w:sz w:val="12"/>
        </w:rPr>
      </w:pPr>
      <w:r>
        <w:rPr>
          <w:color w:val="231F20"/>
          <w:sz w:val="12"/>
        </w:rPr>
        <w:t>(a) Based on </w:t>
      </w:r>
      <w:r>
        <w:rPr>
          <w:i/>
          <w:color w:val="231F20"/>
          <w:sz w:val="12"/>
        </w:rPr>
        <w:t>The Economist </w:t>
      </w:r>
      <w:r>
        <w:rPr>
          <w:color w:val="231F20"/>
          <w:sz w:val="12"/>
        </w:rPr>
        <w:t>All-Industries Index and priced in Special Drawing Rights (SDRs). GDP deflators for each of the five economies whose currencies appear in the SDR basket are used to derive a relative price series.</w:t>
      </w:r>
    </w:p>
    <w:p>
      <w:pPr>
        <w:pStyle w:val="Heading5"/>
        <w:spacing w:line="242" w:lineRule="auto" w:before="10"/>
        <w:ind w:left="160" w:right="140"/>
      </w:pPr>
      <w:r>
        <w:rPr/>
        <w:br w:type="column"/>
      </w:r>
      <w:r>
        <w:rPr>
          <w:color w:val="231F20"/>
        </w:rPr>
        <w:t>explain this increase. World commodity prices often affect UK manufacturers’ input prices. The sterling price</w:t>
      </w:r>
    </w:p>
    <w:p>
      <w:pPr>
        <w:spacing w:after="0" w:line="242" w:lineRule="auto"/>
        <w:sectPr>
          <w:type w:val="continuous"/>
          <w:pgSz w:w="11880" w:h="16840"/>
          <w:pgMar w:top="1040" w:bottom="280" w:left="640" w:right="620"/>
          <w:cols w:num="2" w:equalWidth="0">
            <w:col w:w="4359" w:space="422"/>
            <w:col w:w="5839"/>
          </w:cols>
        </w:sectPr>
      </w:pPr>
    </w:p>
    <w:p>
      <w:pPr>
        <w:pStyle w:val="BodyText"/>
        <w:rPr>
          <w:sz w:val="20"/>
        </w:rPr>
      </w:pPr>
    </w:p>
    <w:p>
      <w:pPr>
        <w:spacing w:after="0"/>
        <w:rPr>
          <w:sz w:val="20"/>
        </w:rPr>
        <w:sectPr>
          <w:footerReference w:type="even" r:id="rId77"/>
          <w:footerReference w:type="default" r:id="rId78"/>
          <w:pgSz w:w="11880" w:h="16840"/>
          <w:pgMar w:footer="597" w:header="586" w:top="780" w:bottom="780" w:left="640" w:right="620"/>
          <w:pgNumType w:start="38"/>
        </w:sectPr>
      </w:pPr>
    </w:p>
    <w:p>
      <w:pPr>
        <w:pStyle w:val="BodyText"/>
        <w:spacing w:before="6"/>
        <w:rPr>
          <w:sz w:val="20"/>
        </w:rPr>
      </w:pPr>
    </w:p>
    <w:p>
      <w:pPr>
        <w:pStyle w:val="Heading9"/>
        <w:spacing w:before="0"/>
        <w:ind w:left="170"/>
      </w:pPr>
      <w:bookmarkStart w:name="Costs and prices in the service sector" w:id="76"/>
      <w:bookmarkEnd w:id="76"/>
      <w:r>
        <w:rPr>
          <w:b w:val="0"/>
        </w:rPr>
      </w:r>
      <w:bookmarkStart w:name="Costs and prices in manufacturing" w:id="77"/>
      <w:bookmarkEnd w:id="77"/>
      <w:r>
        <w:rPr>
          <w:b w:val="0"/>
        </w:rPr>
      </w:r>
      <w:bookmarkStart w:name="_bookmark35" w:id="78"/>
      <w:bookmarkEnd w:id="78"/>
      <w:r>
        <w:rPr>
          <w:b w:val="0"/>
        </w:rPr>
      </w:r>
      <w:r>
        <w:rPr>
          <w:color w:val="0093C1"/>
        </w:rPr>
        <w:t>Chart 5.5</w:t>
      </w:r>
    </w:p>
    <w:p>
      <w:pPr>
        <w:spacing w:before="10"/>
        <w:ind w:left="170" w:right="0" w:firstLine="0"/>
        <w:jc w:val="left"/>
        <w:rPr>
          <w:sz w:val="12"/>
        </w:rPr>
      </w:pPr>
      <w:r>
        <w:rPr>
          <w:b/>
          <w:color w:val="0093C1"/>
          <w:sz w:val="20"/>
        </w:rPr>
        <w:t>C</w:t>
      </w:r>
      <w:r>
        <w:rPr>
          <w:b/>
          <w:color w:val="0093C1"/>
          <w:sz w:val="16"/>
        </w:rPr>
        <w:t>IPS </w:t>
      </w:r>
      <w:r>
        <w:rPr>
          <w:b/>
          <w:color w:val="0093C1"/>
          <w:sz w:val="20"/>
        </w:rPr>
        <w:t>surveys: input cost price indicators</w:t>
      </w:r>
      <w:r>
        <w:rPr>
          <w:color w:val="231F20"/>
          <w:position w:val="4"/>
          <w:sz w:val="12"/>
        </w:rPr>
        <w:t>(a)</w:t>
      </w:r>
    </w:p>
    <w:p>
      <w:pPr>
        <w:spacing w:before="45"/>
        <w:ind w:left="3340" w:right="0" w:firstLine="0"/>
        <w:jc w:val="left"/>
        <w:rPr>
          <w:sz w:val="12"/>
        </w:rPr>
      </w:pPr>
      <w:r>
        <w:rPr>
          <w:sz w:val="12"/>
        </w:rPr>
        <w:t>Index</w:t>
      </w:r>
    </w:p>
    <w:p>
      <w:pPr>
        <w:spacing w:before="32"/>
        <w:ind w:left="3690" w:right="0" w:firstLine="0"/>
        <w:jc w:val="left"/>
        <w:rPr>
          <w:sz w:val="12"/>
        </w:rPr>
      </w:pPr>
      <w:r>
        <w:rPr/>
        <w:pict>
          <v:group style="position:absolute;margin-left:44.5pt;margin-top:11.201563pt;width:169pt;height:120pt;mso-position-horizontal-relative:page;mso-position-vertical-relative:paragraph;z-index:16034816" coordorigin="890,224" coordsize="3380,2400">
            <v:shape style="position:absolute;left:890;top:714;width:100;height:1200" coordorigin="890,714" coordsize="100,1200" path="m990,1914l890,1914m990,1314l890,1314m990,714l890,714e" filled="false" stroked="true" strokeweight=".5pt" strokecolor="#000000">
              <v:path arrowok="t"/>
              <v:stroke dashstyle="solid"/>
            </v:shape>
            <v:shape style="position:absolute;left:1070;top:234;width:1280;height:1540" coordorigin="1070,234" coordsize="1280,1540" path="m1070,1774l1150,1654,1210,1634,1270,1674,1350,1374,1410,1234,1470,714,1550,574,1610,554,1670,454,1750,334,1810,474,1870,354,1950,494,2010,434,2070,234,2150,554,2210,534,2270,794,2350,1174e" filled="false" stroked="true" strokeweight="1pt" strokecolor="#0066a5">
              <v:path arrowok="t"/>
              <v:stroke dashstyle="solid"/>
            </v:shape>
            <v:shape style="position:absolute;left:3090;top:1294;width:1000;height:440" coordorigin="3090,1294" coordsize="1000,440" path="m3090,1734l3150,1674,3210,1654,3290,1554,3350,1454,3410,1454,3490,1394,3550,1314,3610,1314,3690,1294,3750,1334,3810,1474,3890,1454,3950,1494,4010,1514,4090,1474e" filled="false" stroked="true" strokeweight="1pt" strokecolor="#faab54">
              <v:path arrowok="t"/>
              <v:stroke dashstyle="solid"/>
            </v:shape>
            <v:shape style="position:absolute;left:2350;top:1174;width:1740;height:1440" coordorigin="2350,1174" coordsize="1740,1440" path="m2350,1174l2410,1454,2470,1774,2550,2034,2610,1994,2670,2014,2750,2274,2810,2314,2870,2414,2950,2214,3010,2534,3090,2614,3150,2434,3210,2314,3290,2274,3350,2394,3410,2394,3490,2454,3550,2554,3610,2494m3610,2494l3690,2494,3750,2414,3810,2254,3890,2514,3950,2514,4010,2434,4090,2274e" filled="false" stroked="true" strokeweight="1pt" strokecolor="#0066a5">
              <v:path arrowok="t"/>
              <v:stroke dashstyle="solid"/>
            </v:shape>
            <v:shape style="position:absolute;left:4170;top:714;width:100;height:1800" coordorigin="4170,714" coordsize="100,1800" path="m4270,2514l4170,2514m4270,1914l4170,1914m4270,1314l4170,1314m4270,714l4170,714e" filled="false" stroked="true" strokeweight=".5pt" strokecolor="#000000">
              <v:path arrowok="t"/>
              <v:stroke dashstyle="solid"/>
            </v:shape>
            <v:shape style="position:absolute;left:1050;top:1914;width:3040;height:2" coordorigin="1050,1914" coordsize="3040,0" path="m4090,1914l1050,1914e" filled="true" fillcolor="#000000" stroked="false">
              <v:path arrowok="t"/>
              <v:fill type="solid"/>
            </v:shape>
            <v:line style="position:absolute" from="1050,1914" to="4090,1914" stroked="true" strokeweight=".5pt" strokecolor="#000000">
              <v:stroke dashstyle="solid"/>
            </v:line>
            <v:shape style="position:absolute;left:2160;top:297;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3280;top:1137;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16035328" from="49.5pt,4.701562pt" to="44.5pt,4.701562pt" stroked="true" strokeweight=".5pt" strokecolor="#000000">
            <v:stroke dashstyle="solid"/>
            <w10:wrap type="none"/>
          </v:line>
        </w:pict>
      </w:r>
      <w:r>
        <w:rPr/>
        <w:pict>
          <v:line style="position:absolute;mso-position-horizontal-relative:page;mso-position-vertical-relative:paragraph;z-index:16036864" from="213.5pt,4.701562pt" to="208.5pt,4.701562pt" stroked="true" strokeweight=".5pt" strokecolor="#000000">
            <v:stroke dashstyle="solid"/>
            <w10:wrap type="none"/>
          </v:line>
        </w:pict>
      </w:r>
      <w:r>
        <w:rPr>
          <w:sz w:val="12"/>
        </w:rPr>
        <w:t>80</w:t>
      </w:r>
    </w:p>
    <w:p>
      <w:pPr>
        <w:pStyle w:val="BodyText"/>
        <w:rPr>
          <w:sz w:val="12"/>
        </w:rPr>
      </w:pPr>
    </w:p>
    <w:p>
      <w:pPr>
        <w:pStyle w:val="BodyText"/>
        <w:rPr>
          <w:sz w:val="12"/>
        </w:rPr>
      </w:pPr>
    </w:p>
    <w:p>
      <w:pPr>
        <w:pStyle w:val="BodyText"/>
        <w:spacing w:before="2"/>
        <w:rPr>
          <w:sz w:val="16"/>
        </w:rPr>
      </w:pPr>
    </w:p>
    <w:p>
      <w:pPr>
        <w:spacing w:before="0"/>
        <w:ind w:left="3690" w:right="0" w:firstLine="0"/>
        <w:jc w:val="left"/>
        <w:rPr>
          <w:sz w:val="12"/>
        </w:rPr>
      </w:pPr>
      <w:r>
        <w:rPr>
          <w:sz w:val="12"/>
        </w:rPr>
        <w:t>70</w:t>
      </w:r>
    </w:p>
    <w:p>
      <w:pPr>
        <w:pStyle w:val="BodyText"/>
        <w:rPr>
          <w:sz w:val="12"/>
        </w:rPr>
      </w:pPr>
    </w:p>
    <w:p>
      <w:pPr>
        <w:pStyle w:val="BodyText"/>
        <w:rPr>
          <w:sz w:val="12"/>
        </w:rPr>
      </w:pPr>
    </w:p>
    <w:p>
      <w:pPr>
        <w:pStyle w:val="BodyText"/>
        <w:spacing w:before="11"/>
        <w:rPr>
          <w:sz w:val="17"/>
        </w:rPr>
      </w:pPr>
    </w:p>
    <w:p>
      <w:pPr>
        <w:spacing w:before="0"/>
        <w:ind w:left="3690" w:right="0" w:firstLine="0"/>
        <w:jc w:val="left"/>
        <w:rPr>
          <w:sz w:val="12"/>
        </w:rPr>
      </w:pPr>
      <w:r>
        <w:rPr>
          <w:sz w:val="12"/>
        </w:rPr>
        <w:t>60</w:t>
      </w:r>
    </w:p>
    <w:p>
      <w:pPr>
        <w:pStyle w:val="BodyText"/>
        <w:rPr>
          <w:sz w:val="12"/>
        </w:rPr>
      </w:pPr>
    </w:p>
    <w:p>
      <w:pPr>
        <w:pStyle w:val="BodyText"/>
        <w:rPr>
          <w:sz w:val="12"/>
        </w:rPr>
      </w:pPr>
    </w:p>
    <w:p>
      <w:pPr>
        <w:pStyle w:val="BodyText"/>
        <w:spacing w:before="2"/>
        <w:rPr>
          <w:sz w:val="16"/>
        </w:rPr>
      </w:pPr>
    </w:p>
    <w:p>
      <w:pPr>
        <w:spacing w:before="0"/>
        <w:ind w:left="3690" w:right="0" w:firstLine="0"/>
        <w:jc w:val="left"/>
        <w:rPr>
          <w:sz w:val="12"/>
        </w:rPr>
      </w:pPr>
      <w:r>
        <w:rPr>
          <w:sz w:val="12"/>
        </w:rPr>
        <w:t>50</w:t>
      </w:r>
    </w:p>
    <w:p>
      <w:pPr>
        <w:pStyle w:val="BodyText"/>
        <w:rPr>
          <w:sz w:val="12"/>
        </w:rPr>
      </w:pPr>
    </w:p>
    <w:p>
      <w:pPr>
        <w:pStyle w:val="BodyText"/>
        <w:rPr>
          <w:sz w:val="12"/>
        </w:rPr>
      </w:pPr>
    </w:p>
    <w:p>
      <w:pPr>
        <w:pStyle w:val="BodyText"/>
        <w:spacing w:before="2"/>
        <w:rPr>
          <w:sz w:val="16"/>
        </w:rPr>
      </w:pPr>
    </w:p>
    <w:p>
      <w:pPr>
        <w:spacing w:before="0"/>
        <w:ind w:left="3690" w:right="0" w:firstLine="0"/>
        <w:jc w:val="left"/>
        <w:rPr>
          <w:sz w:val="12"/>
        </w:rPr>
      </w:pPr>
      <w:r>
        <w:rPr/>
        <w:pict>
          <v:line style="position:absolute;mso-position-horizontal-relative:page;mso-position-vertical-relative:paragraph;z-index:16033280" from="49.5pt,3.101563pt" to="44.5pt,3.101563pt" stroked="true" strokeweight=".5pt" strokecolor="#000000">
            <v:stroke dashstyle="solid"/>
            <w10:wrap type="none"/>
          </v:line>
        </w:pict>
      </w:r>
      <w:r>
        <w:rPr>
          <w:sz w:val="12"/>
        </w:rPr>
        <w:t>40</w:t>
      </w:r>
    </w:p>
    <w:p>
      <w:pPr>
        <w:pStyle w:val="BodyText"/>
        <w:rPr>
          <w:sz w:val="12"/>
        </w:rPr>
      </w:pPr>
    </w:p>
    <w:p>
      <w:pPr>
        <w:pStyle w:val="BodyText"/>
        <w:rPr>
          <w:sz w:val="12"/>
        </w:rPr>
      </w:pPr>
    </w:p>
    <w:p>
      <w:pPr>
        <w:pStyle w:val="BodyText"/>
        <w:spacing w:before="2"/>
        <w:rPr>
          <w:sz w:val="16"/>
        </w:rPr>
      </w:pPr>
    </w:p>
    <w:p>
      <w:pPr>
        <w:tabs>
          <w:tab w:pos="1599" w:val="left" w:leader="none"/>
          <w:tab w:pos="2400" w:val="left" w:leader="none"/>
          <w:tab w:pos="3080" w:val="left" w:leader="none"/>
          <w:tab w:pos="3689" w:val="left" w:leader="none"/>
        </w:tabs>
        <w:spacing w:before="0"/>
        <w:ind w:left="740" w:right="0" w:firstLine="0"/>
        <w:jc w:val="left"/>
        <w:rPr>
          <w:sz w:val="12"/>
        </w:rPr>
      </w:pPr>
      <w:r>
        <w:rPr/>
        <w:pict>
          <v:line style="position:absolute;mso-position-horizontal-relative:page;mso-position-vertical-relative:paragraph;z-index:16032768" from="49.5pt,3.103577pt" to="44.5pt,3.103577pt" stroked="true" strokeweight=".5pt" strokecolor="#000000">
            <v:stroke dashstyle="solid"/>
            <w10:wrap type="none"/>
          </v:line>
        </w:pict>
      </w:r>
      <w:r>
        <w:rPr/>
        <w:pict>
          <v:shape style="position:absolute;margin-left:53.5pt;margin-top:-1.896423pt;width:151pt;height:5pt;mso-position-horizontal-relative:page;mso-position-vertical-relative:paragraph;z-index:-20702208" coordorigin="1070,-38" coordsize="3020,100" path="m1070,62l4090,62m1070,62l1070,22m1130,62l1130,22m1210,62l1210,22m1270,62l1270,22m1330,62l1330,22m1410,62l1410,22m1470,62l1470,22m1530,62l1530,22m1610,62l1610,22m1670,62l1670,22m1730,62l1730,22m1810,62l1810,22m1870,62l1870,22m1950,62l1950,22m2010,62l2010,22m2070,62l2070,22m2150,62l2150,22m2210,62l2210,22m2270,62l2270,22m2350,62l2350,22m2410,62l2410,22m2470,62l2470,22m2550,62l2550,22m2610,62l2610,22m2670,62l2670,22m2750,62l2750,22m2810,62l2810,22m2870,62l2870,22m2950,62l2950,22m3010,62l3010,22m3070,62l3070,22m3150,62l3150,22m3210,62l3210,22m3270,62l3270,22m3350,62l3350,22m3410,62l3410,22m3490,62l3490,22m3550,62l3550,22m3610,62l3610,22m3690,62l3690,22m3750,62l3750,22m3810,62l3810,22m3890,62l3890,22m3950,62l3950,22m4010,62l4010,22m4090,62l4090,22m1070,62l1070,-38m1870,62l1870,-38m2670,62l2670,-38m3490,62l3490,-38e" filled="false" stroked="true" strokeweight=".5pt" strokecolor="#000000">
            <v:path arrowok="t"/>
            <v:stroke dashstyle="solid"/>
            <w10:wrap type="none"/>
          </v:shape>
        </w:pict>
      </w:r>
      <w:r>
        <w:rPr/>
        <w:pict>
          <v:line style="position:absolute;mso-position-horizontal-relative:page;mso-position-vertical-relative:paragraph;z-index:-20701696" from="213.5pt,3.103577pt" to="208.5pt,3.103577pt" stroked="true" strokeweight=".5pt" strokecolor="#000000">
            <v:stroke dashstyle="solid"/>
            <w10:wrap type="none"/>
          </v:line>
        </w:pict>
      </w:r>
      <w:r>
        <w:rPr>
          <w:sz w:val="12"/>
        </w:rPr>
        <w:t>1994</w:t>
        <w:tab/>
        <w:t>95</w:t>
        <w:tab/>
        <w:t>96</w:t>
        <w:tab/>
        <w:t>97</w:t>
        <w:tab/>
      </w:r>
      <w:r>
        <w:rPr>
          <w:position w:val="8"/>
          <w:sz w:val="12"/>
        </w:rPr>
        <w:t>30</w:t>
      </w:r>
    </w:p>
    <w:p>
      <w:pPr>
        <w:spacing w:before="136"/>
        <w:ind w:left="190" w:right="0" w:firstLine="0"/>
        <w:jc w:val="left"/>
        <w:rPr>
          <w:sz w:val="12"/>
        </w:rPr>
      </w:pPr>
      <w:r>
        <w:rPr>
          <w:color w:val="231F20"/>
          <w:sz w:val="12"/>
        </w:rPr>
        <w:t>Source: Chartered Institute of Purchasing and Supply.</w:t>
      </w:r>
    </w:p>
    <w:p>
      <w:pPr>
        <w:pStyle w:val="BodyText"/>
        <w:spacing w:before="1"/>
        <w:rPr>
          <w:sz w:val="10"/>
        </w:rPr>
      </w:pPr>
    </w:p>
    <w:p>
      <w:pPr>
        <w:spacing w:line="208" w:lineRule="auto" w:before="1"/>
        <w:ind w:left="430" w:right="291" w:hanging="240"/>
        <w:jc w:val="left"/>
        <w:rPr>
          <w:sz w:val="12"/>
        </w:rPr>
      </w:pPr>
      <w:r>
        <w:rPr>
          <w:color w:val="231F20"/>
          <w:sz w:val="12"/>
        </w:rPr>
        <w:t>(a) Respondents are asked to compare the prices of inputs in the current month with those in the previous month. A figure above 50 indicates rising input costs.</w:t>
      </w:r>
    </w:p>
    <w:p>
      <w:pPr>
        <w:pStyle w:val="BodyText"/>
        <w:rPr>
          <w:sz w:val="12"/>
        </w:rPr>
      </w:pPr>
    </w:p>
    <w:p>
      <w:pPr>
        <w:pStyle w:val="BodyText"/>
        <w:spacing w:before="10"/>
        <w:rPr>
          <w:sz w:val="12"/>
        </w:rPr>
      </w:pPr>
    </w:p>
    <w:p>
      <w:pPr>
        <w:pStyle w:val="Heading9"/>
        <w:spacing w:before="0"/>
      </w:pPr>
      <w:r>
        <w:rPr>
          <w:color w:val="0093C1"/>
        </w:rPr>
        <w:t>Table 5.A</w:t>
      </w:r>
    </w:p>
    <w:p>
      <w:pPr>
        <w:spacing w:before="10"/>
        <w:ind w:left="180" w:right="0" w:firstLine="0"/>
        <w:jc w:val="left"/>
        <w:rPr>
          <w:sz w:val="12"/>
        </w:rPr>
      </w:pPr>
      <w:r>
        <w:rPr>
          <w:b/>
          <w:color w:val="0093C1"/>
          <w:sz w:val="20"/>
        </w:rPr>
        <w:t>Short-run measures of producer price inflation</w:t>
      </w:r>
      <w:r>
        <w:rPr>
          <w:color w:val="231F20"/>
          <w:position w:val="4"/>
          <w:sz w:val="12"/>
        </w:rPr>
        <w:t>(a)</w:t>
      </w:r>
    </w:p>
    <w:p>
      <w:pPr>
        <w:tabs>
          <w:tab w:pos="4409" w:val="left" w:leader="none"/>
        </w:tabs>
        <w:spacing w:line="150" w:lineRule="exact" w:before="106"/>
        <w:ind w:left="2040" w:right="0" w:firstLine="0"/>
        <w:jc w:val="left"/>
        <w:rPr>
          <w:sz w:val="14"/>
        </w:rPr>
      </w:pPr>
      <w:r>
        <w:rPr>
          <w:color w:val="231F20"/>
          <w:sz w:val="14"/>
          <w:u w:val="single" w:color="231F20"/>
        </w:rPr>
        <w:t>1997</w:t>
        <w:tab/>
      </w:r>
    </w:p>
    <w:p>
      <w:pPr>
        <w:tabs>
          <w:tab w:pos="2599" w:val="left" w:leader="none"/>
          <w:tab w:pos="3129" w:val="left" w:leader="none"/>
          <w:tab w:pos="3649" w:val="left" w:leader="none"/>
        </w:tabs>
        <w:spacing w:line="150" w:lineRule="exact" w:before="0"/>
        <w:ind w:left="2040" w:right="0" w:firstLine="0"/>
        <w:jc w:val="left"/>
        <w:rPr>
          <w:sz w:val="14"/>
        </w:rPr>
      </w:pPr>
      <w:r>
        <w:rPr>
          <w:color w:val="231F20"/>
          <w:sz w:val="14"/>
        </w:rPr>
        <w:t>May</w:t>
        <w:tab/>
        <w:t>June</w:t>
        <w:tab/>
        <w:t>July</w:t>
        <w:tab/>
        <w:t>Aug.   </w:t>
      </w:r>
      <w:r>
        <w:rPr>
          <w:color w:val="231F20"/>
          <w:spacing w:val="13"/>
          <w:sz w:val="14"/>
        </w:rPr>
        <w:t> </w:t>
      </w:r>
      <w:r>
        <w:rPr>
          <w:color w:val="231F20"/>
          <w:sz w:val="14"/>
        </w:rPr>
        <w:t>Sept.</w:t>
      </w:r>
    </w:p>
    <w:p>
      <w:pPr>
        <w:pStyle w:val="BodyText"/>
        <w:spacing w:before="3"/>
        <w:rPr>
          <w:sz w:val="3"/>
        </w:rPr>
      </w:pPr>
    </w:p>
    <w:p>
      <w:pPr>
        <w:pStyle w:val="BodyText"/>
        <w:spacing w:line="20" w:lineRule="exact"/>
        <w:ind w:left="2058" w:right="-58"/>
        <w:rPr>
          <w:sz w:val="2"/>
        </w:rPr>
      </w:pPr>
      <w:r>
        <w:rPr>
          <w:sz w:val="2"/>
        </w:rPr>
        <w:pict>
          <v:group style="width:16.5pt;height:.15pt;mso-position-horizontal-relative:char;mso-position-vertical-relative:line" coordorigin="0,0" coordsize="330,3">
            <v:line style="position:absolute" from="0,1" to="330,1" stroked="true" strokeweight=".125pt" strokecolor="#231f20">
              <v:stroke dashstyle="solid"/>
            </v:line>
          </v:group>
        </w:pict>
      </w:r>
      <w:r>
        <w:rPr>
          <w:sz w:val="2"/>
        </w:rPr>
      </w:r>
      <w:r>
        <w:rPr>
          <w:spacing w:val="187"/>
          <w:sz w:val="2"/>
        </w:rPr>
        <w:t> </w:t>
      </w:r>
      <w:r>
        <w:rPr>
          <w:spacing w:val="187"/>
          <w:sz w:val="2"/>
        </w:rPr>
        <w:pict>
          <v:group style="width:16.5pt;height:.15pt;mso-position-horizontal-relative:char;mso-position-vertical-relative:line" coordorigin="0,0" coordsize="330,3">
            <v:line style="position:absolute" from="0,1" to="330,1" stroked="true" strokeweight=".125pt" strokecolor="#231f20">
              <v:stroke dashstyle="solid"/>
            </v:line>
          </v:group>
        </w:pict>
      </w:r>
      <w:r>
        <w:rPr>
          <w:spacing w:val="187"/>
          <w:sz w:val="2"/>
        </w:rPr>
      </w:r>
      <w:r>
        <w:rPr>
          <w:spacing w:val="167"/>
          <w:sz w:val="2"/>
        </w:rPr>
        <w:t> </w:t>
      </w:r>
      <w:r>
        <w:rPr>
          <w:spacing w:val="167"/>
          <w:sz w:val="2"/>
        </w:rPr>
        <w:pict>
          <v:group style="width:16.5pt;height:.15pt;mso-position-horizontal-relative:char;mso-position-vertical-relative:line" coordorigin="0,0" coordsize="330,3">
            <v:line style="position:absolute" from="0,1" to="330,1" stroked="true" strokeweight=".125pt" strokecolor="#231f20">
              <v:stroke dashstyle="solid"/>
            </v:line>
          </v:group>
        </w:pict>
      </w:r>
      <w:r>
        <w:rPr>
          <w:spacing w:val="167"/>
          <w:sz w:val="2"/>
        </w:rPr>
      </w:r>
      <w:r>
        <w:rPr>
          <w:spacing w:val="157"/>
          <w:sz w:val="2"/>
        </w:rPr>
        <w:t> </w:t>
      </w:r>
      <w:r>
        <w:rPr>
          <w:spacing w:val="157"/>
          <w:sz w:val="2"/>
        </w:rPr>
        <w:pict>
          <v:group style="width:16.5pt;height:.15pt;mso-position-horizontal-relative:char;mso-position-vertical-relative:line" coordorigin="0,0" coordsize="330,3">
            <v:line style="position:absolute" from="0,1" to="330,1" stroked="true" strokeweight=".125pt" strokecolor="#231f20">
              <v:stroke dashstyle="solid"/>
            </v:line>
          </v:group>
        </w:pict>
      </w:r>
      <w:r>
        <w:rPr>
          <w:spacing w:val="157"/>
          <w:sz w:val="2"/>
        </w:rPr>
      </w:r>
      <w:r>
        <w:rPr>
          <w:spacing w:val="77"/>
          <w:sz w:val="2"/>
        </w:rPr>
        <w:t> </w:t>
      </w:r>
      <w:r>
        <w:rPr>
          <w:spacing w:val="77"/>
          <w:sz w:val="2"/>
        </w:rPr>
        <w:pict>
          <v:group style="width:16.5pt;height:.15pt;mso-position-horizontal-relative:char;mso-position-vertical-relative:line" coordorigin="0,0" coordsize="330,3">
            <v:line style="position:absolute" from="0,1" to="330,1" stroked="true" strokeweight=".125pt" strokecolor="#231f20">
              <v:stroke dashstyle="solid"/>
            </v:line>
          </v:group>
        </w:pict>
      </w:r>
      <w:r>
        <w:rPr>
          <w:spacing w:val="77"/>
          <w:sz w:val="2"/>
        </w:rPr>
      </w:r>
    </w:p>
    <w:p>
      <w:pPr>
        <w:spacing w:before="62"/>
        <w:ind w:left="179" w:right="0" w:firstLine="0"/>
        <w:jc w:val="left"/>
        <w:rPr>
          <w:i/>
          <w:sz w:val="14"/>
        </w:rPr>
      </w:pPr>
      <w:r>
        <w:rPr>
          <w:i/>
          <w:color w:val="231F20"/>
          <w:sz w:val="14"/>
        </w:rPr>
        <w:t>Three-month annualised percentage changes</w:t>
      </w:r>
    </w:p>
    <w:p>
      <w:pPr>
        <w:pStyle w:val="BodyText"/>
        <w:spacing w:before="9" w:after="1"/>
        <w:rPr>
          <w:i/>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510"/>
        <w:gridCol w:w="485"/>
        <w:gridCol w:w="455"/>
        <w:gridCol w:w="450"/>
        <w:gridCol w:w="386"/>
      </w:tblGrid>
      <w:tr>
        <w:trPr>
          <w:trHeight w:val="147" w:hRule="atLeast"/>
        </w:trPr>
        <w:tc>
          <w:tcPr>
            <w:tcW w:w="1944" w:type="dxa"/>
          </w:tcPr>
          <w:p>
            <w:pPr>
              <w:pStyle w:val="TableParagraph"/>
              <w:spacing w:line="128" w:lineRule="exact"/>
              <w:ind w:left="50"/>
              <w:rPr>
                <w:sz w:val="14"/>
              </w:rPr>
            </w:pPr>
            <w:r>
              <w:rPr>
                <w:color w:val="231F20"/>
                <w:sz w:val="14"/>
              </w:rPr>
              <w:t>Input prices</w:t>
            </w:r>
          </w:p>
        </w:tc>
        <w:tc>
          <w:tcPr>
            <w:tcW w:w="510" w:type="dxa"/>
          </w:tcPr>
          <w:p>
            <w:pPr>
              <w:pStyle w:val="TableParagraph"/>
              <w:spacing w:line="128" w:lineRule="exact"/>
              <w:ind w:right="141"/>
              <w:jc w:val="right"/>
              <w:rPr>
                <w:sz w:val="14"/>
              </w:rPr>
            </w:pPr>
            <w:r>
              <w:rPr>
                <w:color w:val="231F20"/>
                <w:sz w:val="14"/>
              </w:rPr>
              <w:t>-10.4</w:t>
            </w:r>
          </w:p>
        </w:tc>
        <w:tc>
          <w:tcPr>
            <w:tcW w:w="485" w:type="dxa"/>
          </w:tcPr>
          <w:p>
            <w:pPr>
              <w:pStyle w:val="TableParagraph"/>
              <w:spacing w:line="128" w:lineRule="exact"/>
              <w:ind w:right="116"/>
              <w:jc w:val="right"/>
              <w:rPr>
                <w:sz w:val="14"/>
              </w:rPr>
            </w:pPr>
            <w:r>
              <w:rPr>
                <w:color w:val="231F20"/>
                <w:sz w:val="14"/>
              </w:rPr>
              <w:t>-9.5</w:t>
            </w:r>
          </w:p>
        </w:tc>
        <w:tc>
          <w:tcPr>
            <w:tcW w:w="455" w:type="dxa"/>
          </w:tcPr>
          <w:p>
            <w:pPr>
              <w:pStyle w:val="TableParagraph"/>
              <w:spacing w:line="128" w:lineRule="exact"/>
              <w:ind w:right="111"/>
              <w:jc w:val="right"/>
              <w:rPr>
                <w:sz w:val="14"/>
              </w:rPr>
            </w:pPr>
            <w:r>
              <w:rPr>
                <w:color w:val="231F20"/>
                <w:sz w:val="14"/>
              </w:rPr>
              <w:t>-2.3</w:t>
            </w:r>
          </w:p>
        </w:tc>
        <w:tc>
          <w:tcPr>
            <w:tcW w:w="450" w:type="dxa"/>
          </w:tcPr>
          <w:p>
            <w:pPr>
              <w:pStyle w:val="TableParagraph"/>
              <w:spacing w:line="128" w:lineRule="exact"/>
              <w:ind w:right="111"/>
              <w:jc w:val="right"/>
              <w:rPr>
                <w:sz w:val="14"/>
              </w:rPr>
            </w:pPr>
            <w:r>
              <w:rPr>
                <w:color w:val="231F20"/>
                <w:sz w:val="14"/>
              </w:rPr>
              <w:t>-3.0</w:t>
            </w:r>
          </w:p>
        </w:tc>
        <w:tc>
          <w:tcPr>
            <w:tcW w:w="386" w:type="dxa"/>
          </w:tcPr>
          <w:p>
            <w:pPr>
              <w:pStyle w:val="TableParagraph"/>
              <w:spacing w:line="128" w:lineRule="exact"/>
              <w:ind w:left="139" w:right="28"/>
              <w:jc w:val="center"/>
              <w:rPr>
                <w:sz w:val="14"/>
              </w:rPr>
            </w:pPr>
            <w:r>
              <w:rPr>
                <w:color w:val="231F20"/>
                <w:sz w:val="14"/>
              </w:rPr>
              <w:t>1.6</w:t>
            </w:r>
          </w:p>
        </w:tc>
      </w:tr>
      <w:tr>
        <w:trPr>
          <w:trHeight w:val="210" w:hRule="atLeast"/>
        </w:trPr>
        <w:tc>
          <w:tcPr>
            <w:tcW w:w="1944" w:type="dxa"/>
          </w:tcPr>
          <w:p>
            <w:pPr>
              <w:pStyle w:val="TableParagraph"/>
              <w:spacing w:line="148" w:lineRule="exact"/>
              <w:ind w:left="50"/>
              <w:rPr>
                <w:sz w:val="12"/>
              </w:rPr>
            </w:pPr>
            <w:r>
              <w:rPr>
                <w:color w:val="231F20"/>
                <w:sz w:val="14"/>
              </w:rPr>
              <w:t>- excluding FDTP industries </w:t>
            </w:r>
            <w:r>
              <w:rPr>
                <w:color w:val="231F20"/>
                <w:sz w:val="12"/>
              </w:rPr>
              <w:t>(b)</w:t>
            </w:r>
          </w:p>
        </w:tc>
        <w:tc>
          <w:tcPr>
            <w:tcW w:w="510" w:type="dxa"/>
          </w:tcPr>
          <w:p>
            <w:pPr>
              <w:pStyle w:val="TableParagraph"/>
              <w:spacing w:line="148" w:lineRule="exact"/>
              <w:ind w:right="141"/>
              <w:jc w:val="right"/>
              <w:rPr>
                <w:sz w:val="14"/>
              </w:rPr>
            </w:pPr>
            <w:r>
              <w:rPr>
                <w:color w:val="231F20"/>
                <w:sz w:val="14"/>
              </w:rPr>
              <w:t>-6.0</w:t>
            </w:r>
          </w:p>
        </w:tc>
        <w:tc>
          <w:tcPr>
            <w:tcW w:w="485" w:type="dxa"/>
          </w:tcPr>
          <w:p>
            <w:pPr>
              <w:pStyle w:val="TableParagraph"/>
              <w:spacing w:line="148" w:lineRule="exact"/>
              <w:ind w:right="116"/>
              <w:jc w:val="right"/>
              <w:rPr>
                <w:sz w:val="14"/>
              </w:rPr>
            </w:pPr>
            <w:r>
              <w:rPr>
                <w:color w:val="231F20"/>
                <w:sz w:val="14"/>
              </w:rPr>
              <w:t>-6.8</w:t>
            </w:r>
          </w:p>
        </w:tc>
        <w:tc>
          <w:tcPr>
            <w:tcW w:w="455" w:type="dxa"/>
          </w:tcPr>
          <w:p>
            <w:pPr>
              <w:pStyle w:val="TableParagraph"/>
              <w:spacing w:line="148" w:lineRule="exact"/>
              <w:ind w:right="111"/>
              <w:jc w:val="right"/>
              <w:rPr>
                <w:sz w:val="14"/>
              </w:rPr>
            </w:pPr>
            <w:r>
              <w:rPr>
                <w:color w:val="231F20"/>
                <w:sz w:val="14"/>
              </w:rPr>
              <w:t>-5.0</w:t>
            </w:r>
          </w:p>
        </w:tc>
        <w:tc>
          <w:tcPr>
            <w:tcW w:w="450" w:type="dxa"/>
          </w:tcPr>
          <w:p>
            <w:pPr>
              <w:pStyle w:val="TableParagraph"/>
              <w:spacing w:line="148" w:lineRule="exact"/>
              <w:ind w:right="111"/>
              <w:jc w:val="right"/>
              <w:rPr>
                <w:sz w:val="14"/>
              </w:rPr>
            </w:pPr>
            <w:r>
              <w:rPr>
                <w:color w:val="231F20"/>
                <w:sz w:val="14"/>
              </w:rPr>
              <w:t>-1.9</w:t>
            </w:r>
          </w:p>
        </w:tc>
        <w:tc>
          <w:tcPr>
            <w:tcW w:w="386" w:type="dxa"/>
          </w:tcPr>
          <w:p>
            <w:pPr>
              <w:pStyle w:val="TableParagraph"/>
              <w:spacing w:line="148" w:lineRule="exact"/>
              <w:ind w:left="77" w:right="13"/>
              <w:jc w:val="center"/>
              <w:rPr>
                <w:sz w:val="14"/>
              </w:rPr>
            </w:pPr>
            <w:r>
              <w:rPr>
                <w:color w:val="231F20"/>
                <w:sz w:val="14"/>
              </w:rPr>
              <w:t>-0.8</w:t>
            </w:r>
          </w:p>
        </w:tc>
      </w:tr>
      <w:tr>
        <w:trPr>
          <w:trHeight w:val="210" w:hRule="atLeast"/>
        </w:trPr>
        <w:tc>
          <w:tcPr>
            <w:tcW w:w="1944" w:type="dxa"/>
          </w:tcPr>
          <w:p>
            <w:pPr>
              <w:pStyle w:val="TableParagraph"/>
              <w:spacing w:line="133" w:lineRule="exact" w:before="56"/>
              <w:ind w:left="50"/>
              <w:rPr>
                <w:sz w:val="12"/>
              </w:rPr>
            </w:pPr>
            <w:r>
              <w:rPr>
                <w:color w:val="231F20"/>
                <w:sz w:val="14"/>
              </w:rPr>
              <w:t>Output prices </w:t>
            </w:r>
            <w:r>
              <w:rPr>
                <w:color w:val="231F20"/>
                <w:sz w:val="12"/>
              </w:rPr>
              <w:t>(c)</w:t>
            </w:r>
          </w:p>
        </w:tc>
        <w:tc>
          <w:tcPr>
            <w:tcW w:w="510" w:type="dxa"/>
          </w:tcPr>
          <w:p>
            <w:pPr>
              <w:pStyle w:val="TableParagraph"/>
              <w:spacing w:line="133" w:lineRule="exact" w:before="56"/>
              <w:ind w:right="141"/>
              <w:jc w:val="right"/>
              <w:rPr>
                <w:sz w:val="14"/>
              </w:rPr>
            </w:pPr>
            <w:r>
              <w:rPr>
                <w:color w:val="231F20"/>
                <w:sz w:val="14"/>
              </w:rPr>
              <w:t>0.3</w:t>
            </w:r>
          </w:p>
        </w:tc>
        <w:tc>
          <w:tcPr>
            <w:tcW w:w="485" w:type="dxa"/>
          </w:tcPr>
          <w:p>
            <w:pPr>
              <w:pStyle w:val="TableParagraph"/>
              <w:spacing w:line="133" w:lineRule="exact" w:before="56"/>
              <w:ind w:right="116"/>
              <w:jc w:val="right"/>
              <w:rPr>
                <w:sz w:val="14"/>
              </w:rPr>
            </w:pPr>
            <w:r>
              <w:rPr>
                <w:color w:val="231F20"/>
                <w:sz w:val="14"/>
              </w:rPr>
              <w:t>0.3</w:t>
            </w:r>
          </w:p>
        </w:tc>
        <w:tc>
          <w:tcPr>
            <w:tcW w:w="455" w:type="dxa"/>
          </w:tcPr>
          <w:p>
            <w:pPr>
              <w:pStyle w:val="TableParagraph"/>
              <w:spacing w:line="133" w:lineRule="exact" w:before="56"/>
              <w:ind w:right="111"/>
              <w:jc w:val="right"/>
              <w:rPr>
                <w:sz w:val="14"/>
              </w:rPr>
            </w:pPr>
            <w:r>
              <w:rPr>
                <w:color w:val="231F20"/>
                <w:sz w:val="14"/>
              </w:rPr>
              <w:t>2.3</w:t>
            </w:r>
          </w:p>
        </w:tc>
        <w:tc>
          <w:tcPr>
            <w:tcW w:w="450" w:type="dxa"/>
          </w:tcPr>
          <w:p>
            <w:pPr>
              <w:pStyle w:val="TableParagraph"/>
              <w:spacing w:line="133" w:lineRule="exact" w:before="56"/>
              <w:ind w:right="111"/>
              <w:jc w:val="right"/>
              <w:rPr>
                <w:sz w:val="14"/>
              </w:rPr>
            </w:pPr>
            <w:r>
              <w:rPr>
                <w:color w:val="231F20"/>
                <w:sz w:val="14"/>
              </w:rPr>
              <w:t>2.6</w:t>
            </w:r>
          </w:p>
        </w:tc>
        <w:tc>
          <w:tcPr>
            <w:tcW w:w="386" w:type="dxa"/>
          </w:tcPr>
          <w:p>
            <w:pPr>
              <w:pStyle w:val="TableParagraph"/>
              <w:spacing w:line="133" w:lineRule="exact" w:before="56"/>
              <w:ind w:left="139" w:right="28"/>
              <w:jc w:val="center"/>
              <w:rPr>
                <w:sz w:val="14"/>
              </w:rPr>
            </w:pPr>
            <w:r>
              <w:rPr>
                <w:color w:val="231F20"/>
                <w:sz w:val="14"/>
              </w:rPr>
              <w:t>3.3</w:t>
            </w:r>
          </w:p>
        </w:tc>
      </w:tr>
      <w:tr>
        <w:trPr>
          <w:trHeight w:val="140" w:hRule="atLeast"/>
        </w:trPr>
        <w:tc>
          <w:tcPr>
            <w:tcW w:w="1944" w:type="dxa"/>
          </w:tcPr>
          <w:p>
            <w:pPr>
              <w:pStyle w:val="TableParagraph"/>
              <w:spacing w:line="120" w:lineRule="exact"/>
              <w:ind w:left="50"/>
              <w:rPr>
                <w:sz w:val="12"/>
              </w:rPr>
            </w:pPr>
            <w:r>
              <w:rPr>
                <w:color w:val="231F20"/>
                <w:sz w:val="14"/>
              </w:rPr>
              <w:t>- excluding FDTP industries </w:t>
            </w:r>
            <w:r>
              <w:rPr>
                <w:color w:val="231F20"/>
                <w:sz w:val="12"/>
              </w:rPr>
              <w:t>(b)</w:t>
            </w:r>
          </w:p>
        </w:tc>
        <w:tc>
          <w:tcPr>
            <w:tcW w:w="510" w:type="dxa"/>
          </w:tcPr>
          <w:p>
            <w:pPr>
              <w:pStyle w:val="TableParagraph"/>
              <w:spacing w:line="120" w:lineRule="exact"/>
              <w:ind w:right="141"/>
              <w:jc w:val="right"/>
              <w:rPr>
                <w:sz w:val="14"/>
              </w:rPr>
            </w:pPr>
            <w:r>
              <w:rPr>
                <w:color w:val="231F20"/>
                <w:sz w:val="14"/>
              </w:rPr>
              <w:t>1.3</w:t>
            </w:r>
          </w:p>
        </w:tc>
        <w:tc>
          <w:tcPr>
            <w:tcW w:w="485" w:type="dxa"/>
          </w:tcPr>
          <w:p>
            <w:pPr>
              <w:pStyle w:val="TableParagraph"/>
              <w:spacing w:line="120" w:lineRule="exact"/>
              <w:ind w:right="116"/>
              <w:jc w:val="right"/>
              <w:rPr>
                <w:sz w:val="14"/>
              </w:rPr>
            </w:pPr>
            <w:r>
              <w:rPr>
                <w:color w:val="231F20"/>
                <w:sz w:val="14"/>
              </w:rPr>
              <w:t>0.7</w:t>
            </w:r>
          </w:p>
        </w:tc>
        <w:tc>
          <w:tcPr>
            <w:tcW w:w="455" w:type="dxa"/>
          </w:tcPr>
          <w:p>
            <w:pPr>
              <w:pStyle w:val="TableParagraph"/>
              <w:spacing w:line="120" w:lineRule="exact"/>
              <w:ind w:right="111"/>
              <w:jc w:val="right"/>
              <w:rPr>
                <w:sz w:val="14"/>
              </w:rPr>
            </w:pPr>
            <w:r>
              <w:rPr>
                <w:color w:val="231F20"/>
                <w:sz w:val="14"/>
              </w:rPr>
              <w:t>1.0</w:t>
            </w:r>
          </w:p>
        </w:tc>
        <w:tc>
          <w:tcPr>
            <w:tcW w:w="450" w:type="dxa"/>
          </w:tcPr>
          <w:p>
            <w:pPr>
              <w:pStyle w:val="TableParagraph"/>
              <w:spacing w:line="120" w:lineRule="exact"/>
              <w:ind w:right="111"/>
              <w:jc w:val="right"/>
              <w:rPr>
                <w:sz w:val="14"/>
              </w:rPr>
            </w:pPr>
            <w:r>
              <w:rPr>
                <w:color w:val="231F20"/>
                <w:sz w:val="14"/>
              </w:rPr>
              <w:t>0.7</w:t>
            </w:r>
          </w:p>
        </w:tc>
        <w:tc>
          <w:tcPr>
            <w:tcW w:w="386" w:type="dxa"/>
          </w:tcPr>
          <w:p>
            <w:pPr>
              <w:pStyle w:val="TableParagraph"/>
              <w:spacing w:line="120" w:lineRule="exact"/>
              <w:ind w:left="139" w:right="28"/>
              <w:jc w:val="center"/>
              <w:rPr>
                <w:sz w:val="14"/>
              </w:rPr>
            </w:pPr>
            <w:r>
              <w:rPr>
                <w:color w:val="231F20"/>
                <w:sz w:val="14"/>
              </w:rPr>
              <w:t>1.0</w:t>
            </w:r>
          </w:p>
        </w:tc>
      </w:tr>
      <w:tr>
        <w:trPr>
          <w:trHeight w:val="210" w:hRule="atLeast"/>
        </w:trPr>
        <w:tc>
          <w:tcPr>
            <w:tcW w:w="1944" w:type="dxa"/>
          </w:tcPr>
          <w:p>
            <w:pPr>
              <w:pStyle w:val="TableParagraph"/>
              <w:spacing w:line="148" w:lineRule="exact"/>
              <w:ind w:left="50"/>
              <w:rPr>
                <w:sz w:val="14"/>
              </w:rPr>
            </w:pPr>
            <w:r>
              <w:rPr>
                <w:color w:val="231F20"/>
                <w:sz w:val="14"/>
              </w:rPr>
              <w:t>- excluding excise duties (PPIY)</w:t>
            </w:r>
          </w:p>
        </w:tc>
        <w:tc>
          <w:tcPr>
            <w:tcW w:w="510" w:type="dxa"/>
          </w:tcPr>
          <w:p>
            <w:pPr>
              <w:pStyle w:val="TableParagraph"/>
              <w:spacing w:line="148" w:lineRule="exact"/>
              <w:ind w:right="141"/>
              <w:jc w:val="right"/>
              <w:rPr>
                <w:sz w:val="14"/>
              </w:rPr>
            </w:pPr>
            <w:r>
              <w:rPr>
                <w:color w:val="231F20"/>
                <w:sz w:val="14"/>
              </w:rPr>
              <w:t>0.7</w:t>
            </w:r>
          </w:p>
        </w:tc>
        <w:tc>
          <w:tcPr>
            <w:tcW w:w="485" w:type="dxa"/>
          </w:tcPr>
          <w:p>
            <w:pPr>
              <w:pStyle w:val="TableParagraph"/>
              <w:spacing w:line="148" w:lineRule="exact"/>
              <w:ind w:right="116"/>
              <w:jc w:val="right"/>
              <w:rPr>
                <w:sz w:val="14"/>
              </w:rPr>
            </w:pPr>
            <w:r>
              <w:rPr>
                <w:color w:val="231F20"/>
                <w:sz w:val="14"/>
              </w:rPr>
              <w:t>1.0</w:t>
            </w:r>
          </w:p>
        </w:tc>
        <w:tc>
          <w:tcPr>
            <w:tcW w:w="455" w:type="dxa"/>
          </w:tcPr>
          <w:p>
            <w:pPr>
              <w:pStyle w:val="TableParagraph"/>
              <w:spacing w:line="148" w:lineRule="exact"/>
              <w:ind w:right="111"/>
              <w:jc w:val="right"/>
              <w:rPr>
                <w:sz w:val="14"/>
              </w:rPr>
            </w:pPr>
            <w:r>
              <w:rPr>
                <w:color w:val="231F20"/>
                <w:sz w:val="14"/>
              </w:rPr>
              <w:t>1.3</w:t>
            </w:r>
          </w:p>
        </w:tc>
        <w:tc>
          <w:tcPr>
            <w:tcW w:w="450" w:type="dxa"/>
          </w:tcPr>
          <w:p>
            <w:pPr>
              <w:pStyle w:val="TableParagraph"/>
              <w:spacing w:line="148" w:lineRule="exact"/>
              <w:ind w:right="111"/>
              <w:jc w:val="right"/>
              <w:rPr>
                <w:sz w:val="14"/>
              </w:rPr>
            </w:pPr>
            <w:r>
              <w:rPr>
                <w:color w:val="231F20"/>
                <w:sz w:val="14"/>
              </w:rPr>
              <w:t>0.7</w:t>
            </w:r>
          </w:p>
        </w:tc>
        <w:tc>
          <w:tcPr>
            <w:tcW w:w="386" w:type="dxa"/>
          </w:tcPr>
          <w:p>
            <w:pPr>
              <w:pStyle w:val="TableParagraph"/>
              <w:spacing w:line="148" w:lineRule="exact"/>
              <w:ind w:left="139" w:right="28"/>
              <w:jc w:val="center"/>
              <w:rPr>
                <w:sz w:val="14"/>
              </w:rPr>
            </w:pPr>
            <w:r>
              <w:rPr>
                <w:color w:val="231F20"/>
                <w:sz w:val="14"/>
              </w:rPr>
              <w:t>1.3</w:t>
            </w:r>
          </w:p>
        </w:tc>
      </w:tr>
      <w:tr>
        <w:trPr>
          <w:trHeight w:val="280" w:hRule="atLeast"/>
        </w:trPr>
        <w:tc>
          <w:tcPr>
            <w:tcW w:w="1944" w:type="dxa"/>
          </w:tcPr>
          <w:p>
            <w:pPr>
              <w:pStyle w:val="TableParagraph"/>
              <w:spacing w:before="56"/>
              <w:ind w:left="50"/>
              <w:rPr>
                <w:i/>
                <w:sz w:val="14"/>
              </w:rPr>
            </w:pPr>
            <w:r>
              <w:rPr>
                <w:i/>
                <w:color w:val="231F20"/>
                <w:sz w:val="14"/>
              </w:rPr>
              <w:t>One-month percentage changes</w:t>
            </w:r>
          </w:p>
        </w:tc>
        <w:tc>
          <w:tcPr>
            <w:tcW w:w="510" w:type="dxa"/>
          </w:tcPr>
          <w:p>
            <w:pPr>
              <w:pStyle w:val="TableParagraph"/>
              <w:rPr>
                <w:sz w:val="18"/>
              </w:rPr>
            </w:pPr>
          </w:p>
        </w:tc>
        <w:tc>
          <w:tcPr>
            <w:tcW w:w="485" w:type="dxa"/>
          </w:tcPr>
          <w:p>
            <w:pPr>
              <w:pStyle w:val="TableParagraph"/>
              <w:rPr>
                <w:sz w:val="18"/>
              </w:rPr>
            </w:pPr>
          </w:p>
        </w:tc>
        <w:tc>
          <w:tcPr>
            <w:tcW w:w="455" w:type="dxa"/>
          </w:tcPr>
          <w:p>
            <w:pPr>
              <w:pStyle w:val="TableParagraph"/>
              <w:rPr>
                <w:sz w:val="18"/>
              </w:rPr>
            </w:pPr>
          </w:p>
        </w:tc>
        <w:tc>
          <w:tcPr>
            <w:tcW w:w="450" w:type="dxa"/>
          </w:tcPr>
          <w:p>
            <w:pPr>
              <w:pStyle w:val="TableParagraph"/>
              <w:rPr>
                <w:sz w:val="18"/>
              </w:rPr>
            </w:pPr>
          </w:p>
        </w:tc>
        <w:tc>
          <w:tcPr>
            <w:tcW w:w="386" w:type="dxa"/>
          </w:tcPr>
          <w:p>
            <w:pPr>
              <w:pStyle w:val="TableParagraph"/>
              <w:rPr>
                <w:sz w:val="18"/>
              </w:rPr>
            </w:pPr>
          </w:p>
        </w:tc>
      </w:tr>
      <w:tr>
        <w:trPr>
          <w:trHeight w:val="210" w:hRule="atLeast"/>
        </w:trPr>
        <w:tc>
          <w:tcPr>
            <w:tcW w:w="1944" w:type="dxa"/>
          </w:tcPr>
          <w:p>
            <w:pPr>
              <w:pStyle w:val="TableParagraph"/>
              <w:spacing w:line="133" w:lineRule="exact" w:before="56"/>
              <w:ind w:left="50"/>
              <w:rPr>
                <w:sz w:val="14"/>
              </w:rPr>
            </w:pPr>
            <w:r>
              <w:rPr>
                <w:color w:val="231F20"/>
                <w:sz w:val="14"/>
              </w:rPr>
              <w:t>Input prices</w:t>
            </w:r>
          </w:p>
        </w:tc>
        <w:tc>
          <w:tcPr>
            <w:tcW w:w="510" w:type="dxa"/>
          </w:tcPr>
          <w:p>
            <w:pPr>
              <w:pStyle w:val="TableParagraph"/>
              <w:spacing w:line="133" w:lineRule="exact" w:before="56"/>
              <w:ind w:right="141"/>
              <w:jc w:val="right"/>
              <w:rPr>
                <w:sz w:val="14"/>
              </w:rPr>
            </w:pPr>
            <w:r>
              <w:rPr>
                <w:color w:val="231F20"/>
                <w:sz w:val="14"/>
              </w:rPr>
              <w:t>0.4</w:t>
            </w:r>
          </w:p>
        </w:tc>
        <w:tc>
          <w:tcPr>
            <w:tcW w:w="485" w:type="dxa"/>
          </w:tcPr>
          <w:p>
            <w:pPr>
              <w:pStyle w:val="TableParagraph"/>
              <w:spacing w:line="133" w:lineRule="exact" w:before="56"/>
              <w:ind w:right="116"/>
              <w:jc w:val="right"/>
              <w:rPr>
                <w:sz w:val="14"/>
              </w:rPr>
            </w:pPr>
            <w:r>
              <w:rPr>
                <w:color w:val="231F20"/>
                <w:sz w:val="14"/>
              </w:rPr>
              <w:t>-0.7</w:t>
            </w:r>
          </w:p>
        </w:tc>
        <w:tc>
          <w:tcPr>
            <w:tcW w:w="455" w:type="dxa"/>
          </w:tcPr>
          <w:p>
            <w:pPr>
              <w:pStyle w:val="TableParagraph"/>
              <w:spacing w:line="133" w:lineRule="exact" w:before="56"/>
              <w:ind w:right="111"/>
              <w:jc w:val="right"/>
              <w:rPr>
                <w:sz w:val="14"/>
              </w:rPr>
            </w:pPr>
            <w:r>
              <w:rPr>
                <w:color w:val="231F20"/>
                <w:sz w:val="14"/>
              </w:rPr>
              <w:t>-0.3</w:t>
            </w:r>
          </w:p>
        </w:tc>
        <w:tc>
          <w:tcPr>
            <w:tcW w:w="450" w:type="dxa"/>
          </w:tcPr>
          <w:p>
            <w:pPr>
              <w:pStyle w:val="TableParagraph"/>
              <w:spacing w:line="133" w:lineRule="exact" w:before="56"/>
              <w:ind w:right="111"/>
              <w:jc w:val="right"/>
              <w:rPr>
                <w:sz w:val="14"/>
              </w:rPr>
            </w:pPr>
            <w:r>
              <w:rPr>
                <w:color w:val="231F20"/>
                <w:sz w:val="14"/>
              </w:rPr>
              <w:t>0.2</w:t>
            </w:r>
          </w:p>
        </w:tc>
        <w:tc>
          <w:tcPr>
            <w:tcW w:w="386" w:type="dxa"/>
          </w:tcPr>
          <w:p>
            <w:pPr>
              <w:pStyle w:val="TableParagraph"/>
              <w:spacing w:line="133" w:lineRule="exact" w:before="56"/>
              <w:ind w:left="139" w:right="28"/>
              <w:jc w:val="center"/>
              <w:rPr>
                <w:sz w:val="14"/>
              </w:rPr>
            </w:pPr>
            <w:r>
              <w:rPr>
                <w:color w:val="231F20"/>
                <w:sz w:val="14"/>
              </w:rPr>
              <w:t>0.5</w:t>
            </w:r>
          </w:p>
        </w:tc>
      </w:tr>
      <w:tr>
        <w:trPr>
          <w:trHeight w:val="210" w:hRule="atLeast"/>
        </w:trPr>
        <w:tc>
          <w:tcPr>
            <w:tcW w:w="1944" w:type="dxa"/>
          </w:tcPr>
          <w:p>
            <w:pPr>
              <w:pStyle w:val="TableParagraph"/>
              <w:spacing w:line="148" w:lineRule="exact"/>
              <w:ind w:left="50"/>
              <w:rPr>
                <w:sz w:val="12"/>
              </w:rPr>
            </w:pPr>
            <w:r>
              <w:rPr>
                <w:color w:val="231F20"/>
                <w:sz w:val="14"/>
              </w:rPr>
              <w:t>- excluding FDTP industries </w:t>
            </w:r>
            <w:r>
              <w:rPr>
                <w:color w:val="231F20"/>
                <w:sz w:val="12"/>
              </w:rPr>
              <w:t>(b)</w:t>
            </w:r>
          </w:p>
        </w:tc>
        <w:tc>
          <w:tcPr>
            <w:tcW w:w="510" w:type="dxa"/>
          </w:tcPr>
          <w:p>
            <w:pPr>
              <w:pStyle w:val="TableParagraph"/>
              <w:spacing w:line="148" w:lineRule="exact"/>
              <w:ind w:right="141"/>
              <w:jc w:val="right"/>
              <w:rPr>
                <w:sz w:val="14"/>
              </w:rPr>
            </w:pPr>
            <w:r>
              <w:rPr>
                <w:color w:val="231F20"/>
                <w:sz w:val="14"/>
              </w:rPr>
              <w:t>-0.1</w:t>
            </w:r>
          </w:p>
        </w:tc>
        <w:tc>
          <w:tcPr>
            <w:tcW w:w="485" w:type="dxa"/>
          </w:tcPr>
          <w:p>
            <w:pPr>
              <w:pStyle w:val="TableParagraph"/>
              <w:spacing w:line="148" w:lineRule="exact"/>
              <w:ind w:right="116"/>
              <w:jc w:val="right"/>
              <w:rPr>
                <w:sz w:val="14"/>
              </w:rPr>
            </w:pPr>
            <w:r>
              <w:rPr>
                <w:color w:val="231F20"/>
                <w:sz w:val="14"/>
              </w:rPr>
              <w:t>-0.2</w:t>
            </w:r>
          </w:p>
        </w:tc>
        <w:tc>
          <w:tcPr>
            <w:tcW w:w="455" w:type="dxa"/>
          </w:tcPr>
          <w:p>
            <w:pPr>
              <w:pStyle w:val="TableParagraph"/>
              <w:spacing w:line="148" w:lineRule="exact"/>
              <w:ind w:right="111"/>
              <w:jc w:val="right"/>
              <w:rPr>
                <w:sz w:val="14"/>
              </w:rPr>
            </w:pPr>
            <w:r>
              <w:rPr>
                <w:color w:val="231F20"/>
                <w:sz w:val="14"/>
              </w:rPr>
              <w:t>-1.0</w:t>
            </w:r>
          </w:p>
        </w:tc>
        <w:tc>
          <w:tcPr>
            <w:tcW w:w="450" w:type="dxa"/>
          </w:tcPr>
          <w:p>
            <w:pPr>
              <w:pStyle w:val="TableParagraph"/>
              <w:spacing w:line="148" w:lineRule="exact"/>
              <w:ind w:right="111"/>
              <w:jc w:val="right"/>
              <w:rPr>
                <w:sz w:val="14"/>
              </w:rPr>
            </w:pPr>
            <w:r>
              <w:rPr>
                <w:color w:val="231F20"/>
                <w:sz w:val="14"/>
              </w:rPr>
              <w:t>0.7</w:t>
            </w:r>
          </w:p>
        </w:tc>
        <w:tc>
          <w:tcPr>
            <w:tcW w:w="386" w:type="dxa"/>
          </w:tcPr>
          <w:p>
            <w:pPr>
              <w:pStyle w:val="TableParagraph"/>
              <w:spacing w:line="148" w:lineRule="exact"/>
              <w:ind w:left="139" w:right="28"/>
              <w:jc w:val="center"/>
              <w:rPr>
                <w:sz w:val="14"/>
              </w:rPr>
            </w:pPr>
            <w:r>
              <w:rPr>
                <w:color w:val="231F20"/>
                <w:sz w:val="14"/>
              </w:rPr>
              <w:t>0.1</w:t>
            </w:r>
          </w:p>
        </w:tc>
      </w:tr>
      <w:tr>
        <w:trPr>
          <w:trHeight w:val="210" w:hRule="atLeast"/>
        </w:trPr>
        <w:tc>
          <w:tcPr>
            <w:tcW w:w="1944" w:type="dxa"/>
          </w:tcPr>
          <w:p>
            <w:pPr>
              <w:pStyle w:val="TableParagraph"/>
              <w:spacing w:line="133" w:lineRule="exact" w:before="56"/>
              <w:ind w:left="50"/>
              <w:rPr>
                <w:sz w:val="12"/>
              </w:rPr>
            </w:pPr>
            <w:r>
              <w:rPr>
                <w:color w:val="231F20"/>
                <w:sz w:val="14"/>
              </w:rPr>
              <w:t>Output prices </w:t>
            </w:r>
            <w:r>
              <w:rPr>
                <w:color w:val="231F20"/>
                <w:sz w:val="12"/>
              </w:rPr>
              <w:t>(c)</w:t>
            </w:r>
          </w:p>
        </w:tc>
        <w:tc>
          <w:tcPr>
            <w:tcW w:w="510" w:type="dxa"/>
          </w:tcPr>
          <w:p>
            <w:pPr>
              <w:pStyle w:val="TableParagraph"/>
              <w:spacing w:line="133" w:lineRule="exact" w:before="56"/>
              <w:ind w:right="141"/>
              <w:jc w:val="right"/>
              <w:rPr>
                <w:sz w:val="14"/>
              </w:rPr>
            </w:pPr>
            <w:r>
              <w:rPr>
                <w:color w:val="231F20"/>
                <w:sz w:val="14"/>
              </w:rPr>
              <w:t>0.2</w:t>
            </w:r>
          </w:p>
        </w:tc>
        <w:tc>
          <w:tcPr>
            <w:tcW w:w="485" w:type="dxa"/>
          </w:tcPr>
          <w:p>
            <w:pPr>
              <w:pStyle w:val="TableParagraph"/>
              <w:spacing w:line="133" w:lineRule="exact" w:before="56"/>
              <w:ind w:right="116"/>
              <w:jc w:val="right"/>
              <w:rPr>
                <w:sz w:val="14"/>
              </w:rPr>
            </w:pPr>
            <w:r>
              <w:rPr>
                <w:color w:val="231F20"/>
                <w:sz w:val="14"/>
              </w:rPr>
              <w:t>0.0</w:t>
            </w:r>
          </w:p>
        </w:tc>
        <w:tc>
          <w:tcPr>
            <w:tcW w:w="455" w:type="dxa"/>
          </w:tcPr>
          <w:p>
            <w:pPr>
              <w:pStyle w:val="TableParagraph"/>
              <w:spacing w:line="133" w:lineRule="exact" w:before="56"/>
              <w:ind w:right="111"/>
              <w:jc w:val="right"/>
              <w:rPr>
                <w:sz w:val="14"/>
              </w:rPr>
            </w:pPr>
            <w:r>
              <w:rPr>
                <w:color w:val="231F20"/>
                <w:sz w:val="14"/>
              </w:rPr>
              <w:t>0.4</w:t>
            </w:r>
          </w:p>
        </w:tc>
        <w:tc>
          <w:tcPr>
            <w:tcW w:w="450" w:type="dxa"/>
          </w:tcPr>
          <w:p>
            <w:pPr>
              <w:pStyle w:val="TableParagraph"/>
              <w:spacing w:line="133" w:lineRule="exact" w:before="56"/>
              <w:ind w:right="111"/>
              <w:jc w:val="right"/>
              <w:rPr>
                <w:sz w:val="14"/>
              </w:rPr>
            </w:pPr>
            <w:r>
              <w:rPr>
                <w:color w:val="231F20"/>
                <w:sz w:val="14"/>
              </w:rPr>
              <w:t>0.2</w:t>
            </w:r>
          </w:p>
        </w:tc>
        <w:tc>
          <w:tcPr>
            <w:tcW w:w="386" w:type="dxa"/>
          </w:tcPr>
          <w:p>
            <w:pPr>
              <w:pStyle w:val="TableParagraph"/>
              <w:spacing w:line="133" w:lineRule="exact" w:before="56"/>
              <w:ind w:left="139" w:right="28"/>
              <w:jc w:val="center"/>
              <w:rPr>
                <w:sz w:val="14"/>
              </w:rPr>
            </w:pPr>
            <w:r>
              <w:rPr>
                <w:color w:val="231F20"/>
                <w:sz w:val="14"/>
              </w:rPr>
              <w:t>0.2</w:t>
            </w:r>
          </w:p>
        </w:tc>
      </w:tr>
      <w:tr>
        <w:trPr>
          <w:trHeight w:val="140" w:hRule="atLeast"/>
        </w:trPr>
        <w:tc>
          <w:tcPr>
            <w:tcW w:w="1944" w:type="dxa"/>
          </w:tcPr>
          <w:p>
            <w:pPr>
              <w:pStyle w:val="TableParagraph"/>
              <w:spacing w:line="120" w:lineRule="exact"/>
              <w:ind w:left="50"/>
              <w:rPr>
                <w:sz w:val="12"/>
              </w:rPr>
            </w:pPr>
            <w:r>
              <w:rPr>
                <w:color w:val="231F20"/>
                <w:sz w:val="14"/>
              </w:rPr>
              <w:t>- excluding FDTP industries </w:t>
            </w:r>
            <w:r>
              <w:rPr>
                <w:color w:val="231F20"/>
                <w:sz w:val="12"/>
              </w:rPr>
              <w:t>(b)</w:t>
            </w:r>
          </w:p>
        </w:tc>
        <w:tc>
          <w:tcPr>
            <w:tcW w:w="510" w:type="dxa"/>
          </w:tcPr>
          <w:p>
            <w:pPr>
              <w:pStyle w:val="TableParagraph"/>
              <w:spacing w:line="120" w:lineRule="exact"/>
              <w:ind w:right="141"/>
              <w:jc w:val="right"/>
              <w:rPr>
                <w:sz w:val="14"/>
              </w:rPr>
            </w:pPr>
            <w:r>
              <w:rPr>
                <w:color w:val="231F20"/>
                <w:sz w:val="14"/>
              </w:rPr>
              <w:t>0.2</w:t>
            </w:r>
          </w:p>
        </w:tc>
        <w:tc>
          <w:tcPr>
            <w:tcW w:w="485" w:type="dxa"/>
          </w:tcPr>
          <w:p>
            <w:pPr>
              <w:pStyle w:val="TableParagraph"/>
              <w:spacing w:line="120" w:lineRule="exact"/>
              <w:ind w:right="116"/>
              <w:jc w:val="right"/>
              <w:rPr>
                <w:sz w:val="14"/>
              </w:rPr>
            </w:pPr>
            <w:r>
              <w:rPr>
                <w:color w:val="231F20"/>
                <w:sz w:val="14"/>
              </w:rPr>
              <w:t>0.0</w:t>
            </w:r>
          </w:p>
        </w:tc>
        <w:tc>
          <w:tcPr>
            <w:tcW w:w="455" w:type="dxa"/>
          </w:tcPr>
          <w:p>
            <w:pPr>
              <w:pStyle w:val="TableParagraph"/>
              <w:spacing w:line="120" w:lineRule="exact"/>
              <w:ind w:right="111"/>
              <w:jc w:val="right"/>
              <w:rPr>
                <w:sz w:val="14"/>
              </w:rPr>
            </w:pPr>
            <w:r>
              <w:rPr>
                <w:color w:val="231F20"/>
                <w:sz w:val="14"/>
              </w:rPr>
              <w:t>0.1</w:t>
            </w:r>
          </w:p>
        </w:tc>
        <w:tc>
          <w:tcPr>
            <w:tcW w:w="450" w:type="dxa"/>
          </w:tcPr>
          <w:p>
            <w:pPr>
              <w:pStyle w:val="TableParagraph"/>
              <w:spacing w:line="120" w:lineRule="exact"/>
              <w:ind w:right="111"/>
              <w:jc w:val="right"/>
              <w:rPr>
                <w:sz w:val="14"/>
              </w:rPr>
            </w:pPr>
            <w:r>
              <w:rPr>
                <w:color w:val="231F20"/>
                <w:sz w:val="14"/>
              </w:rPr>
              <w:t>0.1</w:t>
            </w:r>
          </w:p>
        </w:tc>
        <w:tc>
          <w:tcPr>
            <w:tcW w:w="386" w:type="dxa"/>
          </w:tcPr>
          <w:p>
            <w:pPr>
              <w:pStyle w:val="TableParagraph"/>
              <w:spacing w:line="120" w:lineRule="exact"/>
              <w:ind w:left="139" w:right="28"/>
              <w:jc w:val="center"/>
              <w:rPr>
                <w:sz w:val="14"/>
              </w:rPr>
            </w:pPr>
            <w:r>
              <w:rPr>
                <w:color w:val="231F20"/>
                <w:sz w:val="14"/>
              </w:rPr>
              <w:t>0.1</w:t>
            </w:r>
          </w:p>
        </w:tc>
      </w:tr>
      <w:tr>
        <w:trPr>
          <w:trHeight w:val="147" w:hRule="atLeast"/>
        </w:trPr>
        <w:tc>
          <w:tcPr>
            <w:tcW w:w="1944" w:type="dxa"/>
          </w:tcPr>
          <w:p>
            <w:pPr>
              <w:pStyle w:val="TableParagraph"/>
              <w:spacing w:line="128" w:lineRule="exact"/>
              <w:ind w:left="50"/>
              <w:rPr>
                <w:sz w:val="14"/>
              </w:rPr>
            </w:pPr>
            <w:r>
              <w:rPr>
                <w:color w:val="231F20"/>
                <w:sz w:val="14"/>
              </w:rPr>
              <w:t>- excluding excise duties (PPIY)</w:t>
            </w:r>
          </w:p>
        </w:tc>
        <w:tc>
          <w:tcPr>
            <w:tcW w:w="510" w:type="dxa"/>
          </w:tcPr>
          <w:p>
            <w:pPr>
              <w:pStyle w:val="TableParagraph"/>
              <w:spacing w:line="128" w:lineRule="exact"/>
              <w:ind w:right="141"/>
              <w:jc w:val="right"/>
              <w:rPr>
                <w:sz w:val="14"/>
              </w:rPr>
            </w:pPr>
            <w:r>
              <w:rPr>
                <w:color w:val="231F20"/>
                <w:sz w:val="14"/>
              </w:rPr>
              <w:t>0.2</w:t>
            </w:r>
          </w:p>
        </w:tc>
        <w:tc>
          <w:tcPr>
            <w:tcW w:w="485" w:type="dxa"/>
          </w:tcPr>
          <w:p>
            <w:pPr>
              <w:pStyle w:val="TableParagraph"/>
              <w:spacing w:line="128" w:lineRule="exact"/>
              <w:ind w:right="116"/>
              <w:jc w:val="right"/>
              <w:rPr>
                <w:sz w:val="14"/>
              </w:rPr>
            </w:pPr>
            <w:r>
              <w:rPr>
                <w:color w:val="231F20"/>
                <w:sz w:val="14"/>
              </w:rPr>
              <w:t>0.1</w:t>
            </w:r>
          </w:p>
        </w:tc>
        <w:tc>
          <w:tcPr>
            <w:tcW w:w="455" w:type="dxa"/>
          </w:tcPr>
          <w:p>
            <w:pPr>
              <w:pStyle w:val="TableParagraph"/>
              <w:spacing w:line="128" w:lineRule="exact"/>
              <w:ind w:right="111"/>
              <w:jc w:val="right"/>
              <w:rPr>
                <w:sz w:val="14"/>
              </w:rPr>
            </w:pPr>
            <w:r>
              <w:rPr>
                <w:color w:val="231F20"/>
                <w:sz w:val="14"/>
              </w:rPr>
              <w:t>0.0</w:t>
            </w:r>
          </w:p>
        </w:tc>
        <w:tc>
          <w:tcPr>
            <w:tcW w:w="450" w:type="dxa"/>
          </w:tcPr>
          <w:p>
            <w:pPr>
              <w:pStyle w:val="TableParagraph"/>
              <w:spacing w:line="128" w:lineRule="exact"/>
              <w:ind w:right="111"/>
              <w:jc w:val="right"/>
              <w:rPr>
                <w:sz w:val="14"/>
              </w:rPr>
            </w:pPr>
            <w:r>
              <w:rPr>
                <w:color w:val="231F20"/>
                <w:sz w:val="14"/>
              </w:rPr>
              <w:t>0.1</w:t>
            </w:r>
          </w:p>
        </w:tc>
        <w:tc>
          <w:tcPr>
            <w:tcW w:w="386" w:type="dxa"/>
          </w:tcPr>
          <w:p>
            <w:pPr>
              <w:pStyle w:val="TableParagraph"/>
              <w:spacing w:line="128" w:lineRule="exact"/>
              <w:ind w:left="139" w:right="28"/>
              <w:jc w:val="center"/>
              <w:rPr>
                <w:sz w:val="14"/>
              </w:rPr>
            </w:pPr>
            <w:r>
              <w:rPr>
                <w:color w:val="231F20"/>
                <w:sz w:val="14"/>
              </w:rPr>
              <w:t>0.2</w:t>
            </w:r>
          </w:p>
        </w:tc>
      </w:tr>
    </w:tbl>
    <w:p>
      <w:pPr>
        <w:pStyle w:val="ListParagraph"/>
        <w:numPr>
          <w:ilvl w:val="0"/>
          <w:numId w:val="31"/>
        </w:numPr>
        <w:tabs>
          <w:tab w:pos="420" w:val="left" w:leader="none"/>
        </w:tabs>
        <w:spacing w:line="129" w:lineRule="exact" w:before="117" w:after="0"/>
        <w:ind w:left="420" w:right="0" w:hanging="240"/>
        <w:jc w:val="left"/>
        <w:rPr>
          <w:sz w:val="12"/>
        </w:rPr>
      </w:pPr>
      <w:r>
        <w:rPr>
          <w:color w:val="231F20"/>
          <w:sz w:val="12"/>
        </w:rPr>
        <w:t>Seasonally adjusted by the ONS, except where noted.</w:t>
      </w:r>
    </w:p>
    <w:p>
      <w:pPr>
        <w:pStyle w:val="ListParagraph"/>
        <w:numPr>
          <w:ilvl w:val="0"/>
          <w:numId w:val="31"/>
        </w:numPr>
        <w:tabs>
          <w:tab w:pos="420" w:val="left" w:leader="none"/>
        </w:tabs>
        <w:spacing w:line="120" w:lineRule="exact" w:before="0" w:after="0"/>
        <w:ind w:left="420" w:right="0" w:hanging="240"/>
        <w:jc w:val="left"/>
        <w:rPr>
          <w:sz w:val="12"/>
        </w:rPr>
      </w:pPr>
      <w:r>
        <w:rPr>
          <w:color w:val="231F20"/>
          <w:sz w:val="12"/>
        </w:rPr>
        <w:t>FDTP is food, drink, tobacco and petroleum.</w:t>
      </w:r>
    </w:p>
    <w:p>
      <w:pPr>
        <w:pStyle w:val="ListParagraph"/>
        <w:numPr>
          <w:ilvl w:val="0"/>
          <w:numId w:val="31"/>
        </w:numPr>
        <w:tabs>
          <w:tab w:pos="420" w:val="left" w:leader="none"/>
        </w:tabs>
        <w:spacing w:line="120" w:lineRule="exact" w:before="0" w:after="0"/>
        <w:ind w:left="420" w:right="0" w:hanging="240"/>
        <w:jc w:val="left"/>
        <w:rPr>
          <w:sz w:val="12"/>
        </w:rPr>
      </w:pPr>
      <w:r>
        <w:rPr>
          <w:color w:val="231F20"/>
          <w:sz w:val="12"/>
        </w:rPr>
        <w:t>The ONS does not publish a seasonally adjusted headline output price series.</w:t>
      </w:r>
    </w:p>
    <w:p>
      <w:pPr>
        <w:spacing w:line="120" w:lineRule="exact" w:before="0"/>
        <w:ind w:left="420" w:right="0" w:firstLine="0"/>
        <w:jc w:val="left"/>
        <w:rPr>
          <w:sz w:val="12"/>
        </w:rPr>
      </w:pPr>
      <w:r>
        <w:rPr>
          <w:color w:val="231F20"/>
          <w:sz w:val="12"/>
        </w:rPr>
        <w:t>To retain excise duty effects, these data are based on the seasonally adjusted</w:t>
      </w:r>
    </w:p>
    <w:p>
      <w:pPr>
        <w:spacing w:line="208" w:lineRule="auto" w:before="6"/>
        <w:ind w:left="420" w:right="31" w:firstLine="0"/>
        <w:jc w:val="left"/>
        <w:rPr>
          <w:sz w:val="12"/>
        </w:rPr>
      </w:pPr>
      <w:r>
        <w:rPr>
          <w:color w:val="231F20"/>
          <w:sz w:val="12"/>
        </w:rPr>
        <w:t>tax-exclusive output price series multiplied by the ratio of unadjusted tax-inclusive to tax-exclusive prices.</w:t>
      </w:r>
    </w:p>
    <w:p>
      <w:pPr>
        <w:pStyle w:val="BodyText"/>
        <w:rPr>
          <w:sz w:val="12"/>
        </w:rPr>
      </w:pPr>
    </w:p>
    <w:p>
      <w:pPr>
        <w:pStyle w:val="Heading9"/>
        <w:spacing w:before="73"/>
        <w:ind w:left="185"/>
      </w:pPr>
      <w:r>
        <w:rPr>
          <w:color w:val="0093C1"/>
        </w:rPr>
        <w:t>Chart 5.6</w:t>
      </w:r>
    </w:p>
    <w:p>
      <w:pPr>
        <w:spacing w:line="249" w:lineRule="auto" w:before="10"/>
        <w:ind w:left="185" w:right="561" w:firstLine="0"/>
        <w:jc w:val="left"/>
        <w:rPr>
          <w:b/>
          <w:sz w:val="20"/>
        </w:rPr>
      </w:pPr>
      <w:r>
        <w:rPr>
          <w:b/>
          <w:color w:val="0093C1"/>
          <w:sz w:val="20"/>
        </w:rPr>
        <w:t>Input price inflation and the C</w:t>
      </w:r>
      <w:r>
        <w:rPr>
          <w:b/>
          <w:color w:val="0093C1"/>
          <w:sz w:val="16"/>
        </w:rPr>
        <w:t>IPS </w:t>
      </w:r>
      <w:r>
        <w:rPr>
          <w:b/>
          <w:color w:val="0093C1"/>
          <w:sz w:val="20"/>
        </w:rPr>
        <w:t>purchase price indicator</w:t>
      </w:r>
    </w:p>
    <w:p>
      <w:pPr>
        <w:tabs>
          <w:tab w:pos="3535" w:val="left" w:leader="none"/>
        </w:tabs>
        <w:spacing w:line="95" w:lineRule="exact" w:before="137"/>
        <w:ind w:left="445" w:right="0" w:firstLine="0"/>
        <w:jc w:val="left"/>
        <w:rPr>
          <w:sz w:val="12"/>
        </w:rPr>
      </w:pPr>
      <w:r>
        <w:rPr/>
        <w:pict>
          <v:line style="position:absolute;mso-position-horizontal-relative:page;mso-position-vertical-relative:paragraph;z-index:16043008" from="216.779999pt,14.951577pt" to="221.779999pt,14.951577pt" stroked="true" strokeweight=".5pt" strokecolor="#000000">
            <v:stroke dashstyle="solid"/>
            <w10:wrap type="none"/>
          </v:line>
        </w:pict>
      </w:r>
      <w:r>
        <w:rPr>
          <w:sz w:val="12"/>
        </w:rPr>
        <w:t>Six-month annualised percentage changes</w:t>
        <w:tab/>
        <w:t>Index</w:t>
      </w:r>
    </w:p>
    <w:p>
      <w:pPr>
        <w:pStyle w:val="Heading5"/>
        <w:spacing w:line="242" w:lineRule="auto" w:before="207"/>
        <w:ind w:left="170" w:right="434"/>
      </w:pPr>
      <w:r>
        <w:rPr/>
        <w:br w:type="column"/>
      </w:r>
      <w:r>
        <w:rPr>
          <w:color w:val="231F20"/>
        </w:rPr>
        <w:t>of most imported inputs fell during that period in the United Kingdom, implying that the rise in commodity prices was more than offset by the appreciation of sterling.</w:t>
      </w:r>
    </w:p>
    <w:p>
      <w:pPr>
        <w:pStyle w:val="BodyText"/>
        <w:spacing w:before="9"/>
        <w:rPr>
          <w:sz w:val="24"/>
        </w:rPr>
      </w:pPr>
    </w:p>
    <w:p>
      <w:pPr>
        <w:spacing w:line="242" w:lineRule="auto" w:before="0"/>
        <w:ind w:left="170" w:right="170" w:firstLine="0"/>
        <w:jc w:val="left"/>
        <w:rPr>
          <w:sz w:val="24"/>
        </w:rPr>
      </w:pPr>
      <w:r>
        <w:rPr>
          <w:color w:val="231F20"/>
          <w:sz w:val="24"/>
        </w:rPr>
        <w:t>Futures prices imply that the prices of various foods, and some non-food agricultural commodities such as cotton, are expected to rise on world markets at the end of 1997 and in 1998. Some of this probably reflects the </w:t>
      </w:r>
      <w:r>
        <w:rPr>
          <w:color w:val="231F20"/>
          <w:spacing w:val="-4"/>
          <w:sz w:val="24"/>
        </w:rPr>
        <w:t>expected </w:t>
      </w:r>
      <w:r>
        <w:rPr>
          <w:color w:val="231F20"/>
          <w:sz w:val="24"/>
        </w:rPr>
        <w:t>disruption to agricultural production, mainly in the southern hemisphere and parts of north America, caused by the El Niño weather system. But the effects on most food prices in the United Kingdom will probably be muted, because the Common Agricultural Policy tends to insulate Europe from the effects of agricultural price movements</w:t>
      </w:r>
      <w:r>
        <w:rPr>
          <w:color w:val="231F20"/>
          <w:spacing w:val="-1"/>
          <w:sz w:val="24"/>
        </w:rPr>
        <w:t> </w:t>
      </w:r>
      <w:r>
        <w:rPr>
          <w:color w:val="231F20"/>
          <w:sz w:val="24"/>
        </w:rPr>
        <w:t>elsewhere.</w:t>
      </w:r>
    </w:p>
    <w:p>
      <w:pPr>
        <w:pStyle w:val="BodyText"/>
        <w:spacing w:before="9"/>
        <w:rPr>
          <w:sz w:val="32"/>
        </w:rPr>
      </w:pPr>
    </w:p>
    <w:p>
      <w:pPr>
        <w:pStyle w:val="ListParagraph"/>
        <w:numPr>
          <w:ilvl w:val="1"/>
          <w:numId w:val="29"/>
        </w:numPr>
        <w:tabs>
          <w:tab w:pos="1067" w:val="left" w:leader="none"/>
          <w:tab w:pos="1068" w:val="left" w:leader="none"/>
        </w:tabs>
        <w:spacing w:line="240" w:lineRule="auto" w:before="0" w:after="0"/>
        <w:ind w:left="1067" w:right="0" w:hanging="898"/>
        <w:jc w:val="left"/>
        <w:rPr>
          <w:b/>
          <w:color w:val="009483"/>
          <w:sz w:val="28"/>
        </w:rPr>
      </w:pPr>
      <w:r>
        <w:rPr>
          <w:b/>
          <w:color w:val="009483"/>
          <w:sz w:val="28"/>
          <w:u w:val="thick" w:color="0093C1"/>
        </w:rPr>
        <w:t>Costs and prices in the service</w:t>
      </w:r>
      <w:r>
        <w:rPr>
          <w:b/>
          <w:color w:val="009483"/>
          <w:spacing w:val="-3"/>
          <w:sz w:val="28"/>
          <w:u w:val="thick" w:color="0093C1"/>
        </w:rPr>
        <w:t> </w:t>
      </w:r>
      <w:r>
        <w:rPr>
          <w:b/>
          <w:color w:val="009483"/>
          <w:sz w:val="28"/>
          <w:u w:val="thick" w:color="0093C1"/>
        </w:rPr>
        <w:t>sector</w:t>
      </w:r>
      <w:r>
        <w:rPr>
          <w:b/>
          <w:color w:val="009483"/>
          <w:spacing w:val="-11"/>
          <w:sz w:val="28"/>
          <w:u w:val="thick" w:color="0093C1"/>
        </w:rPr>
        <w:t> </w:t>
      </w:r>
    </w:p>
    <w:p>
      <w:pPr>
        <w:pStyle w:val="BodyText"/>
        <w:spacing w:before="10"/>
        <w:rPr>
          <w:b/>
          <w:sz w:val="23"/>
        </w:rPr>
      </w:pPr>
    </w:p>
    <w:p>
      <w:pPr>
        <w:spacing w:line="242" w:lineRule="auto" w:before="1"/>
        <w:ind w:left="170" w:right="193" w:firstLine="0"/>
        <w:jc w:val="left"/>
        <w:rPr>
          <w:sz w:val="24"/>
        </w:rPr>
      </w:pPr>
      <w:r>
        <w:rPr>
          <w:color w:val="231F20"/>
          <w:sz w:val="24"/>
        </w:rPr>
        <w:t>The Chartered Institute of Purchasing and Supply (C</w:t>
      </w:r>
      <w:r>
        <w:rPr>
          <w:color w:val="231F20"/>
          <w:sz w:val="20"/>
        </w:rPr>
        <w:t>IPS</w:t>
      </w:r>
      <w:r>
        <w:rPr>
          <w:color w:val="231F20"/>
          <w:sz w:val="24"/>
        </w:rPr>
        <w:t>) survey of the service sector showed the input cost indicator (including labour costs) falling from a peak of</w:t>
      </w:r>
    </w:p>
    <w:p>
      <w:pPr>
        <w:spacing w:line="242" w:lineRule="auto" w:before="4"/>
        <w:ind w:left="170" w:right="216" w:firstLine="0"/>
        <w:jc w:val="left"/>
        <w:rPr>
          <w:sz w:val="24"/>
        </w:rPr>
      </w:pPr>
      <w:r>
        <w:rPr>
          <w:color w:val="231F20"/>
          <w:sz w:val="24"/>
        </w:rPr>
        <w:t>60.1 in April to 56.5 in September, though it rose slightly to 57.4 in October (see Chart 5.5). This implies that the rise in service sector costs slowed in the second and third quarters. Service sector capacity constraints reported in the BCC Survey fell in the second quarter and were unchanged in the third. And the C</w:t>
      </w:r>
      <w:r>
        <w:rPr>
          <w:color w:val="231F20"/>
          <w:sz w:val="20"/>
        </w:rPr>
        <w:t>IPS </w:t>
      </w:r>
      <w:r>
        <w:rPr>
          <w:color w:val="231F20"/>
          <w:sz w:val="24"/>
        </w:rPr>
        <w:t>service sector output price indicator fell almost to its neutral level of 50 in September and October, with fewer than one in twelve firms reporting higher output prices in October. Lower overall service sector price inflation may help to moderate retail service price inflation towards the end of 1997.</w:t>
      </w:r>
    </w:p>
    <w:p>
      <w:pPr>
        <w:pStyle w:val="BodyText"/>
        <w:spacing w:before="9"/>
        <w:rPr>
          <w:sz w:val="32"/>
        </w:rPr>
      </w:pPr>
    </w:p>
    <w:p>
      <w:pPr>
        <w:pStyle w:val="ListParagraph"/>
        <w:numPr>
          <w:ilvl w:val="1"/>
          <w:numId w:val="32"/>
        </w:numPr>
        <w:tabs>
          <w:tab w:pos="1328" w:val="left" w:leader="none"/>
          <w:tab w:pos="1329" w:val="left" w:leader="none"/>
        </w:tabs>
        <w:spacing w:line="240" w:lineRule="auto" w:before="0" w:after="0"/>
        <w:ind w:left="1328" w:right="0" w:hanging="1159"/>
        <w:jc w:val="left"/>
        <w:rPr>
          <w:b/>
          <w:color w:val="009483"/>
          <w:sz w:val="28"/>
        </w:rPr>
      </w:pPr>
      <w:r>
        <w:rPr>
          <w:b/>
          <w:color w:val="009483"/>
          <w:sz w:val="28"/>
          <w:u w:val="thick" w:color="0093C1"/>
        </w:rPr>
        <w:t>Costs and prices in</w:t>
      </w:r>
      <w:r>
        <w:rPr>
          <w:b/>
          <w:color w:val="009483"/>
          <w:spacing w:val="-2"/>
          <w:sz w:val="28"/>
          <w:u w:val="thick" w:color="0093C1"/>
        </w:rPr>
        <w:t> </w:t>
      </w:r>
      <w:r>
        <w:rPr>
          <w:b/>
          <w:color w:val="009483"/>
          <w:sz w:val="28"/>
          <w:u w:val="thick" w:color="0093C1"/>
        </w:rPr>
        <w:t>manufacturing</w:t>
      </w:r>
      <w:r>
        <w:rPr>
          <w:b/>
          <w:color w:val="009483"/>
          <w:spacing w:val="-10"/>
          <w:sz w:val="28"/>
          <w:u w:val="thick" w:color="0093C1"/>
        </w:rPr>
        <w:t> </w:t>
      </w:r>
    </w:p>
    <w:p>
      <w:pPr>
        <w:spacing w:after="0" w:line="240" w:lineRule="auto"/>
        <w:jc w:val="left"/>
        <w:rPr>
          <w:sz w:val="28"/>
        </w:rPr>
        <w:sectPr>
          <w:type w:val="continuous"/>
          <w:pgSz w:w="11880" w:h="16840"/>
          <w:pgMar w:top="1040" w:bottom="280" w:left="640" w:right="620"/>
          <w:cols w:num="2" w:equalWidth="0">
            <w:col w:w="4450" w:space="359"/>
            <w:col w:w="5811"/>
          </w:cols>
        </w:sectPr>
      </w:pPr>
    </w:p>
    <w:p>
      <w:pPr>
        <w:spacing w:line="119" w:lineRule="exact" w:before="15"/>
        <w:ind w:left="255" w:right="0" w:firstLine="0"/>
        <w:jc w:val="left"/>
        <w:rPr>
          <w:sz w:val="12"/>
        </w:rPr>
      </w:pPr>
      <w:r>
        <w:rPr/>
        <w:pict>
          <v:line style="position:absolute;mso-position-horizontal-relative:page;mso-position-vertical-relative:paragraph;z-index:16040448" from="59.779999pt,3.351562pt" to="54.779999pt,3.351562pt" stroked="true" strokeweight=".5pt" strokecolor="#000000">
            <v:stroke dashstyle="solid"/>
            <w10:wrap type="none"/>
          </v:line>
        </w:pict>
      </w:r>
      <w:r>
        <w:rPr>
          <w:sz w:val="12"/>
        </w:rPr>
        <w:t>20</w:t>
      </w:r>
    </w:p>
    <w:p>
      <w:pPr>
        <w:spacing w:line="208" w:lineRule="auto" w:before="0"/>
        <w:ind w:left="1355" w:right="38" w:hanging="60"/>
        <w:jc w:val="left"/>
        <w:rPr>
          <w:sz w:val="12"/>
        </w:rPr>
      </w:pPr>
      <w:r>
        <w:rPr/>
        <w:pict>
          <v:group style="position:absolute;margin-left:54.779999pt;margin-top:11.414359pt;width:167pt;height:119pt;mso-position-horizontal-relative:page;mso-position-vertical-relative:paragraph;z-index:-20700160" coordorigin="1096,228" coordsize="3340,2380">
            <v:shape style="position:absolute;left:2640;top:242;width:258;height:208" type="#_x0000_t75" stroked="false">
              <v:imagedata r:id="rId79" o:title=""/>
            </v:shape>
            <v:shape style="position:absolute;left:1095;top:298;width:3340;height:1140" coordorigin="1096,298" coordsize="3340,1140" path="m1256,1438l4276,1438m1196,1438l1096,1438m4336,1438l4436,1438m1196,1058l1096,1058m1196,678l1096,678m1196,298l1096,298e" filled="false" stroked="true" strokeweight=".5pt" strokecolor="#000000">
              <v:path arrowok="t"/>
              <v:stroke dashstyle="solid"/>
            </v:shape>
            <v:shape style="position:absolute;left:1255;top:238;width:2960;height:2360" coordorigin="1256,238" coordsize="2960,2360" path="m1256,1718l1296,1518,1336,1638,1396,1518,1436,1518,1476,1618,1516,1478,1556,1638,1596,1358,1636,1098,1696,738,1736,578,1776,458,1816,238,1876,318,1916,838,1956,1238,1996,1258,2036,1458,2096,1598m2096,1598l2136,1898,2176,1818,2216,1778,2256,1798,2316,1898,2356,1698,2396,1398,2436,1198,2516,678,2576,398,2616,518,2696,638,2736,618,2776,798,2836,638,2876,658,2916,578m2916,578l2956,438,2996,638,3036,518,3096,798,3176,918,3216,1258,3276,1318,3316,1458,3356,1518,3396,1598,3436,1578,3476,1298,3536,1518,3576,1758,3616,1718,3656,1718,3696,1778,3736,1898m3736,1898l3796,2138,3836,1998,3876,2098,3916,2178,3956,2298,3996,2598,4056,2118,4096,2158,4136,2098,4176,1938,4216,1738e" filled="false" stroked="true" strokeweight="1pt" strokecolor="#0066a5">
              <v:path arrowok="t"/>
              <v:stroke dashstyle="solid"/>
            </v:shape>
            <v:shape style="position:absolute;left:1255;top:398;width:2480;height:1480" coordorigin="1256,398" coordsize="2480,1480" path="m1256,1658l1296,1598,1336,1478,1396,1398,1436,1378,1476,1498,1516,1458,1556,1598,1596,1578,1636,878,1696,718,1736,858,1776,978,1816,878,1876,1018,1916,1098,1956,1158,1996,1198,2036,1338,2096,1398m2096,1378l2136,1358,2216,1438,2256,1438,2316,1358,2356,1278,2396,1258,2436,1298,2476,1118,2516,1018,2576,678,2616,598,2656,598,2736,438,2776,538,2836,478,2876,558,2916,498m2916,498l2956,398,2996,598,3036,578,3096,738,3136,978,3176,1138,3216,1358,3276,1518,3316,1498,3356,1498,3396,1658,3436,1698,3476,1758,3536,1638,3576,1818,3616,1878,3656,1758,3696,1698,3736,1658e" filled="false" stroked="true" strokeweight="1pt" strokecolor="#952e40">
              <v:path arrowok="t"/>
              <v:stroke dashstyle="solid"/>
            </v:shape>
            <v:line style="position:absolute" from="4336,1818" to="4436,1818" stroked="true" strokeweight=".5pt" strokecolor="#000000">
              <v:stroke dashstyle="solid"/>
            </v:line>
            <v:shape style="position:absolute;left:3755;top:1638;width:520;height:200" coordorigin="3756,1638" coordsize="520,200" path="m3756,1658l3796,1738,3836,1738,3876,1758,3916,1838,3956,1798,4016,1798,4056,1758,4096,1638,4136,1818,4176,1818,4216,1758,4276,1658e" filled="false" stroked="true" strokeweight="1pt" strokecolor="#952e40">
              <v:path arrowok="t"/>
              <v:stroke dashstyle="solid"/>
            </v:shape>
            <v:shape style="position:absolute;left:1935;top:1921;width:863;height:253" type="#_x0000_t202" filled="false" stroked="false">
              <v:textbox inset="0,0,0,0">
                <w:txbxContent>
                  <w:p>
                    <w:pPr>
                      <w:spacing w:line="124" w:lineRule="exact" w:before="0"/>
                      <w:ind w:left="0" w:right="0" w:firstLine="0"/>
                      <w:jc w:val="left"/>
                      <w:rPr>
                        <w:sz w:val="12"/>
                      </w:rPr>
                    </w:pPr>
                    <w:r>
                      <w:rPr>
                        <w:sz w:val="12"/>
                      </w:rPr>
                      <w:t>Input prices</w:t>
                    </w:r>
                  </w:p>
                  <w:p>
                    <w:pPr>
                      <w:spacing w:line="129" w:lineRule="exact" w:before="0"/>
                      <w:ind w:left="60" w:right="0" w:firstLine="0"/>
                      <w:jc w:val="left"/>
                      <w:rPr>
                        <w:sz w:val="12"/>
                      </w:rPr>
                    </w:pPr>
                    <w:r>
                      <w:rPr>
                        <w:sz w:val="12"/>
                      </w:rPr>
                      <w:t>(left-hand scale)</w:t>
                    </w:r>
                  </w:p>
                </w:txbxContent>
              </v:textbox>
              <w10:wrap type="none"/>
            </v:shape>
            <w10:wrap type="none"/>
          </v:group>
        </w:pict>
      </w:r>
      <w:r>
        <w:rPr>
          <w:sz w:val="12"/>
        </w:rPr>
        <w:t>CIPS indicator (a) (right-hand scale)</w:t>
      </w:r>
    </w:p>
    <w:p>
      <w:pPr>
        <w:spacing w:before="1"/>
        <w:ind w:left="255" w:right="0" w:firstLine="0"/>
        <w:jc w:val="left"/>
        <w:rPr>
          <w:sz w:val="12"/>
        </w:rPr>
      </w:pPr>
      <w:r>
        <w:rPr>
          <w:sz w:val="12"/>
        </w:rPr>
        <w:t>15</w:t>
      </w:r>
    </w:p>
    <w:p>
      <w:pPr>
        <w:pStyle w:val="BodyText"/>
        <w:rPr>
          <w:sz w:val="12"/>
        </w:rPr>
      </w:pPr>
    </w:p>
    <w:p>
      <w:pPr>
        <w:spacing w:before="104"/>
        <w:ind w:left="255" w:right="0" w:firstLine="0"/>
        <w:jc w:val="left"/>
        <w:rPr>
          <w:sz w:val="12"/>
        </w:rPr>
      </w:pPr>
      <w:r>
        <w:rPr>
          <w:sz w:val="12"/>
        </w:rPr>
        <w:t>10</w:t>
      </w:r>
    </w:p>
    <w:p>
      <w:pPr>
        <w:pStyle w:val="BodyText"/>
        <w:rPr>
          <w:sz w:val="12"/>
        </w:rPr>
      </w:pPr>
    </w:p>
    <w:p>
      <w:pPr>
        <w:spacing w:before="104"/>
        <w:ind w:left="315" w:right="0" w:firstLine="0"/>
        <w:jc w:val="left"/>
        <w:rPr>
          <w:sz w:val="12"/>
        </w:rPr>
      </w:pPr>
      <w:r>
        <w:rPr>
          <w:sz w:val="12"/>
        </w:rPr>
        <w:t>5</w:t>
      </w:r>
    </w:p>
    <w:p>
      <w:pPr>
        <w:spacing w:before="25"/>
        <w:ind w:left="383" w:right="0" w:firstLine="0"/>
        <w:jc w:val="left"/>
        <w:rPr>
          <w:sz w:val="16"/>
        </w:rPr>
      </w:pPr>
      <w:r>
        <w:rPr>
          <w:sz w:val="16"/>
        </w:rPr>
        <w:t>+</w:t>
      </w:r>
    </w:p>
    <w:p>
      <w:pPr>
        <w:spacing w:line="133" w:lineRule="exact" w:before="0"/>
        <w:ind w:left="255" w:right="0" w:firstLine="0"/>
        <w:jc w:val="left"/>
        <w:rPr>
          <w:sz w:val="12"/>
        </w:rPr>
      </w:pPr>
      <w:r>
        <w:rPr/>
        <w:br w:type="column"/>
      </w:r>
      <w:r>
        <w:rPr>
          <w:sz w:val="12"/>
        </w:rPr>
        <w:t>90</w:t>
      </w:r>
    </w:p>
    <w:p>
      <w:pPr>
        <w:pStyle w:val="Heading5"/>
        <w:tabs>
          <w:tab w:pos="1389" w:val="left" w:leader="none"/>
        </w:tabs>
        <w:spacing w:line="232" w:lineRule="auto" w:before="73"/>
        <w:ind w:left="1389" w:right="440" w:hanging="1135"/>
      </w:pPr>
      <w:r>
        <w:rPr/>
        <w:pict>
          <v:line style="position:absolute;mso-position-horizontal-relative:page;mso-position-vertical-relative:paragraph;z-index:16042496" from="216.779999pt,14.689096pt" to="221.779999pt,14.689096pt" stroked="true" strokeweight=".5pt" strokecolor="#000000">
            <v:stroke dashstyle="solid"/>
            <w10:wrap type="none"/>
          </v:line>
        </w:pict>
      </w:r>
      <w:r>
        <w:rPr>
          <w:position w:val="-3"/>
          <w:sz w:val="12"/>
        </w:rPr>
        <w:t>80</w:t>
        <w:tab/>
      </w:r>
      <w:r>
        <w:rPr>
          <w:color w:val="231F20"/>
        </w:rPr>
        <w:t>Input prices in the manufacturing sector rose in recent months. The index excluding the food, drink,</w:t>
      </w:r>
      <w:r>
        <w:rPr>
          <w:color w:val="231F20"/>
          <w:spacing w:val="-4"/>
        </w:rPr>
        <w:t> </w:t>
      </w:r>
      <w:r>
        <w:rPr>
          <w:color w:val="231F20"/>
          <w:spacing w:val="-3"/>
        </w:rPr>
        <w:t>tobacco</w:t>
      </w:r>
    </w:p>
    <w:p>
      <w:pPr>
        <w:pStyle w:val="BodyText"/>
        <w:rPr>
          <w:sz w:val="4"/>
        </w:rPr>
      </w:pPr>
    </w:p>
    <w:p>
      <w:pPr>
        <w:pStyle w:val="BodyText"/>
        <w:spacing w:line="20" w:lineRule="exact"/>
        <w:ind w:left="100"/>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tabs>
          <w:tab w:pos="1389" w:val="left" w:leader="none"/>
        </w:tabs>
        <w:spacing w:line="214" w:lineRule="exact" w:before="0"/>
        <w:ind w:left="255" w:right="0" w:firstLine="0"/>
        <w:jc w:val="left"/>
        <w:rPr>
          <w:sz w:val="24"/>
        </w:rPr>
      </w:pPr>
      <w:r>
        <w:rPr>
          <w:position w:val="14"/>
          <w:sz w:val="12"/>
        </w:rPr>
        <w:t>70</w:t>
        <w:tab/>
      </w:r>
      <w:r>
        <w:rPr>
          <w:color w:val="231F20"/>
          <w:sz w:val="24"/>
        </w:rPr>
        <w:t>and petroleum industries also rose, for the first</w:t>
      </w:r>
      <w:r>
        <w:rPr>
          <w:color w:val="231F20"/>
          <w:spacing w:val="-4"/>
          <w:sz w:val="24"/>
        </w:rPr>
        <w:t> </w:t>
      </w:r>
      <w:r>
        <w:rPr>
          <w:color w:val="231F20"/>
          <w:sz w:val="24"/>
        </w:rPr>
        <w:t>time</w:t>
      </w:r>
    </w:p>
    <w:p>
      <w:pPr>
        <w:tabs>
          <w:tab w:pos="1389" w:val="left" w:leader="none"/>
        </w:tabs>
        <w:spacing w:line="280" w:lineRule="atLeast" w:before="0"/>
        <w:ind w:left="1389" w:right="440" w:hanging="1135"/>
        <w:jc w:val="left"/>
        <w:rPr>
          <w:sz w:val="24"/>
        </w:rPr>
      </w:pPr>
      <w:r>
        <w:rPr/>
        <w:pict>
          <v:line style="position:absolute;mso-position-horizontal-relative:page;mso-position-vertical-relative:paragraph;z-index:16041984" from="216.779999pt,7.543304pt" to="221.779999pt,7.543304pt" stroked="true" strokeweight=".5pt" strokecolor="#000000">
            <v:stroke dashstyle="solid"/>
            <w10:wrap type="none"/>
          </v:line>
        </w:pict>
      </w:r>
      <w:r>
        <w:rPr>
          <w:position w:val="4"/>
          <w:sz w:val="12"/>
        </w:rPr>
        <w:t>60</w:t>
        <w:tab/>
      </w:r>
      <w:r>
        <w:rPr>
          <w:color w:val="231F20"/>
          <w:sz w:val="24"/>
        </w:rPr>
        <w:t>since October 1996. And manufacturing output </w:t>
      </w:r>
      <w:r>
        <w:rPr>
          <w:color w:val="231F20"/>
          <w:spacing w:val="-3"/>
          <w:sz w:val="24"/>
        </w:rPr>
        <w:t>prices </w:t>
      </w:r>
      <w:r>
        <w:rPr>
          <w:color w:val="231F20"/>
          <w:sz w:val="24"/>
        </w:rPr>
        <w:t>continued to edge</w:t>
      </w:r>
      <w:r>
        <w:rPr>
          <w:color w:val="231F20"/>
          <w:spacing w:val="-1"/>
          <w:sz w:val="24"/>
        </w:rPr>
        <w:t> </w:t>
      </w:r>
      <w:r>
        <w:rPr>
          <w:color w:val="231F20"/>
          <w:sz w:val="24"/>
        </w:rPr>
        <w:t>up.</w:t>
      </w:r>
    </w:p>
    <w:p>
      <w:pPr>
        <w:spacing w:after="0" w:line="280" w:lineRule="atLeast"/>
        <w:jc w:val="left"/>
        <w:rPr>
          <w:sz w:val="24"/>
        </w:rPr>
        <w:sectPr>
          <w:type w:val="continuous"/>
          <w:pgSz w:w="11880" w:h="16840"/>
          <w:pgMar w:top="1040" w:bottom="280" w:left="640" w:right="620"/>
          <w:cols w:num="2" w:equalWidth="0">
            <w:col w:w="2246" w:space="1344"/>
            <w:col w:w="7030"/>
          </w:cols>
        </w:sectPr>
      </w:pPr>
    </w:p>
    <w:p>
      <w:pPr>
        <w:tabs>
          <w:tab w:pos="3845" w:val="left" w:leader="none"/>
        </w:tabs>
        <w:spacing w:line="16" w:lineRule="auto" w:before="0"/>
        <w:ind w:left="315" w:right="0" w:firstLine="0"/>
        <w:jc w:val="left"/>
        <w:rPr>
          <w:sz w:val="12"/>
        </w:rPr>
      </w:pPr>
      <w:r>
        <w:rPr>
          <w:sz w:val="16"/>
          <w:vertAlign w:val="subscript"/>
        </w:rPr>
        <w:t>0</w:t>
      </w:r>
      <w:r>
        <w:rPr>
          <w:spacing w:val="-29"/>
          <w:sz w:val="16"/>
          <w:vertAlign w:val="baseline"/>
        </w:rPr>
        <w:t> </w:t>
      </w:r>
      <w:r>
        <w:rPr>
          <w:position w:val="-7"/>
          <w:sz w:val="16"/>
          <w:vertAlign w:val="baseline"/>
        </w:rPr>
        <w:t>_</w:t>
        <w:tab/>
      </w:r>
      <w:r>
        <w:rPr>
          <w:sz w:val="12"/>
          <w:vertAlign w:val="baseline"/>
        </w:rPr>
        <w:t>50</w:t>
      </w:r>
    </w:p>
    <w:p>
      <w:pPr>
        <w:tabs>
          <w:tab w:pos="3845" w:val="left" w:leader="none"/>
        </w:tabs>
        <w:spacing w:before="186"/>
        <w:ind w:left="315" w:right="0" w:firstLine="0"/>
        <w:jc w:val="left"/>
        <w:rPr>
          <w:sz w:val="12"/>
        </w:rPr>
      </w:pPr>
      <w:r>
        <w:rPr/>
        <w:pict>
          <v:line style="position:absolute;mso-position-horizontal-relative:page;mso-position-vertical-relative:paragraph;z-index:-20699648" from="59.779999pt,12.901562pt" to="54.779999pt,12.901562pt" stroked="true" strokeweight=".5pt" strokecolor="#000000">
            <v:stroke dashstyle="solid"/>
            <w10:wrap type="none"/>
          </v:line>
        </w:pict>
      </w:r>
      <w:r>
        <w:rPr>
          <w:position w:val="-1"/>
          <w:sz w:val="12"/>
        </w:rPr>
        <w:t>5</w:t>
        <w:tab/>
      </w:r>
      <w:r>
        <w:rPr>
          <w:sz w:val="12"/>
        </w:rPr>
        <w:t>40</w:t>
      </w:r>
    </w:p>
    <w:p>
      <w:pPr>
        <w:pStyle w:val="BodyText"/>
        <w:spacing w:before="6"/>
        <w:rPr>
          <w:sz w:val="17"/>
        </w:rPr>
      </w:pPr>
    </w:p>
    <w:p>
      <w:pPr>
        <w:tabs>
          <w:tab w:pos="3845" w:val="left" w:leader="none"/>
        </w:tabs>
        <w:spacing w:before="0"/>
        <w:ind w:left="255" w:right="0" w:firstLine="0"/>
        <w:jc w:val="left"/>
        <w:rPr>
          <w:sz w:val="12"/>
        </w:rPr>
      </w:pPr>
      <w:r>
        <w:rPr/>
        <w:pict>
          <v:line style="position:absolute;mso-position-horizontal-relative:page;mso-position-vertical-relative:paragraph;z-index:-20699136" from="59.779999pt,3.601562pt" to="54.779999pt,3.601562pt" stroked="true" strokeweight=".5pt" strokecolor="#000000">
            <v:stroke dashstyle="solid"/>
            <w10:wrap type="none"/>
          </v:line>
        </w:pict>
      </w:r>
      <w:r>
        <w:rPr/>
        <w:pict>
          <v:line style="position:absolute;mso-position-horizontal-relative:page;mso-position-vertical-relative:paragraph;z-index:-20696576" from="216.779999pt,3.601562pt" to="221.779999pt,3.601562pt" stroked="true" strokeweight=".5pt" strokecolor="#000000">
            <v:stroke dashstyle="solid"/>
            <w10:wrap type="none"/>
          </v:line>
        </w:pict>
      </w:r>
      <w:r>
        <w:rPr>
          <w:position w:val="-1"/>
          <w:sz w:val="12"/>
        </w:rPr>
        <w:t>10</w:t>
        <w:tab/>
      </w:r>
      <w:r>
        <w:rPr>
          <w:sz w:val="12"/>
        </w:rPr>
        <w:t>30</w:t>
      </w:r>
    </w:p>
    <w:p>
      <w:pPr>
        <w:pStyle w:val="BodyText"/>
        <w:spacing w:before="4"/>
        <w:rPr>
          <w:sz w:val="19"/>
        </w:rPr>
      </w:pPr>
    </w:p>
    <w:p>
      <w:pPr>
        <w:tabs>
          <w:tab w:pos="3845" w:val="left" w:leader="none"/>
        </w:tabs>
        <w:spacing w:before="0"/>
        <w:ind w:left="255" w:right="0" w:firstLine="0"/>
        <w:jc w:val="left"/>
        <w:rPr>
          <w:sz w:val="12"/>
        </w:rPr>
      </w:pPr>
      <w:r>
        <w:rPr/>
        <w:pict>
          <v:line style="position:absolute;mso-position-horizontal-relative:page;mso-position-vertical-relative:paragraph;z-index:-20698624" from="59.779999pt,3.601562pt" to="54.779999pt,3.601562pt" stroked="true" strokeweight=".5pt" strokecolor="#000000">
            <v:stroke dashstyle="solid"/>
            <w10:wrap type="none"/>
          </v:line>
        </w:pict>
      </w:r>
      <w:r>
        <w:rPr/>
        <w:pict>
          <v:line style="position:absolute;mso-position-horizontal-relative:page;mso-position-vertical-relative:paragraph;z-index:-20697088" from="216.779999pt,3.601562pt" to="221.779999pt,3.601562pt" stroked="true" strokeweight=".5pt" strokecolor="#000000">
            <v:stroke dashstyle="solid"/>
            <w10:wrap type="none"/>
          </v:line>
        </w:pict>
      </w:r>
      <w:r>
        <w:rPr>
          <w:position w:val="-1"/>
          <w:sz w:val="12"/>
        </w:rPr>
        <w:t>15</w:t>
        <w:tab/>
      </w:r>
      <w:r>
        <w:rPr>
          <w:sz w:val="12"/>
        </w:rPr>
        <w:t>20</w:t>
      </w:r>
    </w:p>
    <w:p>
      <w:pPr>
        <w:pStyle w:val="BodyText"/>
        <w:spacing w:before="3"/>
        <w:rPr>
          <w:sz w:val="19"/>
        </w:rPr>
      </w:pPr>
    </w:p>
    <w:p>
      <w:pPr>
        <w:tabs>
          <w:tab w:pos="3589" w:val="left" w:leader="none"/>
        </w:tabs>
        <w:spacing w:line="124" w:lineRule="exact" w:before="0"/>
        <w:ind w:left="0" w:right="27" w:firstLine="0"/>
        <w:jc w:val="center"/>
        <w:rPr>
          <w:sz w:val="12"/>
        </w:rPr>
      </w:pPr>
      <w:r>
        <w:rPr/>
        <w:pict>
          <v:shape style="position:absolute;margin-left:54.779999pt;margin-top:-1.398438pt;width:167pt;height:5pt;mso-position-horizontal-relative:page;mso-position-vertical-relative:paragraph;z-index:-20698112" coordorigin="1096,-28" coordsize="3340,100" path="m1196,72l1096,72m4336,72l4436,72m1256,72l4276,72m1256,72l1256,32m1396,72l1396,32m1516,72l1516,32m1656,72l1656,32m1776,72l1776,32m1916,72l1916,32m2036,72l2036,32m2176,72l2176,32m2296,72l2296,32m2436,72l2436,32m2576,72l2576,32m2696,72l2696,32m2836,72l2836,32m2956,72l2956,32m3096,72l3096,32m3216,72l3216,32m3336,72l3336,32m3476,72l3476,32m3616,72l3616,32m3736,72l3736,32m3876,72l3876,32m4016,72l4016,32m4136,72l4136,32m4276,72l4276,32m1256,72l1256,-28m1776,72l1776,-28m2296,72l2296,-28m2836,72l2836,-28m3336,72l3336,-28m3876,72l3876,-28m1256,72l4276,72m1256,72l1256,32m1396,72l1396,32m1516,72l1516,32m1656,72l1656,32m1776,72l1776,32m1916,72l1916,32m2036,72l2036,32m2176,72l2176,32m2296,72l2296,32m2436,72l2436,32m2576,72l2576,32m2696,72l2696,32m2836,72l2836,32m2956,72l2956,32m3096,72l3096,32m3216,72l3216,32m3336,72l3336,32m3476,72l3476,32m3616,72l3616,32m3736,72l3736,32m3876,72l3876,32m4016,72l4016,32m4136,72l4136,32m4276,72l4276,32m1256,72l1256,-28m1776,72l1776,-28m2296,72l2296,-28m2836,72l2836,-28m3336,72l3336,-28m3876,72l3876,-28e" filled="false" stroked="true" strokeweight=".5pt" strokecolor="#000000">
            <v:path arrowok="t"/>
            <v:stroke dashstyle="solid"/>
            <w10:wrap type="none"/>
          </v:shape>
        </w:pict>
      </w:r>
      <w:r>
        <w:rPr>
          <w:position w:val="-1"/>
          <w:sz w:val="12"/>
        </w:rPr>
        <w:t>20</w:t>
        <w:tab/>
      </w:r>
      <w:r>
        <w:rPr>
          <w:sz w:val="12"/>
        </w:rPr>
        <w:t>10</w:t>
      </w:r>
    </w:p>
    <w:p>
      <w:pPr>
        <w:tabs>
          <w:tab w:pos="639" w:val="left" w:leader="none"/>
          <w:tab w:pos="1159" w:val="left" w:leader="none"/>
          <w:tab w:pos="1679" w:val="left" w:leader="none"/>
          <w:tab w:pos="2199" w:val="left" w:leader="none"/>
          <w:tab w:pos="2659" w:val="left" w:leader="none"/>
        </w:tabs>
        <w:spacing w:line="104" w:lineRule="exact" w:before="0"/>
        <w:ind w:left="0" w:right="57" w:firstLine="0"/>
        <w:jc w:val="center"/>
        <w:rPr>
          <w:sz w:val="12"/>
        </w:rPr>
      </w:pPr>
      <w:r>
        <w:rPr>
          <w:sz w:val="12"/>
        </w:rPr>
        <w:t>1992</w:t>
        <w:tab/>
        <w:t>93</w:t>
        <w:tab/>
        <w:t>94</w:t>
        <w:tab/>
        <w:t>95</w:t>
        <w:tab/>
        <w:t>96</w:t>
        <w:tab/>
        <w:t>97</w:t>
      </w:r>
    </w:p>
    <w:p>
      <w:pPr>
        <w:spacing w:before="105"/>
        <w:ind w:left="178" w:right="0" w:firstLine="0"/>
        <w:jc w:val="left"/>
        <w:rPr>
          <w:sz w:val="12"/>
        </w:rPr>
      </w:pPr>
      <w:r>
        <w:rPr>
          <w:color w:val="231F20"/>
          <w:sz w:val="12"/>
        </w:rPr>
        <w:t>Sources: Chartered Institute of Purchasing and Supply and ONS.</w:t>
      </w:r>
    </w:p>
    <w:p>
      <w:pPr>
        <w:pStyle w:val="BodyText"/>
        <w:spacing w:before="2"/>
        <w:rPr>
          <w:sz w:val="10"/>
        </w:rPr>
      </w:pPr>
    </w:p>
    <w:p>
      <w:pPr>
        <w:spacing w:line="208" w:lineRule="auto" w:before="0"/>
        <w:ind w:left="418" w:right="0" w:hanging="240"/>
        <w:jc w:val="left"/>
        <w:rPr>
          <w:sz w:val="12"/>
        </w:rPr>
      </w:pPr>
      <w:r>
        <w:rPr>
          <w:color w:val="231F20"/>
          <w:sz w:val="12"/>
        </w:rPr>
        <w:t>(a) Respondents are asked to compare the prices of purchases in the current month with those in the previous month. A figure above 50 indicates rising prices.</w:t>
      </w:r>
    </w:p>
    <w:p>
      <w:pPr>
        <w:pStyle w:val="BodyText"/>
        <w:spacing w:before="8"/>
        <w:rPr>
          <w:sz w:val="24"/>
        </w:rPr>
      </w:pPr>
      <w:r>
        <w:rPr/>
        <w:br w:type="column"/>
      </w:r>
      <w:r>
        <w:rPr>
          <w:sz w:val="24"/>
        </w:rPr>
      </w:r>
    </w:p>
    <w:p>
      <w:pPr>
        <w:pStyle w:val="Heading5"/>
        <w:spacing w:line="242" w:lineRule="auto"/>
        <w:ind w:left="178" w:right="88"/>
      </w:pPr>
      <w:r>
        <w:rPr>
          <w:color w:val="231F20"/>
        </w:rPr>
        <w:t>Input prices rose in both August and September (see Table 5.A), and the C</w:t>
      </w:r>
      <w:r>
        <w:rPr>
          <w:color w:val="231F20"/>
          <w:sz w:val="20"/>
        </w:rPr>
        <w:t>IPS </w:t>
      </w:r>
      <w:r>
        <w:rPr>
          <w:color w:val="231F20"/>
        </w:rPr>
        <w:t>manufacturing input price indicator, though below its neutral level of 50, rose in the three months to October (see Chart 5.6). Most imported input prices rose between July and September. This may partly have been caused by the depreciation of sterling during those months.</w:t>
      </w:r>
    </w:p>
    <w:p>
      <w:pPr>
        <w:spacing w:after="0" w:line="242" w:lineRule="auto"/>
        <w:sectPr>
          <w:type w:val="continuous"/>
          <w:pgSz w:w="11880" w:h="16840"/>
          <w:pgMar w:top="1040" w:bottom="280" w:left="640" w:right="620"/>
          <w:cols w:num="2" w:equalWidth="0">
            <w:col w:w="4251" w:space="551"/>
            <w:col w:w="5818"/>
          </w:cols>
        </w:sectPr>
      </w:pPr>
    </w:p>
    <w:p>
      <w:pPr>
        <w:pStyle w:val="BodyText"/>
        <w:rPr>
          <w:sz w:val="20"/>
        </w:rPr>
      </w:pPr>
    </w:p>
    <w:p>
      <w:pPr>
        <w:spacing w:after="0"/>
        <w:rPr>
          <w:sz w:val="20"/>
        </w:rPr>
        <w:sectPr>
          <w:pgSz w:w="11880" w:h="16840"/>
          <w:pgMar w:header="586" w:footer="617" w:top="780" w:bottom="800" w:left="640" w:right="620"/>
        </w:sectPr>
      </w:pPr>
    </w:p>
    <w:p>
      <w:pPr>
        <w:pStyle w:val="BodyText"/>
        <w:spacing w:before="8"/>
        <w:rPr>
          <w:sz w:val="19"/>
        </w:rPr>
      </w:pPr>
    </w:p>
    <w:p>
      <w:pPr>
        <w:pStyle w:val="Heading9"/>
        <w:spacing w:before="0"/>
        <w:ind w:left="187"/>
      </w:pPr>
      <w:bookmarkStart w:name="Pricing in the manufacturing sector" w:id="79"/>
      <w:bookmarkEnd w:id="79"/>
      <w:r>
        <w:rPr>
          <w:b w:val="0"/>
        </w:rPr>
      </w:r>
      <w:bookmarkStart w:name="Retail prices" w:id="80"/>
      <w:bookmarkEnd w:id="80"/>
      <w:r>
        <w:rPr>
          <w:b w:val="0"/>
        </w:rPr>
      </w:r>
      <w:bookmarkStart w:name="_bookmark36" w:id="81"/>
      <w:bookmarkEnd w:id="81"/>
      <w:r>
        <w:rPr>
          <w:b w:val="0"/>
        </w:rPr>
      </w:r>
      <w:r>
        <w:rPr>
          <w:color w:val="0093C1"/>
        </w:rPr>
        <w:t>Chart 5.7</w:t>
      </w:r>
    </w:p>
    <w:p>
      <w:pPr>
        <w:spacing w:before="10"/>
        <w:ind w:left="187" w:right="0" w:firstLine="0"/>
        <w:jc w:val="left"/>
        <w:rPr>
          <w:b/>
          <w:sz w:val="20"/>
        </w:rPr>
      </w:pPr>
      <w:r>
        <w:rPr>
          <w:b/>
          <w:color w:val="0093C1"/>
          <w:sz w:val="20"/>
        </w:rPr>
        <w:t>Producer price inflation</w:t>
      </w:r>
    </w:p>
    <w:p>
      <w:pPr>
        <w:spacing w:before="85"/>
        <w:ind w:left="1493" w:right="0" w:firstLine="0"/>
        <w:jc w:val="left"/>
        <w:rPr>
          <w:sz w:val="12"/>
        </w:rPr>
      </w:pPr>
      <w:r>
        <w:rPr/>
        <w:pict>
          <v:line style="position:absolute;mso-position-horizontal-relative:page;mso-position-vertical-relative:paragraph;z-index:16052224" from="50.860001pt,12.349548pt" to="45.860001pt,12.349548pt" stroked="true" strokeweight=".5pt" strokecolor="#000000">
            <v:stroke dashstyle="solid"/>
            <w10:wrap type="none"/>
          </v:line>
        </w:pict>
      </w:r>
      <w:r>
        <w:rPr/>
        <w:pict>
          <v:line style="position:absolute;mso-position-horizontal-relative:page;mso-position-vertical-relative:paragraph;z-index:16059392" from="215.860001pt,12.349548pt" to="210.860001pt,12.349548pt" stroked="true" strokeweight=".5pt" strokecolor="#000000">
            <v:stroke dashstyle="solid"/>
            <w10:wrap type="none"/>
          </v:line>
        </w:pict>
      </w:r>
      <w:r>
        <w:rPr>
          <w:sz w:val="12"/>
        </w:rPr>
        <w:t>Percentage changes in prices on a year earlier</w:t>
      </w:r>
      <w:r>
        <w:rPr>
          <w:spacing w:val="24"/>
          <w:sz w:val="12"/>
        </w:rPr>
        <w:t> </w:t>
      </w:r>
      <w:r>
        <w:rPr>
          <w:position w:val="-5"/>
          <w:sz w:val="12"/>
        </w:rPr>
        <w:t>14</w:t>
      </w:r>
    </w:p>
    <w:p>
      <w:pPr>
        <w:spacing w:before="82"/>
        <w:ind w:left="3737" w:right="0" w:firstLine="0"/>
        <w:jc w:val="left"/>
        <w:rPr>
          <w:sz w:val="12"/>
        </w:rPr>
      </w:pPr>
      <w:r>
        <w:rPr/>
        <w:pict>
          <v:group style="position:absolute;margin-left:55.360001pt;margin-top:5.350883pt;width:151pt;height:143.15pt;mso-position-horizontal-relative:page;mso-position-vertical-relative:paragraph;z-index:16045056" coordorigin="1107,107" coordsize="3020,2863">
            <v:line style="position:absolute" from="1117,1584" to="4117,1584" stroked="true" strokeweight=".5pt" strokecolor="#000000">
              <v:stroke dashstyle="solid"/>
            </v:line>
            <v:shape style="position:absolute;left:1117;top:164;width:3000;height:2680" coordorigin="1117,164" coordsize="3000,2680" path="m1117,1844l1157,1644,1197,1764,1297,1764,1337,1864,1377,1804,1417,1764,1457,1664,1517,1424,1557,1124,1597,1124,1637,884,1677,844,1737,664,1777,864,1817,864,1857,764,1917,824,1957,804m1957,804l1997,1124,2037,1464,2077,1704,2137,1744,2177,1964,2217,1904,2257,1904,2317,1724,2357,1484,2397,1324,2437,1204,2477,1104,2537,844,2577,744,2617,564,2657,504,2697,164,2757,264,2797,244m2797,244l2837,184,2877,324,2917,364,2977,464,3017,524,3057,524,3137,884,3197,904,3237,1144,3277,1264,3317,1284,3377,1324,3417,1524,3457,1844,3497,1864,3557,1884,3597,1924,3637,1844m3637,1844l3677,2184,3717,2284,3777,2304,3817,2364,3857,2504,3897,2844,3937,2644,3997,2564,4037,2604,4077,2564,4117,2484e" filled="false" stroked="true" strokeweight="1pt" strokecolor="#0066a5">
              <v:path arrowok="t"/>
              <v:stroke dashstyle="solid"/>
            </v:shape>
            <v:shape style="position:absolute;left:1117;top:1004;width:3000;height:560" coordorigin="1117,1004" coordsize="3000,560" path="m1117,1264l1157,1264,1197,1244,1237,1264,1297,1284,1337,1264,1417,1304,1457,1304,1517,1284,1597,1204,1637,1184,1677,1144,1737,1124,1817,1124,1857,1104,1917,1084,1957,1084m1957,1084l1997,1084,2037,1124,2077,1184,2137,1204,2177,1244,2257,1364,2317,1344,2357,1324,2397,1324,2437,1344,2477,1304,2537,1304,2577,1264,2617,1244,2657,1204,2697,1124,2757,1084,2797,1044m2797,1044l2837,1024,2877,1024,2917,1044,2977,1004,3017,1044,3097,1044,3137,1084,3197,1084,3237,1164,3277,1164,3317,1204,3377,1244,3417,1264,3457,1304,3497,1364,3557,1404,3597,1364,3637,1364m3637,1364l3677,1404,3717,1424,3777,1464,3817,1524,3897,1564,3937,1544,3997,1524,4037,1544,4077,1524,4117,1524e" filled="false" stroked="true" strokeweight="1pt" strokecolor="#faab54">
              <v:path arrowok="t"/>
              <v:stroke dashstyle="solid"/>
            </v:shape>
            <v:shape style="position:absolute;left:1117;top:1064;width:3000;height:420" coordorigin="1117,1064" coordsize="3000,420" path="m1117,1204l1197,1124,1237,1224,1297,1244,1337,1224,1417,1264,1457,1264,1517,1244,1557,1224,1597,1184,1677,1144,1737,1144,1817,1104,1857,1104,1917,1084,1957,1084m1957,1084l1997,1084,2037,1104,2077,1164,2137,1124,2177,1144,2217,1184,2257,1264,2317,1324,2397,1324,2437,1344,2477,1324,2537,1304,2577,1304,2657,1264,2697,1164,2757,1164,2797,1132m2796,1130l2837,1104,2877,1084,2917,1084,2977,1064,3197,1064,3237,1144,3277,1144,3317,1184,3377,1204,3497,1324,3557,1344,3637,1304m3637,1304l3677,1324,3717,1384,3777,1404,3817,1444,3897,1484,3937,1464,3997,1464,4037,1424,4077,1404,4117,1424e" filled="false" stroked="true" strokeweight="1pt" strokecolor="#ed1b2d">
              <v:path arrowok="t"/>
              <v:stroke dashstyle="solid"/>
            </v:shape>
            <v:shape style="position:absolute;left:1117;top:377;width:3000;height:2587" coordorigin="1117,377" coordsize="3000,2587" path="m1117,2964l4117,2964m1117,2964l1117,2924m1237,2964l1237,2924m1377,2964l1377,2924m1497,2964l1497,2924m1637,2964l1637,2924m1777,2964l1777,2924m1917,2964l1917,2924m2037,2964l2037,2924m2177,2964l2177,2924m2297,2964l2297,2924m2437,2964l2437,2924m2577,2964l2577,2924m2697,2964l2697,2924m2837,2964l2837,2924m2977,2964l2977,2924m3097,2964l3097,2924m3237,2964l3237,2924m3377,2964l3377,2924m3497,2964l3497,2924m3637,2964l3637,2924m3757,2964l3757,2924m3897,2964l3897,2924m4037,2964l4037,2924m1117,2964l1117,2864m1637,2964l1637,2864m2177,2964l2177,2864m2697,2964l2697,2864m3237,2964l3237,2864m3757,2964l3757,2864m2057,377l2711,984e" filled="false" stroked="true" strokeweight=".5pt" strokecolor="#000000">
              <v:path arrowok="t"/>
              <v:stroke dashstyle="solid"/>
            </v:shape>
            <v:shape style="position:absolute;left:2680;top:954;width:79;height:77" coordorigin="2681,954" coordsize="79,77" path="m2715,954l2681,991,2697,997,2709,1002,2760,1030,2754,1023,2748,1015,2742,1004,2735,993,2729,982,2715,954xe" filled="true" fillcolor="#000000" stroked="false">
              <v:path arrowok="t"/>
              <v:fill type="solid"/>
            </v:shape>
            <v:shape style="position:absolute;left:2680;top:954;width:79;height:77" coordorigin="2681,954" coordsize="79,77" path="m2735,993l2729,982,2724,973,2720,963,2715,954,2681,991,2743,1020,2760,1030,2754,1023,2748,1015,2742,1004,2735,993xe" filled="false" stroked="true" strokeweight=".5pt" strokecolor="#000000">
              <v:path arrowok="t"/>
              <v:stroke dashstyle="solid"/>
            </v:shape>
            <v:shape style="position:absolute;left:1627;top:107;width:937;height:373" type="#_x0000_t202" filled="false" stroked="false">
              <v:textbox inset="0,0,0,0">
                <w:txbxContent>
                  <w:p>
                    <w:pPr>
                      <w:spacing w:line="208" w:lineRule="auto" w:before="9"/>
                      <w:ind w:left="73" w:right="1" w:hanging="74"/>
                      <w:jc w:val="left"/>
                      <w:rPr>
                        <w:sz w:val="12"/>
                      </w:rPr>
                    </w:pPr>
                    <w:r>
                      <w:rPr>
                        <w:sz w:val="12"/>
                      </w:rPr>
                      <w:t>Output prices (excluding excise duties)</w:t>
                    </w:r>
                  </w:p>
                </w:txbxContent>
              </v:textbox>
              <w10:wrap type="none"/>
            </v:shape>
            <v:shape style="position:absolute;left:2987;top:327;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2660;top:1267;width:697;height:233" type="#_x0000_t202" filled="false" stroked="false">
              <v:textbox inset="0,0,0,0">
                <w:txbxContent>
                  <w:p>
                    <w:pPr>
                      <w:spacing w:line="172" w:lineRule="auto" w:before="26"/>
                      <w:ind w:left="53" w:right="0" w:hanging="54"/>
                      <w:jc w:val="left"/>
                      <w:rPr>
                        <w:sz w:val="12"/>
                      </w:rPr>
                    </w:pPr>
                    <w:r>
                      <w:rPr>
                        <w:sz w:val="12"/>
                      </w:rPr>
                      <w:t>Headline output prices</w:t>
                    </w:r>
                  </w:p>
                </w:txbxContent>
              </v:textbox>
              <w10:wrap type="none"/>
            </v:shape>
            <w10:wrap type="none"/>
          </v:group>
        </w:pict>
      </w:r>
      <w:r>
        <w:rPr/>
        <w:pict>
          <v:line style="position:absolute;mso-position-horizontal-relative:page;mso-position-vertical-relative:paragraph;z-index:16051712" from="50.860001pt,9.201563pt" to="45.860001pt,9.201563pt" stroked="true" strokeweight=".5pt" strokecolor="#000000">
            <v:stroke dashstyle="solid"/>
            <w10:wrap type="none"/>
          </v:line>
        </w:pict>
      </w:r>
      <w:r>
        <w:rPr/>
        <w:pict>
          <v:line style="position:absolute;mso-position-horizontal-relative:page;mso-position-vertical-relative:paragraph;z-index:16058880" from="215.860001pt,9.201563pt" to="210.860001pt,9.201563pt" stroked="true" strokeweight=".5pt" strokecolor="#000000">
            <v:stroke dashstyle="solid"/>
            <w10:wrap type="none"/>
          </v:line>
        </w:pict>
      </w:r>
      <w:r>
        <w:rPr>
          <w:sz w:val="12"/>
        </w:rPr>
        <w:t>12</w:t>
      </w:r>
    </w:p>
    <w:p>
      <w:pPr>
        <w:spacing w:before="102"/>
        <w:ind w:left="3737" w:right="0" w:firstLine="0"/>
        <w:jc w:val="left"/>
        <w:rPr>
          <w:sz w:val="12"/>
        </w:rPr>
      </w:pPr>
      <w:r>
        <w:rPr/>
        <w:pict>
          <v:line style="position:absolute;mso-position-horizontal-relative:page;mso-position-vertical-relative:paragraph;z-index:16051200" from="50.860001pt,10.201563pt" to="45.860001pt,10.201563pt" stroked="true" strokeweight=".5pt" strokecolor="#000000">
            <v:stroke dashstyle="solid"/>
            <w10:wrap type="none"/>
          </v:line>
        </w:pict>
      </w:r>
      <w:r>
        <w:rPr/>
        <w:pict>
          <v:line style="position:absolute;mso-position-horizontal-relative:page;mso-position-vertical-relative:paragraph;z-index:16058368" from="215.860001pt,10.201563pt" to="210.860001pt,10.201563pt" stroked="true" strokeweight=".5pt" strokecolor="#000000">
            <v:stroke dashstyle="solid"/>
            <w10:wrap type="none"/>
          </v:line>
        </w:pict>
      </w:r>
      <w:r>
        <w:rPr>
          <w:sz w:val="12"/>
        </w:rPr>
        <w:t>10</w:t>
      </w:r>
    </w:p>
    <w:p>
      <w:pPr>
        <w:spacing w:before="82"/>
        <w:ind w:left="3797" w:right="0" w:firstLine="0"/>
        <w:jc w:val="left"/>
        <w:rPr>
          <w:sz w:val="12"/>
        </w:rPr>
      </w:pPr>
      <w:r>
        <w:rPr/>
        <w:pict>
          <v:line style="position:absolute;mso-position-horizontal-relative:page;mso-position-vertical-relative:paragraph;z-index:16050688" from="50.860001pt,9.203577pt" to="45.860001pt,9.203577pt" stroked="true" strokeweight=".5pt" strokecolor="#000000">
            <v:stroke dashstyle="solid"/>
            <w10:wrap type="none"/>
          </v:line>
        </w:pict>
      </w:r>
      <w:r>
        <w:rPr/>
        <w:pict>
          <v:line style="position:absolute;mso-position-horizontal-relative:page;mso-position-vertical-relative:paragraph;z-index:16057856" from="215.860001pt,9.203577pt" to="210.860001pt,9.203577pt" stroked="true" strokeweight=".5pt" strokecolor="#000000">
            <v:stroke dashstyle="solid"/>
            <w10:wrap type="none"/>
          </v:line>
        </w:pict>
      </w:r>
      <w:r>
        <w:rPr>
          <w:sz w:val="12"/>
        </w:rPr>
        <w:t>8</w:t>
      </w:r>
    </w:p>
    <w:p>
      <w:pPr>
        <w:spacing w:before="102"/>
        <w:ind w:left="3797" w:right="0" w:firstLine="0"/>
        <w:jc w:val="left"/>
        <w:rPr>
          <w:sz w:val="12"/>
        </w:rPr>
      </w:pPr>
      <w:r>
        <w:rPr/>
        <w:pict>
          <v:line style="position:absolute;mso-position-horizontal-relative:page;mso-position-vertical-relative:paragraph;z-index:16050176" from="50.860001pt,10.203577pt" to="45.860001pt,10.203577pt" stroked="true" strokeweight=".5pt" strokecolor="#000000">
            <v:stroke dashstyle="solid"/>
            <w10:wrap type="none"/>
          </v:line>
        </w:pict>
      </w:r>
      <w:r>
        <w:rPr/>
        <w:pict>
          <v:line style="position:absolute;mso-position-horizontal-relative:page;mso-position-vertical-relative:paragraph;z-index:16057344" from="215.860001pt,10.203577pt" to="210.860001pt,10.203577pt" stroked="true" strokeweight=".5pt" strokecolor="#000000">
            <v:stroke dashstyle="solid"/>
            <w10:wrap type="none"/>
          </v:line>
        </w:pict>
      </w:r>
      <w:r>
        <w:rPr>
          <w:sz w:val="12"/>
        </w:rPr>
        <w:t>6</w:t>
      </w:r>
    </w:p>
    <w:p>
      <w:pPr>
        <w:spacing w:before="102"/>
        <w:ind w:left="3797" w:right="0" w:firstLine="0"/>
        <w:jc w:val="left"/>
        <w:rPr>
          <w:sz w:val="12"/>
        </w:rPr>
      </w:pPr>
      <w:r>
        <w:rPr/>
        <w:pict>
          <v:line style="position:absolute;mso-position-horizontal-relative:page;mso-position-vertical-relative:paragraph;z-index:16049664" from="50.860001pt,10.203577pt" to="45.860001pt,10.203577pt" stroked="true" strokeweight=".5pt" strokecolor="#000000">
            <v:stroke dashstyle="solid"/>
            <w10:wrap type="none"/>
          </v:line>
        </w:pict>
      </w:r>
      <w:r>
        <w:rPr/>
        <w:pict>
          <v:line style="position:absolute;mso-position-horizontal-relative:page;mso-position-vertical-relative:paragraph;z-index:16056832" from="215.860001pt,10.203577pt" to="210.860001pt,10.203577pt" stroked="true" strokeweight=".5pt" strokecolor="#000000">
            <v:stroke dashstyle="solid"/>
            <w10:wrap type="none"/>
          </v:line>
        </w:pict>
      </w:r>
      <w:r>
        <w:rPr>
          <w:sz w:val="12"/>
        </w:rPr>
        <w:t>4</w:t>
      </w:r>
    </w:p>
    <w:p>
      <w:pPr>
        <w:spacing w:line="120" w:lineRule="exact" w:before="82"/>
        <w:ind w:left="3797" w:right="0" w:firstLine="0"/>
        <w:jc w:val="left"/>
        <w:rPr>
          <w:sz w:val="12"/>
        </w:rPr>
      </w:pPr>
      <w:r>
        <w:rPr/>
        <w:pict>
          <v:line style="position:absolute;mso-position-horizontal-relative:page;mso-position-vertical-relative:paragraph;z-index:16049152" from="50.860001pt,9.205591pt" to="45.860001pt,9.205591pt" stroked="true" strokeweight=".5pt" strokecolor="#000000">
            <v:stroke dashstyle="solid"/>
            <w10:wrap type="none"/>
          </v:line>
        </w:pict>
      </w:r>
      <w:r>
        <w:rPr/>
        <w:pict>
          <v:line style="position:absolute;mso-position-horizontal-relative:page;mso-position-vertical-relative:paragraph;z-index:16056320" from="215.860001pt,9.205591pt" to="210.860001pt,9.205591pt" stroked="true" strokeweight=".5pt" strokecolor="#000000">
            <v:stroke dashstyle="solid"/>
            <w10:wrap type="none"/>
          </v:line>
        </w:pict>
      </w:r>
      <w:r>
        <w:rPr>
          <w:sz w:val="12"/>
        </w:rPr>
        <w:t>2</w:t>
      </w:r>
    </w:p>
    <w:p>
      <w:pPr>
        <w:spacing w:line="143" w:lineRule="exact" w:before="0"/>
        <w:ind w:left="3687" w:right="0" w:firstLine="0"/>
        <w:jc w:val="left"/>
        <w:rPr>
          <w:sz w:val="16"/>
        </w:rPr>
      </w:pPr>
      <w:r>
        <w:rPr>
          <w:sz w:val="16"/>
        </w:rPr>
        <w:t>+</w:t>
      </w:r>
    </w:p>
    <w:p>
      <w:pPr>
        <w:spacing w:line="163" w:lineRule="exact" w:before="0"/>
        <w:ind w:left="3687" w:right="0" w:firstLine="0"/>
        <w:jc w:val="left"/>
        <w:rPr>
          <w:sz w:val="12"/>
        </w:rPr>
      </w:pPr>
      <w:r>
        <w:rPr/>
        <w:pict>
          <v:line style="position:absolute;mso-position-horizontal-relative:page;mso-position-vertical-relative:paragraph;z-index:16048640" from="50.860001pt,3.937561pt" to="45.860001pt,3.937561pt" stroked="true" strokeweight=".5pt" strokecolor="#000000">
            <v:stroke dashstyle="solid"/>
            <w10:wrap type="none"/>
          </v:line>
        </w:pict>
      </w:r>
      <w:r>
        <w:rPr/>
        <w:pict>
          <v:line style="position:absolute;mso-position-horizontal-relative:page;mso-position-vertical-relative:paragraph;z-index:16055808" from="215.860001pt,3.937561pt" to="210.860001pt,3.937561pt" stroked="true" strokeweight=".5pt" strokecolor="#000000">
            <v:stroke dashstyle="solid"/>
            <w10:wrap type="none"/>
          </v:line>
        </w:pict>
      </w:r>
      <w:r>
        <w:rPr>
          <w:position w:val="-3"/>
          <w:sz w:val="16"/>
        </w:rPr>
        <w:t>_</w:t>
      </w:r>
      <w:r>
        <w:rPr>
          <w:spacing w:val="-10"/>
          <w:position w:val="-3"/>
          <w:sz w:val="16"/>
        </w:rPr>
        <w:t> </w:t>
      </w:r>
      <w:r>
        <w:rPr>
          <w:sz w:val="12"/>
        </w:rPr>
        <w:t>0</w:t>
      </w:r>
    </w:p>
    <w:p>
      <w:pPr>
        <w:spacing w:before="33"/>
        <w:ind w:left="3797" w:right="0" w:firstLine="0"/>
        <w:jc w:val="left"/>
        <w:rPr>
          <w:sz w:val="12"/>
        </w:rPr>
      </w:pPr>
      <w:r>
        <w:rPr/>
        <w:pict>
          <v:line style="position:absolute;mso-position-horizontal-relative:page;mso-position-vertical-relative:paragraph;z-index:16045568" from="50.860001pt,6.751563pt" to="45.860001pt,6.751563pt" stroked="true" strokeweight=".5pt" strokecolor="#000000">
            <v:stroke dashstyle="solid"/>
            <w10:wrap type="none"/>
          </v:line>
        </w:pict>
      </w:r>
      <w:r>
        <w:rPr/>
        <w:pict>
          <v:line style="position:absolute;mso-position-horizontal-relative:page;mso-position-vertical-relative:paragraph;z-index:16052736" from="215.860001pt,6.751563pt" to="210.860001pt,6.751563pt" stroked="true" strokeweight=".5pt" strokecolor="#000000">
            <v:stroke dashstyle="solid"/>
            <w10:wrap type="none"/>
          </v:line>
        </w:pict>
      </w:r>
      <w:r>
        <w:rPr>
          <w:sz w:val="12"/>
        </w:rPr>
        <w:t>2</w:t>
      </w:r>
    </w:p>
    <w:p>
      <w:pPr>
        <w:spacing w:before="102"/>
        <w:ind w:left="3797" w:right="0" w:firstLine="0"/>
        <w:jc w:val="left"/>
        <w:rPr>
          <w:sz w:val="12"/>
        </w:rPr>
      </w:pPr>
      <w:r>
        <w:rPr/>
        <w:pict>
          <v:line style="position:absolute;mso-position-horizontal-relative:page;mso-position-vertical-relative:paragraph;z-index:16046080" from="50.860001pt,10.201563pt" to="45.860001pt,10.201563pt" stroked="true" strokeweight=".5pt" strokecolor="#000000">
            <v:stroke dashstyle="solid"/>
            <w10:wrap type="none"/>
          </v:line>
        </w:pict>
      </w:r>
      <w:r>
        <w:rPr/>
        <w:pict>
          <v:line style="position:absolute;mso-position-horizontal-relative:page;mso-position-vertical-relative:paragraph;z-index:16053248" from="215.860001pt,10.201563pt" to="210.860001pt,10.201563pt" stroked="true" strokeweight=".5pt" strokecolor="#000000">
            <v:stroke dashstyle="solid"/>
            <w10:wrap type="none"/>
          </v:line>
        </w:pict>
      </w:r>
      <w:r>
        <w:rPr>
          <w:sz w:val="12"/>
        </w:rPr>
        <w:t>4</w:t>
      </w:r>
    </w:p>
    <w:p>
      <w:pPr>
        <w:spacing w:before="82"/>
        <w:ind w:left="3797" w:right="0" w:firstLine="0"/>
        <w:jc w:val="left"/>
        <w:rPr>
          <w:sz w:val="12"/>
        </w:rPr>
      </w:pPr>
      <w:r>
        <w:rPr/>
        <w:pict>
          <v:line style="position:absolute;mso-position-horizontal-relative:page;mso-position-vertical-relative:paragraph;z-index:16046592" from="50.860001pt,9.203577pt" to="45.860001pt,9.203577pt" stroked="true" strokeweight=".5pt" strokecolor="#000000">
            <v:stroke dashstyle="solid"/>
            <w10:wrap type="none"/>
          </v:line>
        </w:pict>
      </w:r>
      <w:r>
        <w:rPr/>
        <w:pict>
          <v:line style="position:absolute;mso-position-horizontal-relative:page;mso-position-vertical-relative:paragraph;z-index:16053760" from="215.860001pt,9.203577pt" to="210.860001pt,9.203577pt" stroked="true" strokeweight=".5pt" strokecolor="#000000">
            <v:stroke dashstyle="solid"/>
            <w10:wrap type="none"/>
          </v:line>
        </w:pict>
      </w:r>
      <w:r>
        <w:rPr>
          <w:sz w:val="12"/>
        </w:rPr>
        <w:t>6</w:t>
      </w:r>
    </w:p>
    <w:p>
      <w:pPr>
        <w:spacing w:before="102"/>
        <w:ind w:left="3797" w:right="0" w:firstLine="0"/>
        <w:jc w:val="left"/>
        <w:rPr>
          <w:sz w:val="12"/>
        </w:rPr>
      </w:pPr>
      <w:r>
        <w:rPr/>
        <w:pict>
          <v:line style="position:absolute;mso-position-horizontal-relative:page;mso-position-vertical-relative:paragraph;z-index:16047104" from="50.860001pt,10.203577pt" to="45.860001pt,10.203577pt" stroked="true" strokeweight=".5pt" strokecolor="#000000">
            <v:stroke dashstyle="solid"/>
            <w10:wrap type="none"/>
          </v:line>
        </w:pict>
      </w:r>
      <w:r>
        <w:rPr/>
        <w:pict>
          <v:line style="position:absolute;mso-position-horizontal-relative:page;mso-position-vertical-relative:paragraph;z-index:16054272" from="215.860001pt,10.203577pt" to="210.860001pt,10.203577pt" stroked="true" strokeweight=".5pt" strokecolor="#000000">
            <v:stroke dashstyle="solid"/>
            <w10:wrap type="none"/>
          </v:line>
        </w:pict>
      </w:r>
      <w:r>
        <w:rPr>
          <w:sz w:val="12"/>
        </w:rPr>
        <w:t>8</w:t>
      </w:r>
    </w:p>
    <w:p>
      <w:pPr>
        <w:spacing w:before="82"/>
        <w:ind w:left="3737" w:right="0" w:firstLine="0"/>
        <w:jc w:val="left"/>
        <w:rPr>
          <w:sz w:val="12"/>
        </w:rPr>
      </w:pPr>
      <w:r>
        <w:rPr/>
        <w:pict>
          <v:line style="position:absolute;mso-position-horizontal-relative:page;mso-position-vertical-relative:paragraph;z-index:16047616" from="50.860001pt,9.205591pt" to="45.860001pt,9.205591pt" stroked="true" strokeweight=".5pt" strokecolor="#000000">
            <v:stroke dashstyle="solid"/>
            <w10:wrap type="none"/>
          </v:line>
        </w:pict>
      </w:r>
      <w:r>
        <w:rPr/>
        <w:pict>
          <v:line style="position:absolute;mso-position-horizontal-relative:page;mso-position-vertical-relative:paragraph;z-index:16054784" from="215.860001pt,9.205591pt" to="210.860001pt,9.205591pt" stroked="true" strokeweight=".5pt" strokecolor="#000000">
            <v:stroke dashstyle="solid"/>
            <w10:wrap type="none"/>
          </v:line>
        </w:pict>
      </w:r>
      <w:r>
        <w:rPr>
          <w:sz w:val="12"/>
        </w:rPr>
        <w:t>10</w:t>
      </w:r>
    </w:p>
    <w:p>
      <w:pPr>
        <w:spacing w:line="129" w:lineRule="exact" w:before="102"/>
        <w:ind w:left="3737" w:right="0" w:firstLine="0"/>
        <w:jc w:val="left"/>
        <w:rPr>
          <w:sz w:val="12"/>
        </w:rPr>
      </w:pPr>
      <w:r>
        <w:rPr/>
        <w:pict>
          <v:line style="position:absolute;mso-position-horizontal-relative:page;mso-position-vertical-relative:paragraph;z-index:16048128" from="50.860001pt,10.205591pt" to="45.860001pt,10.205591pt" stroked="true" strokeweight=".5pt" strokecolor="#000000">
            <v:stroke dashstyle="solid"/>
            <w10:wrap type="none"/>
          </v:line>
        </w:pict>
      </w:r>
      <w:r>
        <w:rPr/>
        <w:pict>
          <v:line style="position:absolute;mso-position-horizontal-relative:page;mso-position-vertical-relative:paragraph;z-index:16055296" from="215.860001pt,10.205591pt" to="210.860001pt,10.205591pt" stroked="true" strokeweight=".5pt" strokecolor="#000000">
            <v:stroke dashstyle="solid"/>
            <w10:wrap type="none"/>
          </v:line>
        </w:pict>
      </w:r>
      <w:r>
        <w:rPr>
          <w:sz w:val="12"/>
        </w:rPr>
        <w:t>12</w:t>
      </w:r>
    </w:p>
    <w:p>
      <w:pPr>
        <w:tabs>
          <w:tab w:pos="1207" w:val="left" w:leader="none"/>
          <w:tab w:pos="1747" w:val="left" w:leader="none"/>
          <w:tab w:pos="2287" w:val="left" w:leader="none"/>
          <w:tab w:pos="2827" w:val="left" w:leader="none"/>
          <w:tab w:pos="3287" w:val="left" w:leader="none"/>
        </w:tabs>
        <w:spacing w:line="129" w:lineRule="exact" w:before="0"/>
        <w:ind w:left="607" w:right="0" w:firstLine="0"/>
        <w:jc w:val="left"/>
        <w:rPr>
          <w:sz w:val="12"/>
        </w:rPr>
      </w:pPr>
      <w:r>
        <w:rPr>
          <w:sz w:val="12"/>
        </w:rPr>
        <w:t>1992</w:t>
        <w:tab/>
        <w:t>93</w:t>
        <w:tab/>
        <w:t>94</w:t>
        <w:tab/>
        <w:t>95</w:t>
        <w:tab/>
        <w:t>96</w:t>
        <w:tab/>
        <w:t>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1"/>
        </w:rPr>
      </w:pPr>
    </w:p>
    <w:p>
      <w:pPr>
        <w:pStyle w:val="Heading9"/>
        <w:spacing w:before="0"/>
        <w:ind w:left="165"/>
      </w:pPr>
      <w:r>
        <w:rPr>
          <w:color w:val="0093C1"/>
        </w:rPr>
        <w:t>Table 5.B</w:t>
      </w:r>
    </w:p>
    <w:p>
      <w:pPr>
        <w:spacing w:line="249" w:lineRule="auto" w:before="10"/>
        <w:ind w:left="165" w:right="392" w:firstLine="0"/>
        <w:jc w:val="left"/>
        <w:rPr>
          <w:b/>
          <w:sz w:val="20"/>
        </w:rPr>
      </w:pPr>
      <w:r>
        <w:rPr>
          <w:b/>
          <w:color w:val="0093C1"/>
          <w:sz w:val="20"/>
        </w:rPr>
        <w:t>Rates of change of manufacturers’ costs and prices</w:t>
      </w:r>
    </w:p>
    <w:p>
      <w:pPr>
        <w:spacing w:before="98"/>
        <w:ind w:left="165" w:right="0" w:firstLine="0"/>
        <w:jc w:val="left"/>
        <w:rPr>
          <w:sz w:val="14"/>
        </w:rPr>
      </w:pPr>
      <w:r>
        <w:rPr>
          <w:color w:val="231F20"/>
          <w:sz w:val="14"/>
        </w:rPr>
        <w:t>Percentage changes in the periods shown, except where noted</w:t>
      </w:r>
    </w:p>
    <w:p>
      <w:pPr>
        <w:pStyle w:val="BodyText"/>
        <w:spacing w:before="6" w:after="1"/>
        <w:rPr>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465"/>
        <w:gridCol w:w="495"/>
        <w:gridCol w:w="503"/>
        <w:gridCol w:w="528"/>
        <w:gridCol w:w="488"/>
      </w:tblGrid>
      <w:tr>
        <w:trPr>
          <w:trHeight w:val="155" w:hRule="atLeast"/>
        </w:trPr>
        <w:tc>
          <w:tcPr>
            <w:tcW w:w="2188" w:type="dxa"/>
            <w:gridSpan w:val="2"/>
          </w:tcPr>
          <w:p>
            <w:pPr>
              <w:pStyle w:val="TableParagraph"/>
              <w:spacing w:line="135" w:lineRule="exact"/>
              <w:ind w:right="71"/>
              <w:jc w:val="right"/>
              <w:rPr>
                <w:sz w:val="14"/>
              </w:rPr>
            </w:pPr>
            <w:r>
              <w:rPr>
                <w:color w:val="231F20"/>
                <w:sz w:val="14"/>
                <w:u w:val="single" w:color="231F20"/>
              </w:rPr>
              <w:t>1995 </w:t>
            </w:r>
          </w:p>
        </w:tc>
        <w:tc>
          <w:tcPr>
            <w:tcW w:w="495" w:type="dxa"/>
          </w:tcPr>
          <w:p>
            <w:pPr>
              <w:pStyle w:val="TableParagraph"/>
              <w:spacing w:line="135" w:lineRule="exact"/>
              <w:ind w:left="71"/>
              <w:rPr>
                <w:sz w:val="14"/>
              </w:rPr>
            </w:pPr>
            <w:r>
              <w:rPr>
                <w:color w:val="231F20"/>
                <w:sz w:val="14"/>
                <w:u w:val="single" w:color="231F20"/>
              </w:rPr>
              <w:t>1996 </w:t>
            </w:r>
          </w:p>
        </w:tc>
        <w:tc>
          <w:tcPr>
            <w:tcW w:w="1519" w:type="dxa"/>
            <w:gridSpan w:val="3"/>
          </w:tcPr>
          <w:p>
            <w:pPr>
              <w:pStyle w:val="TableParagraph"/>
              <w:tabs>
                <w:tab w:pos="1466" w:val="left" w:leader="none"/>
              </w:tabs>
              <w:spacing w:line="135" w:lineRule="exact"/>
              <w:ind w:left="107"/>
              <w:rPr>
                <w:sz w:val="14"/>
              </w:rPr>
            </w:pPr>
            <w:r>
              <w:rPr>
                <w:color w:val="231F20"/>
                <w:sz w:val="14"/>
                <w:u w:val="single" w:color="231F20"/>
              </w:rPr>
              <w:t>1997</w:t>
              <w:tab/>
            </w:r>
          </w:p>
        </w:tc>
      </w:tr>
      <w:tr>
        <w:trPr>
          <w:trHeight w:val="222" w:hRule="atLeast"/>
        </w:trPr>
        <w:tc>
          <w:tcPr>
            <w:tcW w:w="1723" w:type="dxa"/>
          </w:tcPr>
          <w:p>
            <w:pPr>
              <w:pStyle w:val="TableParagraph"/>
              <w:rPr>
                <w:sz w:val="14"/>
              </w:rPr>
            </w:pPr>
          </w:p>
        </w:tc>
        <w:tc>
          <w:tcPr>
            <w:tcW w:w="465" w:type="dxa"/>
          </w:tcPr>
          <w:p>
            <w:pPr>
              <w:pStyle w:val="TableParagraph"/>
              <w:spacing w:line="155" w:lineRule="exact"/>
              <w:ind w:left="66"/>
              <w:rPr>
                <w:sz w:val="14"/>
              </w:rPr>
            </w:pPr>
            <w:r>
              <w:rPr>
                <w:color w:val="231F20"/>
                <w:sz w:val="14"/>
                <w:u w:val="single" w:color="231F20"/>
              </w:rPr>
              <w:t>Year</w:t>
            </w:r>
          </w:p>
        </w:tc>
        <w:tc>
          <w:tcPr>
            <w:tcW w:w="495" w:type="dxa"/>
          </w:tcPr>
          <w:p>
            <w:pPr>
              <w:pStyle w:val="TableParagraph"/>
              <w:spacing w:line="155" w:lineRule="exact"/>
              <w:ind w:left="71"/>
              <w:rPr>
                <w:sz w:val="14"/>
              </w:rPr>
            </w:pPr>
            <w:r>
              <w:rPr>
                <w:color w:val="231F20"/>
                <w:sz w:val="14"/>
                <w:u w:val="single" w:color="231F20"/>
              </w:rPr>
              <w:t>Year</w:t>
            </w:r>
          </w:p>
        </w:tc>
        <w:tc>
          <w:tcPr>
            <w:tcW w:w="503" w:type="dxa"/>
          </w:tcPr>
          <w:p>
            <w:pPr>
              <w:pStyle w:val="TableParagraph"/>
              <w:spacing w:line="155" w:lineRule="exact"/>
              <w:ind w:left="89" w:right="96"/>
              <w:jc w:val="center"/>
              <w:rPr>
                <w:sz w:val="14"/>
              </w:rPr>
            </w:pPr>
            <w:r>
              <w:rPr>
                <w:color w:val="231F20"/>
                <w:sz w:val="14"/>
                <w:u w:val="single" w:color="231F20"/>
              </w:rPr>
              <w:t>Q1 </w:t>
            </w:r>
          </w:p>
        </w:tc>
        <w:tc>
          <w:tcPr>
            <w:tcW w:w="528" w:type="dxa"/>
          </w:tcPr>
          <w:p>
            <w:pPr>
              <w:pStyle w:val="TableParagraph"/>
              <w:spacing w:line="155" w:lineRule="exact"/>
              <w:ind w:left="113" w:right="126"/>
              <w:jc w:val="center"/>
              <w:rPr>
                <w:sz w:val="14"/>
              </w:rPr>
            </w:pPr>
            <w:r>
              <w:rPr>
                <w:color w:val="231F20"/>
                <w:sz w:val="14"/>
                <w:u w:val="single" w:color="231F20"/>
              </w:rPr>
              <w:t>Q2 </w:t>
            </w:r>
          </w:p>
        </w:tc>
        <w:tc>
          <w:tcPr>
            <w:tcW w:w="488" w:type="dxa"/>
          </w:tcPr>
          <w:p>
            <w:pPr>
              <w:pStyle w:val="TableParagraph"/>
              <w:spacing w:line="155" w:lineRule="exact"/>
              <w:ind w:left="73"/>
              <w:jc w:val="center"/>
              <w:rPr>
                <w:sz w:val="14"/>
              </w:rPr>
            </w:pPr>
            <w:r>
              <w:rPr>
                <w:color w:val="231F20"/>
                <w:sz w:val="14"/>
                <w:u w:val="single" w:color="231F20"/>
              </w:rPr>
              <w:t> Q3 </w:t>
            </w:r>
          </w:p>
        </w:tc>
      </w:tr>
      <w:tr>
        <w:trPr>
          <w:trHeight w:val="349" w:hRule="atLeast"/>
        </w:trPr>
        <w:tc>
          <w:tcPr>
            <w:tcW w:w="1723" w:type="dxa"/>
          </w:tcPr>
          <w:p>
            <w:pPr>
              <w:pStyle w:val="TableParagraph"/>
              <w:spacing w:line="150" w:lineRule="exact" w:before="56"/>
              <w:ind w:left="50"/>
              <w:rPr>
                <w:b/>
                <w:sz w:val="14"/>
              </w:rPr>
            </w:pPr>
            <w:r>
              <w:rPr>
                <w:b/>
                <w:color w:val="231F20"/>
                <w:sz w:val="14"/>
              </w:rPr>
              <w:t>Unit costs</w:t>
            </w:r>
          </w:p>
          <w:p>
            <w:pPr>
              <w:pStyle w:val="TableParagraph"/>
              <w:spacing w:line="123" w:lineRule="exact"/>
              <w:ind w:left="50"/>
              <w:rPr>
                <w:sz w:val="12"/>
              </w:rPr>
            </w:pPr>
            <w:r>
              <w:rPr>
                <w:color w:val="231F20"/>
                <w:sz w:val="14"/>
              </w:rPr>
              <w:t>Unit labour costs </w:t>
            </w:r>
            <w:r>
              <w:rPr>
                <w:color w:val="231F20"/>
                <w:sz w:val="12"/>
              </w:rPr>
              <w:t>(a)</w:t>
            </w:r>
          </w:p>
        </w:tc>
        <w:tc>
          <w:tcPr>
            <w:tcW w:w="465" w:type="dxa"/>
          </w:tcPr>
          <w:p>
            <w:pPr>
              <w:pStyle w:val="TableParagraph"/>
              <w:spacing w:before="1"/>
              <w:rPr>
                <w:sz w:val="17"/>
              </w:rPr>
            </w:pPr>
          </w:p>
          <w:p>
            <w:pPr>
              <w:pStyle w:val="TableParagraph"/>
              <w:spacing w:line="133" w:lineRule="exact"/>
              <w:ind w:left="101"/>
              <w:rPr>
                <w:sz w:val="14"/>
              </w:rPr>
            </w:pPr>
            <w:r>
              <w:rPr>
                <w:color w:val="231F20"/>
                <w:sz w:val="14"/>
              </w:rPr>
              <w:t>3.5</w:t>
            </w:r>
          </w:p>
        </w:tc>
        <w:tc>
          <w:tcPr>
            <w:tcW w:w="495" w:type="dxa"/>
          </w:tcPr>
          <w:p>
            <w:pPr>
              <w:pStyle w:val="TableParagraph"/>
              <w:spacing w:before="1"/>
              <w:rPr>
                <w:sz w:val="17"/>
              </w:rPr>
            </w:pPr>
          </w:p>
          <w:p>
            <w:pPr>
              <w:pStyle w:val="TableParagraph"/>
              <w:spacing w:line="133" w:lineRule="exact"/>
              <w:ind w:left="166"/>
              <w:rPr>
                <w:sz w:val="14"/>
              </w:rPr>
            </w:pPr>
            <w:r>
              <w:rPr>
                <w:color w:val="231F20"/>
                <w:sz w:val="14"/>
              </w:rPr>
              <w:t>5.8</w:t>
            </w:r>
          </w:p>
        </w:tc>
        <w:tc>
          <w:tcPr>
            <w:tcW w:w="503" w:type="dxa"/>
          </w:tcPr>
          <w:p>
            <w:pPr>
              <w:pStyle w:val="TableParagraph"/>
              <w:spacing w:before="1"/>
              <w:rPr>
                <w:sz w:val="17"/>
              </w:rPr>
            </w:pPr>
          </w:p>
          <w:p>
            <w:pPr>
              <w:pStyle w:val="TableParagraph"/>
              <w:spacing w:line="133" w:lineRule="exact"/>
              <w:ind w:left="142" w:right="47"/>
              <w:jc w:val="center"/>
              <w:rPr>
                <w:sz w:val="14"/>
              </w:rPr>
            </w:pPr>
            <w:r>
              <w:rPr>
                <w:color w:val="231F20"/>
                <w:sz w:val="14"/>
              </w:rPr>
              <w:t>0.3</w:t>
            </w:r>
          </w:p>
        </w:tc>
        <w:tc>
          <w:tcPr>
            <w:tcW w:w="528" w:type="dxa"/>
          </w:tcPr>
          <w:p>
            <w:pPr>
              <w:pStyle w:val="TableParagraph"/>
              <w:spacing w:before="1"/>
              <w:rPr>
                <w:sz w:val="17"/>
              </w:rPr>
            </w:pPr>
          </w:p>
          <w:p>
            <w:pPr>
              <w:pStyle w:val="TableParagraph"/>
              <w:spacing w:line="133" w:lineRule="exact"/>
              <w:ind w:left="113" w:right="109"/>
              <w:jc w:val="center"/>
              <w:rPr>
                <w:sz w:val="14"/>
              </w:rPr>
            </w:pPr>
            <w:r>
              <w:rPr>
                <w:color w:val="231F20"/>
                <w:sz w:val="14"/>
              </w:rPr>
              <w:t>0.7</w:t>
            </w:r>
          </w:p>
        </w:tc>
        <w:tc>
          <w:tcPr>
            <w:tcW w:w="488" w:type="dxa"/>
          </w:tcPr>
          <w:p>
            <w:pPr>
              <w:pStyle w:val="TableParagraph"/>
              <w:spacing w:before="1"/>
              <w:rPr>
                <w:sz w:val="17"/>
              </w:rPr>
            </w:pPr>
          </w:p>
          <w:p>
            <w:pPr>
              <w:pStyle w:val="TableParagraph"/>
              <w:spacing w:line="133" w:lineRule="exact"/>
              <w:ind w:left="82"/>
              <w:jc w:val="center"/>
              <w:rPr>
                <w:sz w:val="14"/>
              </w:rPr>
            </w:pPr>
            <w:r>
              <w:rPr>
                <w:color w:val="231F20"/>
                <w:sz w:val="14"/>
              </w:rPr>
              <w:t>-0.2</w:t>
            </w:r>
          </w:p>
        </w:tc>
      </w:tr>
      <w:tr>
        <w:trPr>
          <w:trHeight w:val="419" w:hRule="atLeast"/>
        </w:trPr>
        <w:tc>
          <w:tcPr>
            <w:tcW w:w="1723" w:type="dxa"/>
          </w:tcPr>
          <w:p>
            <w:pPr>
              <w:pStyle w:val="TableParagraph"/>
              <w:spacing w:line="140" w:lineRule="exact" w:before="5"/>
              <w:ind w:left="120" w:right="210" w:hanging="70"/>
              <w:rPr>
                <w:sz w:val="14"/>
              </w:rPr>
            </w:pPr>
            <w:r>
              <w:rPr>
                <w:color w:val="231F20"/>
                <w:sz w:val="14"/>
              </w:rPr>
              <w:t>Materials and fuels (including semi-finished manufactured imports)</w:t>
            </w:r>
          </w:p>
        </w:tc>
        <w:tc>
          <w:tcPr>
            <w:tcW w:w="465" w:type="dxa"/>
          </w:tcPr>
          <w:p>
            <w:pPr>
              <w:pStyle w:val="TableParagraph"/>
              <w:spacing w:before="2"/>
              <w:rPr>
                <w:sz w:val="23"/>
              </w:rPr>
            </w:pPr>
          </w:p>
          <w:p>
            <w:pPr>
              <w:pStyle w:val="TableParagraph"/>
              <w:spacing w:line="133" w:lineRule="exact"/>
              <w:ind w:left="32"/>
              <w:rPr>
                <w:sz w:val="14"/>
              </w:rPr>
            </w:pPr>
            <w:r>
              <w:rPr>
                <w:color w:val="231F20"/>
                <w:sz w:val="14"/>
              </w:rPr>
              <w:t>10.8</w:t>
            </w:r>
          </w:p>
        </w:tc>
        <w:tc>
          <w:tcPr>
            <w:tcW w:w="495" w:type="dxa"/>
          </w:tcPr>
          <w:p>
            <w:pPr>
              <w:pStyle w:val="TableParagraph"/>
              <w:spacing w:before="2"/>
              <w:rPr>
                <w:sz w:val="23"/>
              </w:rPr>
            </w:pPr>
          </w:p>
          <w:p>
            <w:pPr>
              <w:pStyle w:val="TableParagraph"/>
              <w:spacing w:line="133" w:lineRule="exact"/>
              <w:ind w:left="120"/>
              <w:rPr>
                <w:sz w:val="14"/>
              </w:rPr>
            </w:pPr>
            <w:r>
              <w:rPr>
                <w:color w:val="231F20"/>
                <w:sz w:val="14"/>
              </w:rPr>
              <w:t>-4.0</w:t>
            </w:r>
          </w:p>
        </w:tc>
        <w:tc>
          <w:tcPr>
            <w:tcW w:w="503" w:type="dxa"/>
          </w:tcPr>
          <w:p>
            <w:pPr>
              <w:pStyle w:val="TableParagraph"/>
              <w:spacing w:before="2"/>
              <w:rPr>
                <w:sz w:val="23"/>
              </w:rPr>
            </w:pPr>
          </w:p>
          <w:p>
            <w:pPr>
              <w:pStyle w:val="TableParagraph"/>
              <w:spacing w:line="133" w:lineRule="exact"/>
              <w:ind w:left="142" w:right="93"/>
              <w:jc w:val="center"/>
              <w:rPr>
                <w:sz w:val="14"/>
              </w:rPr>
            </w:pPr>
            <w:r>
              <w:rPr>
                <w:color w:val="231F20"/>
                <w:sz w:val="14"/>
              </w:rPr>
              <w:t>-2.2</w:t>
            </w:r>
          </w:p>
        </w:tc>
        <w:tc>
          <w:tcPr>
            <w:tcW w:w="528" w:type="dxa"/>
          </w:tcPr>
          <w:p>
            <w:pPr>
              <w:pStyle w:val="TableParagraph"/>
              <w:spacing w:before="2"/>
              <w:rPr>
                <w:sz w:val="23"/>
              </w:rPr>
            </w:pPr>
          </w:p>
          <w:p>
            <w:pPr>
              <w:pStyle w:val="TableParagraph"/>
              <w:spacing w:line="133" w:lineRule="exact"/>
              <w:ind w:left="113" w:right="152"/>
              <w:jc w:val="center"/>
              <w:rPr>
                <w:sz w:val="14"/>
              </w:rPr>
            </w:pPr>
            <w:r>
              <w:rPr>
                <w:color w:val="231F20"/>
                <w:sz w:val="14"/>
              </w:rPr>
              <w:t>-1.7</w:t>
            </w:r>
          </w:p>
        </w:tc>
        <w:tc>
          <w:tcPr>
            <w:tcW w:w="488" w:type="dxa"/>
          </w:tcPr>
          <w:p>
            <w:pPr>
              <w:pStyle w:val="TableParagraph"/>
              <w:spacing w:before="2"/>
              <w:rPr>
                <w:sz w:val="23"/>
              </w:rPr>
            </w:pPr>
          </w:p>
          <w:p>
            <w:pPr>
              <w:pStyle w:val="TableParagraph"/>
              <w:spacing w:line="133" w:lineRule="exact"/>
              <w:ind w:left="82"/>
              <w:jc w:val="center"/>
              <w:rPr>
                <w:sz w:val="14"/>
              </w:rPr>
            </w:pPr>
            <w:r>
              <w:rPr>
                <w:color w:val="231F20"/>
                <w:sz w:val="14"/>
              </w:rPr>
              <w:t>-0.7</w:t>
            </w:r>
          </w:p>
        </w:tc>
      </w:tr>
      <w:tr>
        <w:trPr>
          <w:trHeight w:val="275" w:hRule="atLeast"/>
        </w:trPr>
        <w:tc>
          <w:tcPr>
            <w:tcW w:w="1723" w:type="dxa"/>
          </w:tcPr>
          <w:p>
            <w:pPr>
              <w:pStyle w:val="TableParagraph"/>
              <w:spacing w:line="140" w:lineRule="exact"/>
              <w:ind w:left="120" w:right="579" w:hanging="70"/>
              <w:rPr>
                <w:sz w:val="14"/>
              </w:rPr>
            </w:pPr>
            <w:r>
              <w:rPr>
                <w:color w:val="231F20"/>
                <w:sz w:val="14"/>
              </w:rPr>
              <w:t>Imports of finished manufactures</w:t>
            </w:r>
          </w:p>
        </w:tc>
        <w:tc>
          <w:tcPr>
            <w:tcW w:w="465" w:type="dxa"/>
          </w:tcPr>
          <w:p>
            <w:pPr>
              <w:pStyle w:val="TableParagraph"/>
              <w:spacing w:line="133" w:lineRule="exact" w:before="121"/>
              <w:ind w:left="102"/>
              <w:rPr>
                <w:sz w:val="14"/>
              </w:rPr>
            </w:pPr>
            <w:r>
              <w:rPr>
                <w:color w:val="231F20"/>
                <w:sz w:val="14"/>
              </w:rPr>
              <w:t>8.6</w:t>
            </w:r>
          </w:p>
        </w:tc>
        <w:tc>
          <w:tcPr>
            <w:tcW w:w="495" w:type="dxa"/>
          </w:tcPr>
          <w:p>
            <w:pPr>
              <w:pStyle w:val="TableParagraph"/>
              <w:spacing w:line="133" w:lineRule="exact" w:before="121"/>
              <w:ind w:left="167"/>
              <w:rPr>
                <w:sz w:val="14"/>
              </w:rPr>
            </w:pPr>
            <w:r>
              <w:rPr>
                <w:color w:val="231F20"/>
                <w:sz w:val="14"/>
              </w:rPr>
              <w:t>0.7</w:t>
            </w:r>
          </w:p>
        </w:tc>
        <w:tc>
          <w:tcPr>
            <w:tcW w:w="503" w:type="dxa"/>
          </w:tcPr>
          <w:p>
            <w:pPr>
              <w:pStyle w:val="TableParagraph"/>
              <w:spacing w:line="133" w:lineRule="exact" w:before="121"/>
              <w:ind w:left="142" w:right="93"/>
              <w:jc w:val="center"/>
              <w:rPr>
                <w:sz w:val="14"/>
              </w:rPr>
            </w:pPr>
            <w:r>
              <w:rPr>
                <w:color w:val="231F20"/>
                <w:sz w:val="14"/>
              </w:rPr>
              <w:t>-1.9</w:t>
            </w:r>
          </w:p>
        </w:tc>
        <w:tc>
          <w:tcPr>
            <w:tcW w:w="528" w:type="dxa"/>
          </w:tcPr>
          <w:p>
            <w:pPr>
              <w:pStyle w:val="TableParagraph"/>
              <w:spacing w:line="133" w:lineRule="exact" w:before="121"/>
              <w:ind w:left="113" w:right="152"/>
              <w:jc w:val="center"/>
              <w:rPr>
                <w:sz w:val="14"/>
              </w:rPr>
            </w:pPr>
            <w:r>
              <w:rPr>
                <w:color w:val="231F20"/>
                <w:sz w:val="14"/>
              </w:rPr>
              <w:t>-2.1</w:t>
            </w:r>
          </w:p>
        </w:tc>
        <w:tc>
          <w:tcPr>
            <w:tcW w:w="488" w:type="dxa"/>
          </w:tcPr>
          <w:p>
            <w:pPr>
              <w:pStyle w:val="TableParagraph"/>
              <w:spacing w:line="133" w:lineRule="exact" w:before="121"/>
              <w:ind w:left="82"/>
              <w:jc w:val="center"/>
              <w:rPr>
                <w:sz w:val="14"/>
              </w:rPr>
            </w:pPr>
            <w:r>
              <w:rPr>
                <w:color w:val="231F20"/>
                <w:sz w:val="14"/>
              </w:rPr>
              <w:t>-1.2</w:t>
            </w:r>
          </w:p>
        </w:tc>
      </w:tr>
      <w:tr>
        <w:trPr>
          <w:trHeight w:val="205" w:hRule="atLeast"/>
        </w:trPr>
        <w:tc>
          <w:tcPr>
            <w:tcW w:w="1723" w:type="dxa"/>
          </w:tcPr>
          <w:p>
            <w:pPr>
              <w:pStyle w:val="TableParagraph"/>
              <w:spacing w:line="142" w:lineRule="exact"/>
              <w:ind w:left="50"/>
              <w:rPr>
                <w:sz w:val="14"/>
              </w:rPr>
            </w:pPr>
            <w:r>
              <w:rPr>
                <w:color w:val="231F20"/>
                <w:sz w:val="14"/>
              </w:rPr>
              <w:t>Services</w:t>
            </w:r>
          </w:p>
        </w:tc>
        <w:tc>
          <w:tcPr>
            <w:tcW w:w="465" w:type="dxa"/>
          </w:tcPr>
          <w:p>
            <w:pPr>
              <w:pStyle w:val="TableParagraph"/>
              <w:spacing w:line="142" w:lineRule="exact"/>
              <w:ind w:left="102"/>
              <w:rPr>
                <w:sz w:val="14"/>
              </w:rPr>
            </w:pPr>
            <w:r>
              <w:rPr>
                <w:color w:val="231F20"/>
                <w:sz w:val="14"/>
              </w:rPr>
              <w:t>2.0</w:t>
            </w:r>
          </w:p>
        </w:tc>
        <w:tc>
          <w:tcPr>
            <w:tcW w:w="495" w:type="dxa"/>
          </w:tcPr>
          <w:p>
            <w:pPr>
              <w:pStyle w:val="TableParagraph"/>
              <w:spacing w:line="142" w:lineRule="exact"/>
              <w:ind w:left="167"/>
              <w:rPr>
                <w:sz w:val="14"/>
              </w:rPr>
            </w:pPr>
            <w:r>
              <w:rPr>
                <w:color w:val="231F20"/>
                <w:sz w:val="14"/>
              </w:rPr>
              <w:t>2.8</w:t>
            </w:r>
          </w:p>
        </w:tc>
        <w:tc>
          <w:tcPr>
            <w:tcW w:w="503" w:type="dxa"/>
          </w:tcPr>
          <w:p>
            <w:pPr>
              <w:pStyle w:val="TableParagraph"/>
              <w:spacing w:line="142" w:lineRule="exact"/>
              <w:ind w:left="142" w:right="46"/>
              <w:jc w:val="center"/>
              <w:rPr>
                <w:sz w:val="14"/>
              </w:rPr>
            </w:pPr>
            <w:r>
              <w:rPr>
                <w:color w:val="231F20"/>
                <w:sz w:val="14"/>
              </w:rPr>
              <w:t>0.5</w:t>
            </w:r>
          </w:p>
        </w:tc>
        <w:tc>
          <w:tcPr>
            <w:tcW w:w="528" w:type="dxa"/>
          </w:tcPr>
          <w:p>
            <w:pPr>
              <w:pStyle w:val="TableParagraph"/>
              <w:spacing w:line="142" w:lineRule="exact"/>
              <w:ind w:left="113" w:right="108"/>
              <w:jc w:val="center"/>
              <w:rPr>
                <w:sz w:val="14"/>
              </w:rPr>
            </w:pPr>
            <w:r>
              <w:rPr>
                <w:color w:val="231F20"/>
                <w:sz w:val="14"/>
              </w:rPr>
              <w:t>0.4</w:t>
            </w:r>
          </w:p>
        </w:tc>
        <w:tc>
          <w:tcPr>
            <w:tcW w:w="488" w:type="dxa"/>
          </w:tcPr>
          <w:p>
            <w:pPr>
              <w:pStyle w:val="TableParagraph"/>
              <w:spacing w:line="142" w:lineRule="exact"/>
              <w:ind w:left="129"/>
              <w:jc w:val="center"/>
              <w:rPr>
                <w:sz w:val="14"/>
              </w:rPr>
            </w:pPr>
            <w:r>
              <w:rPr>
                <w:color w:val="231F20"/>
                <w:sz w:val="14"/>
              </w:rPr>
              <w:t>0.8</w:t>
            </w:r>
          </w:p>
        </w:tc>
      </w:tr>
      <w:tr>
        <w:trPr>
          <w:trHeight w:val="280" w:hRule="atLeast"/>
        </w:trPr>
        <w:tc>
          <w:tcPr>
            <w:tcW w:w="1723" w:type="dxa"/>
          </w:tcPr>
          <w:p>
            <w:pPr>
              <w:pStyle w:val="TableParagraph"/>
              <w:spacing w:before="56"/>
              <w:ind w:left="50"/>
              <w:rPr>
                <w:b/>
                <w:sz w:val="14"/>
              </w:rPr>
            </w:pPr>
            <w:r>
              <w:rPr>
                <w:b/>
                <w:color w:val="231F20"/>
                <w:sz w:val="14"/>
              </w:rPr>
              <w:t>Weighted costs</w:t>
            </w:r>
          </w:p>
        </w:tc>
        <w:tc>
          <w:tcPr>
            <w:tcW w:w="465" w:type="dxa"/>
          </w:tcPr>
          <w:p>
            <w:pPr>
              <w:pStyle w:val="TableParagraph"/>
              <w:spacing w:before="56"/>
              <w:ind w:left="102"/>
              <w:rPr>
                <w:b/>
                <w:sz w:val="14"/>
              </w:rPr>
            </w:pPr>
            <w:r>
              <w:rPr>
                <w:b/>
                <w:color w:val="231F20"/>
                <w:sz w:val="14"/>
              </w:rPr>
              <w:t>5.3</w:t>
            </w:r>
          </w:p>
        </w:tc>
        <w:tc>
          <w:tcPr>
            <w:tcW w:w="495" w:type="dxa"/>
          </w:tcPr>
          <w:p>
            <w:pPr>
              <w:pStyle w:val="TableParagraph"/>
              <w:spacing w:before="56"/>
              <w:ind w:left="167"/>
              <w:rPr>
                <w:b/>
                <w:sz w:val="14"/>
              </w:rPr>
            </w:pPr>
            <w:r>
              <w:rPr>
                <w:b/>
                <w:color w:val="231F20"/>
                <w:sz w:val="14"/>
              </w:rPr>
              <w:t>2.4</w:t>
            </w:r>
          </w:p>
        </w:tc>
        <w:tc>
          <w:tcPr>
            <w:tcW w:w="503" w:type="dxa"/>
          </w:tcPr>
          <w:p>
            <w:pPr>
              <w:pStyle w:val="TableParagraph"/>
              <w:spacing w:before="56"/>
              <w:ind w:left="142" w:right="93"/>
              <w:jc w:val="center"/>
              <w:rPr>
                <w:b/>
                <w:sz w:val="14"/>
              </w:rPr>
            </w:pPr>
            <w:r>
              <w:rPr>
                <w:b/>
                <w:color w:val="231F20"/>
                <w:sz w:val="14"/>
              </w:rPr>
              <w:t>-0.4</w:t>
            </w:r>
          </w:p>
        </w:tc>
        <w:tc>
          <w:tcPr>
            <w:tcW w:w="528" w:type="dxa"/>
          </w:tcPr>
          <w:p>
            <w:pPr>
              <w:pStyle w:val="TableParagraph"/>
              <w:spacing w:before="56"/>
              <w:ind w:left="113" w:right="152"/>
              <w:jc w:val="center"/>
              <w:rPr>
                <w:b/>
                <w:sz w:val="14"/>
              </w:rPr>
            </w:pPr>
            <w:r>
              <w:rPr>
                <w:b/>
                <w:color w:val="231F20"/>
                <w:sz w:val="14"/>
              </w:rPr>
              <w:t>-0.2</w:t>
            </w:r>
          </w:p>
        </w:tc>
        <w:tc>
          <w:tcPr>
            <w:tcW w:w="488" w:type="dxa"/>
          </w:tcPr>
          <w:p>
            <w:pPr>
              <w:pStyle w:val="TableParagraph"/>
              <w:spacing w:before="56"/>
              <w:ind w:left="82"/>
              <w:jc w:val="center"/>
              <w:rPr>
                <w:b/>
                <w:sz w:val="14"/>
              </w:rPr>
            </w:pPr>
            <w:r>
              <w:rPr>
                <w:b/>
                <w:color w:val="231F20"/>
                <w:sz w:val="14"/>
              </w:rPr>
              <w:t>-0.2</w:t>
            </w:r>
          </w:p>
        </w:tc>
      </w:tr>
      <w:tr>
        <w:trPr>
          <w:trHeight w:val="217" w:hRule="atLeast"/>
        </w:trPr>
        <w:tc>
          <w:tcPr>
            <w:tcW w:w="1723" w:type="dxa"/>
          </w:tcPr>
          <w:p>
            <w:pPr>
              <w:pStyle w:val="TableParagraph"/>
              <w:spacing w:line="141" w:lineRule="exact" w:before="56"/>
              <w:ind w:left="50"/>
              <w:rPr>
                <w:sz w:val="12"/>
              </w:rPr>
            </w:pPr>
            <w:r>
              <w:rPr>
                <w:b/>
                <w:color w:val="231F20"/>
                <w:sz w:val="14"/>
              </w:rPr>
              <w:t>Output prices </w:t>
            </w:r>
            <w:r>
              <w:rPr>
                <w:color w:val="231F20"/>
                <w:sz w:val="12"/>
              </w:rPr>
              <w:t>(b)</w:t>
            </w:r>
          </w:p>
        </w:tc>
        <w:tc>
          <w:tcPr>
            <w:tcW w:w="465" w:type="dxa"/>
          </w:tcPr>
          <w:p>
            <w:pPr>
              <w:pStyle w:val="TableParagraph"/>
              <w:spacing w:line="141" w:lineRule="exact" w:before="56"/>
              <w:ind w:left="101"/>
              <w:rPr>
                <w:b/>
                <w:sz w:val="14"/>
              </w:rPr>
            </w:pPr>
            <w:r>
              <w:rPr>
                <w:b/>
                <w:color w:val="231F20"/>
                <w:sz w:val="14"/>
              </w:rPr>
              <w:t>4.5</w:t>
            </w:r>
          </w:p>
        </w:tc>
        <w:tc>
          <w:tcPr>
            <w:tcW w:w="495" w:type="dxa"/>
          </w:tcPr>
          <w:p>
            <w:pPr>
              <w:pStyle w:val="TableParagraph"/>
              <w:spacing w:line="141" w:lineRule="exact" w:before="56"/>
              <w:ind w:left="166"/>
              <w:rPr>
                <w:b/>
                <w:sz w:val="14"/>
              </w:rPr>
            </w:pPr>
            <w:r>
              <w:rPr>
                <w:b/>
                <w:color w:val="231F20"/>
                <w:sz w:val="14"/>
              </w:rPr>
              <w:t>1.9</w:t>
            </w:r>
          </w:p>
        </w:tc>
        <w:tc>
          <w:tcPr>
            <w:tcW w:w="503" w:type="dxa"/>
          </w:tcPr>
          <w:p>
            <w:pPr>
              <w:pStyle w:val="TableParagraph"/>
              <w:spacing w:line="141" w:lineRule="exact" w:before="56"/>
              <w:ind w:left="142" w:right="47"/>
              <w:jc w:val="center"/>
              <w:rPr>
                <w:b/>
                <w:sz w:val="14"/>
              </w:rPr>
            </w:pPr>
            <w:r>
              <w:rPr>
                <w:b/>
                <w:color w:val="231F20"/>
                <w:sz w:val="14"/>
              </w:rPr>
              <w:t>0.1</w:t>
            </w:r>
          </w:p>
        </w:tc>
        <w:tc>
          <w:tcPr>
            <w:tcW w:w="528" w:type="dxa"/>
          </w:tcPr>
          <w:p>
            <w:pPr>
              <w:pStyle w:val="TableParagraph"/>
              <w:spacing w:line="141" w:lineRule="exact" w:before="56"/>
              <w:ind w:left="113" w:right="109"/>
              <w:jc w:val="center"/>
              <w:rPr>
                <w:b/>
                <w:sz w:val="14"/>
              </w:rPr>
            </w:pPr>
            <w:r>
              <w:rPr>
                <w:b/>
                <w:color w:val="231F20"/>
                <w:sz w:val="14"/>
              </w:rPr>
              <w:t>0.2</w:t>
            </w:r>
          </w:p>
        </w:tc>
        <w:tc>
          <w:tcPr>
            <w:tcW w:w="488" w:type="dxa"/>
          </w:tcPr>
          <w:p>
            <w:pPr>
              <w:pStyle w:val="TableParagraph"/>
              <w:spacing w:line="141" w:lineRule="exact" w:before="56"/>
              <w:ind w:left="128"/>
              <w:jc w:val="center"/>
              <w:rPr>
                <w:b/>
                <w:sz w:val="14"/>
              </w:rPr>
            </w:pPr>
            <w:r>
              <w:rPr>
                <w:b/>
                <w:color w:val="231F20"/>
                <w:sz w:val="14"/>
              </w:rPr>
              <w:t>0.2</w:t>
            </w:r>
          </w:p>
        </w:tc>
      </w:tr>
    </w:tbl>
    <w:p>
      <w:pPr>
        <w:spacing w:before="117"/>
        <w:ind w:left="165" w:right="0" w:firstLine="0"/>
        <w:jc w:val="left"/>
        <w:rPr>
          <w:sz w:val="12"/>
        </w:rPr>
      </w:pPr>
      <w:r>
        <w:rPr>
          <w:color w:val="231F20"/>
          <w:sz w:val="12"/>
        </w:rPr>
        <w:t>Sources: ONS and Bank of England.</w:t>
      </w:r>
    </w:p>
    <w:p>
      <w:pPr>
        <w:pStyle w:val="ListParagraph"/>
        <w:numPr>
          <w:ilvl w:val="0"/>
          <w:numId w:val="33"/>
        </w:numPr>
        <w:tabs>
          <w:tab w:pos="405" w:val="left" w:leader="none"/>
        </w:tabs>
        <w:spacing w:line="129" w:lineRule="exact" w:before="102" w:after="0"/>
        <w:ind w:left="405" w:right="0" w:hanging="240"/>
        <w:jc w:val="left"/>
        <w:rPr>
          <w:sz w:val="12"/>
        </w:rPr>
      </w:pPr>
      <w:r>
        <w:rPr>
          <w:color w:val="231F20"/>
          <w:sz w:val="12"/>
        </w:rPr>
        <w:t>1997 Q3 figure includes estimate for September.</w:t>
      </w:r>
    </w:p>
    <w:p>
      <w:pPr>
        <w:pStyle w:val="ListParagraph"/>
        <w:numPr>
          <w:ilvl w:val="0"/>
          <w:numId w:val="33"/>
        </w:numPr>
        <w:tabs>
          <w:tab w:pos="405" w:val="left" w:leader="none"/>
        </w:tabs>
        <w:spacing w:line="129" w:lineRule="exact" w:before="0" w:after="0"/>
        <w:ind w:left="405" w:right="0" w:hanging="240"/>
        <w:jc w:val="left"/>
        <w:rPr>
          <w:sz w:val="12"/>
        </w:rPr>
      </w:pPr>
      <w:r>
        <w:rPr>
          <w:color w:val="231F20"/>
          <w:sz w:val="12"/>
        </w:rPr>
        <w:t>Domestic sales.</w:t>
      </w:r>
    </w:p>
    <w:p>
      <w:pPr>
        <w:pStyle w:val="BodyText"/>
        <w:rPr>
          <w:sz w:val="12"/>
        </w:rPr>
      </w:pPr>
    </w:p>
    <w:p>
      <w:pPr>
        <w:pStyle w:val="BodyText"/>
        <w:rPr>
          <w:sz w:val="12"/>
        </w:rPr>
      </w:pPr>
    </w:p>
    <w:p>
      <w:pPr>
        <w:pStyle w:val="BodyText"/>
        <w:rPr>
          <w:sz w:val="12"/>
        </w:rPr>
      </w:pPr>
    </w:p>
    <w:p>
      <w:pPr>
        <w:pStyle w:val="Heading9"/>
        <w:spacing w:line="249" w:lineRule="auto" w:before="104"/>
        <w:ind w:right="3277"/>
        <w:rPr>
          <w:b w:val="0"/>
          <w:sz w:val="12"/>
        </w:rPr>
      </w:pPr>
      <w:r>
        <w:rPr>
          <w:color w:val="0093C1"/>
        </w:rPr>
        <w:t>Chart 5.8 Inflation</w:t>
      </w:r>
      <w:r>
        <w:rPr>
          <w:b w:val="0"/>
          <w:color w:val="231F20"/>
          <w:position w:val="4"/>
          <w:sz w:val="12"/>
        </w:rPr>
        <w:t>(a)</w:t>
      </w:r>
    </w:p>
    <w:p>
      <w:pPr>
        <w:spacing w:before="56"/>
        <w:ind w:left="1380" w:right="0" w:firstLine="0"/>
        <w:jc w:val="left"/>
        <w:rPr>
          <w:sz w:val="12"/>
        </w:rPr>
      </w:pPr>
      <w:r>
        <w:rPr>
          <w:sz w:val="12"/>
        </w:rPr>
        <w:t>Percentage increases in prices on a year earlier</w:t>
      </w:r>
    </w:p>
    <w:p>
      <w:pPr>
        <w:spacing w:before="32"/>
        <w:ind w:left="3700" w:right="0" w:firstLine="0"/>
        <w:jc w:val="left"/>
        <w:rPr>
          <w:sz w:val="12"/>
        </w:rPr>
      </w:pPr>
      <w:r>
        <w:rPr/>
        <w:pict>
          <v:line style="position:absolute;mso-position-horizontal-relative:page;mso-position-vertical-relative:paragraph;z-index:16062976" from="49.5pt,5.201562pt" to="44.5pt,5.201562pt" stroked="true" strokeweight=".5pt" strokecolor="#000000">
            <v:stroke dashstyle="solid"/>
            <w10:wrap type="none"/>
          </v:line>
        </w:pict>
      </w:r>
      <w:r>
        <w:rPr/>
        <w:pict>
          <v:group style="position:absolute;margin-left:54pt;margin-top:4.951562pt;width:159.5pt;height:120.75pt;mso-position-horizontal-relative:page;mso-position-vertical-relative:paragraph;z-index:16064512" coordorigin="1080,99" coordsize="3190,2415">
            <v:shape style="position:absolute;left:1090;top:924;width:3000;height:1580" coordorigin="1090,924" coordsize="3000,1580" path="m1090,1024l1130,1044,1170,1084,1210,964,1270,924,1310,1164,1390,1324,1490,1324,1530,1604,1570,1824,1610,2264,1650,2184,1710,2144,1750,2464,1790,2464,1830,2504,1870,2424,1930,2244m1930,2244l1970,2204,2010,2424,2050,2424,2110,2144,2150,1884,2230,1964,2270,1824,2330,1824,2370,1784,2410,1924,2450,1904,2510,2024,2550,1904,2590,1804,2630,1664,2670,1444,2730,1384,2770,1324m2770,1324l2810,1444,2850,1384,2890,1344,2950,1344,2990,1304,3030,1164,3070,1524,3110,1564,3170,1504,3210,1664,3250,1784,3290,1784,3330,1904,3390,2044,3430,2044,3470,2004,3510,2044,3570,2044,3610,1784m3610,1784l3650,1744,3690,1884,3750,1704,3790,1744,3870,1904,3910,1804,3970,1644,4010,1424,4050,1344,4090,1324e" filled="false" stroked="true" strokeweight="1pt" strokecolor="#0066a5">
              <v:path arrowok="t"/>
              <v:stroke dashstyle="solid"/>
            </v:shape>
            <v:shape style="position:absolute;left:1090;top:244;width:3000;height:1880" coordorigin="1090,244" coordsize="3000,1880" path="m1090,284l1130,304,1170,244,1210,244,1270,444,1310,704,1350,884,1390,1024,1430,1104,1490,1184,1530,1304,1570,1264,1610,1484,1650,1424,1710,1364,1750,1684,1790,1684,1830,1724,1870,1684,1930,1524m1930,1524l1970,1464,2010,1684,2050,1844,2110,1764,2150,1684,2190,1704,2230,1884,2270,1924,2330,1864,2370,1904,2410,2004,2450,1984,2510,2084,2550,2124,2590,1984,2630,1884,2670,1724,2730,1744,2770,1664m2770,1664l2810,1744,2850,1764,2890,1684,2950,1724,2990,1644,3030,1544,3070,1644,3110,1644,3170,1624,3210,1684,3250,1704,3290,1664,3330,1684,3390,1724,3430,1724,3470,1684,3510,1684,3570,1644,3610,1464m3610,1464l3650,1464,3690,1564,3750,1564,3790,1664,3830,1784,3870,1864,3910,1864,3970,1764,4010,1624,4050,1704,4090,1744e" filled="false" stroked="true" strokeweight="1pt" strokecolor="#ed1b2d">
              <v:path arrowok="t"/>
              <v:stroke dashstyle="solid"/>
            </v:shape>
            <v:shape style="position:absolute;left:1090;top:144;width:3000;height:2360" coordorigin="1090,144" coordsize="3000,2360" path="m1090,184l1130,244,1170,144,1210,444,1270,624,1310,884,1350,1064,1390,1344,1430,1384,1490,1484,1530,1644,1570,1604,1610,1824,1650,1684,1710,1664,1750,1624,1790,1624,1830,1744,1870,1704,1930,1444m1930,1444l1970,1384,2010,1664,2050,1824,2110,2004,2150,1904,2190,1984,2230,2164,2270,2284,2330,2284,2370,2244,2410,2384,2450,2404,2550,2504,2590,2404,2630,2204,2670,2164,2730,2184,2770,2104m2770,2104l2810,2084,2850,2024,2890,1984,2950,1964,2990,1864,3030,1804,3070,1904,3110,1904,3170,1884,3250,1884,3290,1844,3330,1824,3390,1924,3470,1924,3510,1904,3570,1844,3610,1624m3610,1624l3650,1584,3690,1764,3750,1724,3790,1844,3830,1944,3870,2124,3910,2124,3970,2004,4010,1984,4050,2064,4090,2104e" filled="false" stroked="true" strokeweight="1pt" strokecolor="#95459a">
              <v:path arrowok="t"/>
              <v:stroke dashstyle="solid"/>
            </v:shape>
            <v:shape style="position:absolute;left:4170;top:104;width:100;height:2000" coordorigin="4170,104" coordsize="100,2000" path="m4270,2104l4170,2104m4270,1604l4170,1604m4270,1104l4170,1104m4270,604l4170,604m4270,104l4170,104e" filled="false" stroked="true" strokeweight=".5pt" strokecolor="#000000">
              <v:path arrowok="t"/>
              <v:stroke dashstyle="solid"/>
            </v:shape>
            <v:shape style="position:absolute;left:2700;top:1127;width:294;height:493" type="#_x0000_t202" filled="false" stroked="false">
              <v:textbox inset="0,0,0,0">
                <w:txbxContent>
                  <w:p>
                    <w:pPr>
                      <w:spacing w:line="133" w:lineRule="exact" w:before="0"/>
                      <w:ind w:left="60" w:right="0" w:firstLine="0"/>
                      <w:jc w:val="left"/>
                      <w:rPr>
                        <w:sz w:val="12"/>
                      </w:rPr>
                    </w:pPr>
                    <w:r>
                      <w:rPr>
                        <w:sz w:val="12"/>
                      </w:rPr>
                      <w:t>RPI</w:t>
                    </w:r>
                  </w:p>
                  <w:p>
                    <w:pPr>
                      <w:spacing w:line="240" w:lineRule="auto" w:before="0"/>
                      <w:rPr>
                        <w:sz w:val="12"/>
                      </w:rPr>
                    </w:pPr>
                  </w:p>
                  <w:p>
                    <w:pPr>
                      <w:spacing w:before="84"/>
                      <w:ind w:left="0" w:right="0" w:firstLine="0"/>
                      <w:jc w:val="left"/>
                      <w:rPr>
                        <w:sz w:val="12"/>
                      </w:rPr>
                    </w:pPr>
                    <w:r>
                      <w:rPr>
                        <w:sz w:val="12"/>
                      </w:rPr>
                      <w:t>RPIX</w:t>
                    </w:r>
                  </w:p>
                </w:txbxContent>
              </v:textbox>
              <w10:wrap type="none"/>
            </v:shape>
            <v:shape style="position:absolute;left:2760;top:2167;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6</w:t>
      </w:r>
    </w:p>
    <w:p>
      <w:pPr>
        <w:pStyle w:val="BodyText"/>
        <w:rPr>
          <w:sz w:val="12"/>
        </w:rPr>
      </w:pPr>
    </w:p>
    <w:p>
      <w:pPr>
        <w:pStyle w:val="BodyText"/>
        <w:rPr>
          <w:sz w:val="12"/>
        </w:rPr>
      </w:pPr>
    </w:p>
    <w:p>
      <w:pPr>
        <w:spacing w:before="86"/>
        <w:ind w:left="3700" w:right="0" w:firstLine="0"/>
        <w:jc w:val="left"/>
        <w:rPr>
          <w:sz w:val="12"/>
        </w:rPr>
      </w:pPr>
      <w:r>
        <w:rPr/>
        <w:pict>
          <v:line style="position:absolute;mso-position-horizontal-relative:page;mso-position-vertical-relative:paragraph;z-index:16062464" from="49.5pt,7.901563pt" to="44.5pt,7.90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3700" w:right="0" w:firstLine="0"/>
        <w:jc w:val="left"/>
        <w:rPr>
          <w:sz w:val="12"/>
        </w:rPr>
      </w:pPr>
      <w:r>
        <w:rPr/>
        <w:pict>
          <v:line style="position:absolute;mso-position-horizontal-relative:page;mso-position-vertical-relative:paragraph;z-index:16061952" from="49.5pt,7.901563pt" to="44.5pt,7.9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3700" w:right="0" w:firstLine="0"/>
        <w:jc w:val="left"/>
        <w:rPr>
          <w:sz w:val="12"/>
        </w:rPr>
      </w:pPr>
      <w:r>
        <w:rPr/>
        <w:pict>
          <v:line style="position:absolute;mso-position-horizontal-relative:page;mso-position-vertical-relative:paragraph;z-index:16061440" from="49.5pt,7.901563pt" to="44.5pt,7.901563pt" stroked="true" strokeweight=".5pt" strokecolor="#000000">
            <v:stroke dashstyle="solid"/>
            <w10:wrap type="none"/>
          </v:line>
        </w:pict>
      </w:r>
      <w:r>
        <w:rPr>
          <w:sz w:val="12"/>
        </w:rPr>
        <w:t>3</w:t>
      </w:r>
    </w:p>
    <w:p>
      <w:pPr>
        <w:pStyle w:val="BodyText"/>
        <w:rPr>
          <w:sz w:val="12"/>
        </w:rPr>
      </w:pPr>
    </w:p>
    <w:p>
      <w:pPr>
        <w:pStyle w:val="BodyText"/>
        <w:rPr>
          <w:sz w:val="12"/>
        </w:rPr>
      </w:pPr>
    </w:p>
    <w:p>
      <w:pPr>
        <w:spacing w:before="86"/>
        <w:ind w:left="3700" w:right="0" w:firstLine="0"/>
        <w:jc w:val="left"/>
        <w:rPr>
          <w:sz w:val="12"/>
        </w:rPr>
      </w:pPr>
      <w:r>
        <w:rPr/>
        <w:pict>
          <v:line style="position:absolute;mso-position-horizontal-relative:page;mso-position-vertical-relative:paragraph;z-index:16060928" from="49.5pt,7.901563pt" to="44.5pt,7.9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3720" w:right="0" w:firstLine="0"/>
        <w:jc w:val="left"/>
        <w:rPr>
          <w:sz w:val="12"/>
        </w:rPr>
      </w:pPr>
      <w:r>
        <w:rPr/>
        <w:pict>
          <v:line style="position:absolute;mso-position-horizontal-relative:page;mso-position-vertical-relative:paragraph;z-index:16060416" from="49.5pt,7.901563pt" to="44.5pt,7.901563pt" stroked="true" strokeweight=".5pt" strokecolor="#000000">
            <v:stroke dashstyle="solid"/>
            <w10:wrap type="none"/>
          </v:line>
        </w:pict>
      </w:r>
      <w:r>
        <w:rPr/>
        <w:pict>
          <v:line style="position:absolute;mso-position-horizontal-relative:page;mso-position-vertical-relative:paragraph;z-index:16066048" from="213.5pt,7.901563pt" to="208.5pt,7.90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124" w:lineRule="exact" w:before="87"/>
        <w:ind w:left="3700" w:right="0" w:firstLine="0"/>
        <w:jc w:val="left"/>
        <w:rPr>
          <w:sz w:val="12"/>
        </w:rPr>
      </w:pPr>
      <w:r>
        <w:rPr/>
        <w:pict>
          <v:line style="position:absolute;mso-position-horizontal-relative:page;mso-position-vertical-relative:paragraph;z-index:16059904" from="49.5pt,7.951562pt" to="44.5pt,7.951562pt" stroked="true" strokeweight=".5pt" strokecolor="#000000">
            <v:stroke dashstyle="solid"/>
            <w10:wrap type="none"/>
          </v:line>
        </w:pict>
      </w:r>
      <w:r>
        <w:rPr/>
        <w:pict>
          <v:shape style="position:absolute;margin-left:54.5pt;margin-top:3.951562pt;width:150pt;height:4pt;mso-position-horizontal-relative:page;mso-position-vertical-relative:paragraph;z-index:16065024" coordorigin="1090,79" coordsize="3000,80" path="m1090,159l4090,159m1090,159l1090,119m1210,159l1210,119m1350,159l1350,119m1470,159l1470,119m1610,159l1610,119m1750,159l1750,119m1870,159l1870,119m2010,159l2010,119m2150,159l2150,119m2270,159l2270,119m2410,159l2410,119m2550,159l2550,119m2670,159l2670,119m2810,159l2810,119m2930,159l2930,119m3070,159l3070,119m3210,159l3210,119m3350,159l3350,119m3470,159l3470,119m3610,159l3610,119m3730,159l3730,119m3870,159l3870,119m4010,159l4010,119m1090,159l1090,79m1610,159l1610,79m2150,159l2150,79m2670,159l2670,79m3210,159l3210,79m3730,159l3730,79e" filled="false" stroked="true" strokeweight=".5pt" strokecolor="#000000">
            <v:path arrowok="t"/>
            <v:stroke dashstyle="solid"/>
            <w10:wrap type="none"/>
          </v:shape>
        </w:pict>
      </w:r>
      <w:r>
        <w:rPr/>
        <w:pict>
          <v:line style="position:absolute;mso-position-horizontal-relative:page;mso-position-vertical-relative:paragraph;z-index:16065536" from="213.5pt,7.951562pt" to="208.5pt,7.951562pt" stroked="true" strokeweight=".5pt" strokecolor="#000000">
            <v:stroke dashstyle="solid"/>
            <w10:wrap type="none"/>
          </v:line>
        </w:pict>
      </w:r>
      <w:r>
        <w:rPr>
          <w:sz w:val="12"/>
        </w:rPr>
        <w:t>0</w:t>
      </w:r>
    </w:p>
    <w:p>
      <w:pPr>
        <w:tabs>
          <w:tab w:pos="1179" w:val="left" w:leader="none"/>
          <w:tab w:pos="1719" w:val="left" w:leader="none"/>
          <w:tab w:pos="2239" w:val="left" w:leader="none"/>
          <w:tab w:pos="2779" w:val="left" w:leader="none"/>
          <w:tab w:pos="3239" w:val="left" w:leader="none"/>
        </w:tabs>
        <w:spacing w:line="124" w:lineRule="exact" w:before="0"/>
        <w:ind w:left="600" w:right="0" w:firstLine="0"/>
        <w:jc w:val="left"/>
        <w:rPr>
          <w:sz w:val="12"/>
        </w:rPr>
      </w:pPr>
      <w:r>
        <w:rPr>
          <w:sz w:val="12"/>
        </w:rPr>
        <w:t>1992</w:t>
        <w:tab/>
        <w:t>93</w:t>
        <w:tab/>
        <w:t>94</w:t>
        <w:tab/>
        <w:t>95</w:t>
        <w:tab/>
        <w:t>96</w:t>
        <w:tab/>
        <w:t>97</w:t>
      </w:r>
    </w:p>
    <w:p>
      <w:pPr>
        <w:pStyle w:val="BodyText"/>
        <w:rPr>
          <w:sz w:val="12"/>
        </w:rPr>
      </w:pPr>
    </w:p>
    <w:p>
      <w:pPr>
        <w:spacing w:line="208" w:lineRule="auto" w:before="82"/>
        <w:ind w:left="160" w:right="881" w:firstLine="0"/>
        <w:jc w:val="left"/>
        <w:rPr>
          <w:sz w:val="12"/>
        </w:rPr>
      </w:pPr>
      <w:r>
        <w:rPr>
          <w:color w:val="231F20"/>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399" w:right="480"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Heading5"/>
        <w:spacing w:line="242" w:lineRule="auto" w:before="207"/>
        <w:ind w:left="115"/>
      </w:pPr>
      <w:r>
        <w:rPr/>
        <w:br w:type="column"/>
      </w:r>
      <w:r>
        <w:rPr>
          <w:color w:val="231F20"/>
        </w:rPr>
        <w:t>The twelve-month headline rate of manufacturing output price inflation and the rate for output prices excluding excise duties (PPIY) both fell by 0.1 percentage points in September, to 1.4% and 0.4% respectively (see</w:t>
      </w:r>
    </w:p>
    <w:p>
      <w:pPr>
        <w:spacing w:line="242" w:lineRule="auto" w:before="5"/>
        <w:ind w:left="115" w:right="217" w:firstLine="0"/>
        <w:jc w:val="left"/>
        <w:rPr>
          <w:sz w:val="24"/>
        </w:rPr>
      </w:pPr>
      <w:r>
        <w:rPr>
          <w:color w:val="231F20"/>
          <w:sz w:val="24"/>
        </w:rPr>
        <w:t>Chart 5.7). But after falling between November 1996 and April 1997, PPIY output prices rose between May and September. This suggests that output prices may </w:t>
      </w:r>
      <w:r>
        <w:rPr>
          <w:color w:val="231F20"/>
          <w:spacing w:val="-3"/>
          <w:sz w:val="24"/>
        </w:rPr>
        <w:t>have </w:t>
      </w:r>
      <w:r>
        <w:rPr>
          <w:color w:val="231F20"/>
          <w:sz w:val="24"/>
        </w:rPr>
        <w:t>passed a turning point. The CBI Industrial Trends Surveys between July and October showed small rises </w:t>
      </w:r>
      <w:r>
        <w:rPr>
          <w:color w:val="231F20"/>
          <w:spacing w:val="-6"/>
          <w:sz w:val="24"/>
        </w:rPr>
        <w:t>in </w:t>
      </w:r>
      <w:r>
        <w:rPr>
          <w:color w:val="231F20"/>
          <w:sz w:val="24"/>
        </w:rPr>
        <w:t>the seasonally adjusted balance of firms expecting to increase prices in the next four months, though the quarterly October survey reported that prices had fallen in the previous four months.</w:t>
      </w:r>
    </w:p>
    <w:p>
      <w:pPr>
        <w:pStyle w:val="BodyText"/>
        <w:spacing w:before="10"/>
        <w:rPr>
          <w:sz w:val="28"/>
        </w:rPr>
      </w:pPr>
    </w:p>
    <w:p>
      <w:pPr>
        <w:pStyle w:val="Heading6"/>
        <w:ind w:left="116"/>
        <w:rPr>
          <w:i/>
        </w:rPr>
      </w:pPr>
      <w:r>
        <w:rPr>
          <w:i/>
          <w:color w:val="009483"/>
        </w:rPr>
        <w:t>Pricing in the manufacturing sector</w:t>
      </w:r>
    </w:p>
    <w:p>
      <w:pPr>
        <w:spacing w:line="242" w:lineRule="auto" w:before="164"/>
        <w:ind w:left="116" w:right="204" w:firstLine="0"/>
        <w:jc w:val="left"/>
        <w:rPr>
          <w:sz w:val="24"/>
        </w:rPr>
      </w:pPr>
      <w:r>
        <w:rPr>
          <w:color w:val="231F20"/>
          <w:sz w:val="24"/>
        </w:rPr>
        <w:t>Manufacturers’ domestic margins probably continued to widen in the third quarter, as unit labour costs and input prices fell while output prices continued to rise slowly (see </w:t>
      </w:r>
      <w:r>
        <w:rPr>
          <w:color w:val="231F20"/>
          <w:spacing w:val="-4"/>
          <w:sz w:val="24"/>
        </w:rPr>
        <w:t>Table </w:t>
      </w:r>
      <w:r>
        <w:rPr>
          <w:color w:val="231F20"/>
          <w:sz w:val="24"/>
        </w:rPr>
        <w:t>5.B). But output price inflation tends to be less volatile than input price inflation; if input prices start to rise, manufacturers’ domestic margins may be squeezed. Exporters’ margins probably narrowed </w:t>
      </w:r>
      <w:r>
        <w:rPr>
          <w:color w:val="231F20"/>
          <w:spacing w:val="-3"/>
          <w:sz w:val="24"/>
        </w:rPr>
        <w:t>further </w:t>
      </w:r>
      <w:r>
        <w:rPr>
          <w:color w:val="231F20"/>
          <w:sz w:val="24"/>
        </w:rPr>
        <w:t>in the third quarter as falls in total input costs were outweighed by larger falls in manufacture export prices in July and</w:t>
      </w:r>
      <w:r>
        <w:rPr>
          <w:color w:val="231F20"/>
          <w:spacing w:val="-1"/>
          <w:sz w:val="24"/>
        </w:rPr>
        <w:t> </w:t>
      </w:r>
      <w:r>
        <w:rPr>
          <w:color w:val="231F20"/>
          <w:sz w:val="24"/>
        </w:rPr>
        <w:t>August.</w:t>
      </w:r>
    </w:p>
    <w:p>
      <w:pPr>
        <w:pStyle w:val="BodyText"/>
        <w:spacing w:before="4"/>
        <w:rPr>
          <w:sz w:val="34"/>
        </w:rPr>
      </w:pPr>
    </w:p>
    <w:p>
      <w:pPr>
        <w:pStyle w:val="ListParagraph"/>
        <w:numPr>
          <w:ilvl w:val="1"/>
          <w:numId w:val="32"/>
        </w:numPr>
        <w:tabs>
          <w:tab w:pos="3895" w:val="left" w:leader="none"/>
          <w:tab w:pos="3896" w:val="left" w:leader="none"/>
          <w:tab w:pos="5615" w:val="left" w:leader="none"/>
        </w:tabs>
        <w:spacing w:line="240" w:lineRule="auto" w:before="0" w:after="0"/>
        <w:ind w:left="3895" w:right="0" w:hanging="3780"/>
        <w:jc w:val="left"/>
        <w:rPr>
          <w:b/>
          <w:color w:val="009483"/>
          <w:sz w:val="28"/>
        </w:rPr>
      </w:pPr>
      <w:r>
        <w:rPr>
          <w:b/>
          <w:color w:val="009483"/>
          <w:sz w:val="28"/>
          <w:u w:val="thick" w:color="0093C1"/>
        </w:rPr>
        <w:t>Retail</w:t>
      </w:r>
      <w:r>
        <w:rPr>
          <w:b/>
          <w:color w:val="009483"/>
          <w:spacing w:val="-1"/>
          <w:sz w:val="28"/>
          <w:u w:val="thick" w:color="0093C1"/>
        </w:rPr>
        <w:t> </w:t>
      </w:r>
      <w:r>
        <w:rPr>
          <w:b/>
          <w:color w:val="009483"/>
          <w:sz w:val="28"/>
          <w:u w:val="thick" w:color="0093C1"/>
        </w:rPr>
        <w:t>prices</w:t>
        <w:tab/>
      </w:r>
    </w:p>
    <w:p>
      <w:pPr>
        <w:pStyle w:val="BodyText"/>
        <w:spacing w:before="11"/>
        <w:rPr>
          <w:b/>
          <w:sz w:val="23"/>
        </w:rPr>
      </w:pPr>
    </w:p>
    <w:p>
      <w:pPr>
        <w:spacing w:line="242" w:lineRule="auto" w:before="0"/>
        <w:ind w:left="115" w:right="223" w:firstLine="0"/>
        <w:jc w:val="left"/>
        <w:rPr>
          <w:sz w:val="24"/>
        </w:rPr>
      </w:pPr>
      <w:r>
        <w:rPr>
          <w:color w:val="231F20"/>
          <w:sz w:val="24"/>
        </w:rPr>
        <w:t>Retail prices excluding mortgage interest payments (RPIX) rose by 2.7% in the twelve months to September (see Chart 5.8). Annual RPIX inflation in September was around half a percentage point higher than envisaged in the August </w:t>
      </w:r>
      <w:r>
        <w:rPr>
          <w:i/>
          <w:color w:val="231F20"/>
          <w:sz w:val="24"/>
        </w:rPr>
        <w:t>Report </w:t>
      </w:r>
      <w:r>
        <w:rPr>
          <w:color w:val="231F20"/>
          <w:sz w:val="24"/>
        </w:rPr>
        <w:t>central projection. </w:t>
      </w:r>
      <w:r>
        <w:rPr>
          <w:color w:val="231F20"/>
          <w:spacing w:val="-4"/>
          <w:sz w:val="24"/>
        </w:rPr>
        <w:t>Most </w:t>
      </w:r>
      <w:r>
        <w:rPr>
          <w:color w:val="231F20"/>
          <w:sz w:val="24"/>
        </w:rPr>
        <w:t>of this difference was caused by higher-than-expected retail goods prices (see</w:t>
      </w:r>
      <w:r>
        <w:rPr>
          <w:color w:val="231F20"/>
          <w:spacing w:val="-1"/>
          <w:sz w:val="24"/>
        </w:rPr>
        <w:t> </w:t>
      </w:r>
      <w:r>
        <w:rPr>
          <w:color w:val="231F20"/>
          <w:sz w:val="24"/>
        </w:rPr>
        <w:t>below).</w:t>
      </w:r>
    </w:p>
    <w:p>
      <w:pPr>
        <w:pStyle w:val="BodyText"/>
        <w:spacing w:before="7"/>
        <w:rPr>
          <w:sz w:val="28"/>
        </w:rPr>
      </w:pPr>
    </w:p>
    <w:p>
      <w:pPr>
        <w:spacing w:line="242" w:lineRule="auto" w:before="0"/>
        <w:ind w:left="115" w:right="136" w:firstLine="0"/>
        <w:jc w:val="left"/>
        <w:rPr>
          <w:sz w:val="24"/>
        </w:rPr>
      </w:pPr>
      <w:r>
        <w:rPr>
          <w:color w:val="231F20"/>
          <w:sz w:val="24"/>
        </w:rPr>
        <w:t>RPIY inflation, which also excludes excise duties, was unchanged at 2.2% in July and then fell to 2.1% in August and 2% in September. Short-run measures of inflation show the headline inflation rate (RPI) rising further above RPIX and RPIY inflation in the months after June, because of rises in the Bank’s repo rate which pushed up mortgage interest payments (see Table 5.C).</w:t>
      </w:r>
    </w:p>
    <w:p>
      <w:pPr>
        <w:pStyle w:val="BodyText"/>
        <w:spacing w:before="7"/>
        <w:rPr>
          <w:sz w:val="28"/>
        </w:rPr>
      </w:pPr>
    </w:p>
    <w:p>
      <w:pPr>
        <w:spacing w:line="242" w:lineRule="auto" w:before="0"/>
        <w:ind w:left="115" w:right="217" w:hanging="1"/>
        <w:jc w:val="left"/>
        <w:rPr>
          <w:sz w:val="24"/>
        </w:rPr>
      </w:pPr>
      <w:r>
        <w:rPr>
          <w:color w:val="231F20"/>
          <w:sz w:val="24"/>
        </w:rPr>
        <w:t>Twelve-month RPIX retail goods price inflation was 2.3% in September. It was higher in the third quarter than in the second, partly because of the effect of excise duty changes in the July Budget on petrol and other goods prices. Sterling’s appreciation does not appear greatly to have affected most goods prices. Components</w:t>
      </w:r>
    </w:p>
    <w:p>
      <w:pPr>
        <w:spacing w:after="0" w:line="242" w:lineRule="auto"/>
        <w:jc w:val="left"/>
        <w:rPr>
          <w:sz w:val="24"/>
        </w:rPr>
        <w:sectPr>
          <w:type w:val="continuous"/>
          <w:pgSz w:w="11880" w:h="16840"/>
          <w:pgMar w:top="1040" w:bottom="280" w:left="640" w:right="620"/>
          <w:cols w:num="2" w:equalWidth="0">
            <w:col w:w="4355" w:space="488"/>
            <w:col w:w="5777"/>
          </w:cols>
        </w:sectPr>
      </w:pPr>
    </w:p>
    <w:p>
      <w:pPr>
        <w:pStyle w:val="BodyText"/>
        <w:rPr>
          <w:sz w:val="20"/>
        </w:rPr>
      </w:pPr>
    </w:p>
    <w:p>
      <w:pPr>
        <w:spacing w:after="0"/>
        <w:rPr>
          <w:sz w:val="20"/>
        </w:rPr>
        <w:sectPr>
          <w:pgSz w:w="11880" w:h="16840"/>
          <w:pgMar w:header="586" w:footer="597" w:top="780" w:bottom="780" w:left="640" w:right="620"/>
        </w:sectPr>
      </w:pPr>
    </w:p>
    <w:p>
      <w:pPr>
        <w:pStyle w:val="BodyText"/>
        <w:spacing w:before="3"/>
        <w:rPr>
          <w:sz w:val="22"/>
        </w:rPr>
      </w:pPr>
    </w:p>
    <w:p>
      <w:pPr>
        <w:pStyle w:val="Heading9"/>
        <w:spacing w:before="0"/>
      </w:pPr>
      <w:bookmarkStart w:name="Other price indices" w:id="82"/>
      <w:bookmarkEnd w:id="82"/>
      <w:r>
        <w:rPr>
          <w:b w:val="0"/>
        </w:rPr>
      </w:r>
      <w:bookmarkStart w:name="_bookmark37" w:id="83"/>
      <w:bookmarkEnd w:id="83"/>
      <w:r>
        <w:rPr>
          <w:b w:val="0"/>
        </w:rPr>
      </w:r>
      <w:r>
        <w:rPr>
          <w:color w:val="0093C1"/>
        </w:rPr>
        <w:t>Table 5.C</w:t>
      </w:r>
    </w:p>
    <w:p>
      <w:pPr>
        <w:spacing w:before="10"/>
        <w:ind w:left="180" w:right="0" w:firstLine="0"/>
        <w:jc w:val="left"/>
        <w:rPr>
          <w:sz w:val="12"/>
        </w:rPr>
      </w:pPr>
      <w:r>
        <w:rPr>
          <w:b/>
          <w:color w:val="0093C1"/>
          <w:sz w:val="20"/>
        </w:rPr>
        <w:t>Three-month measures of inflation</w:t>
      </w:r>
      <w:r>
        <w:rPr>
          <w:color w:val="231F20"/>
          <w:position w:val="4"/>
          <w:sz w:val="12"/>
        </w:rPr>
        <w:t>(a)</w:t>
      </w:r>
    </w:p>
    <w:p>
      <w:pPr>
        <w:spacing w:before="106"/>
        <w:ind w:left="180" w:right="0" w:firstLine="0"/>
        <w:jc w:val="left"/>
        <w:rPr>
          <w:sz w:val="14"/>
        </w:rPr>
      </w:pPr>
      <w:r>
        <w:rPr>
          <w:color w:val="231F20"/>
          <w:sz w:val="14"/>
        </w:rPr>
        <w:t>Percentage changes</w:t>
      </w:r>
    </w:p>
    <w:p>
      <w:pPr>
        <w:tabs>
          <w:tab w:pos="3610" w:val="left" w:leader="none"/>
        </w:tabs>
        <w:spacing w:line="150" w:lineRule="exact" w:before="119"/>
        <w:ind w:left="1060" w:right="0" w:firstLine="0"/>
        <w:jc w:val="center"/>
        <w:rPr>
          <w:sz w:val="14"/>
        </w:rPr>
      </w:pPr>
      <w:r>
        <w:rPr>
          <w:color w:val="231F20"/>
          <w:sz w:val="14"/>
          <w:u w:val="single" w:color="231F20"/>
        </w:rPr>
        <w:t>1997</w:t>
        <w:tab/>
      </w:r>
    </w:p>
    <w:p>
      <w:pPr>
        <w:tabs>
          <w:tab w:pos="1974" w:val="left" w:leader="none"/>
          <w:tab w:pos="2444" w:val="left" w:leader="none"/>
          <w:tab w:pos="2904" w:val="left" w:leader="none"/>
        </w:tabs>
        <w:spacing w:line="150" w:lineRule="exact" w:before="0"/>
        <w:ind w:left="1074" w:right="0" w:firstLine="0"/>
        <w:jc w:val="center"/>
        <w:rPr>
          <w:sz w:val="14"/>
        </w:rPr>
      </w:pPr>
      <w:r>
        <w:rPr>
          <w:color w:val="231F20"/>
          <w:sz w:val="14"/>
        </w:rPr>
        <w:t>Apr.   </w:t>
      </w:r>
      <w:r>
        <w:rPr>
          <w:color w:val="231F20"/>
          <w:spacing w:val="27"/>
          <w:sz w:val="14"/>
        </w:rPr>
        <w:t> </w:t>
      </w:r>
      <w:r>
        <w:rPr>
          <w:color w:val="231F20"/>
          <w:sz w:val="14"/>
        </w:rPr>
        <w:t>May</w:t>
        <w:tab/>
        <w:t>June</w:t>
        <w:tab/>
        <w:t>July</w:t>
        <w:tab/>
        <w:t>Aug.</w:t>
      </w:r>
      <w:r>
        <w:rPr>
          <w:color w:val="231F20"/>
          <w:spacing w:val="33"/>
          <w:sz w:val="14"/>
        </w:rPr>
        <w:t> </w:t>
      </w:r>
      <w:r>
        <w:rPr>
          <w:color w:val="231F20"/>
          <w:sz w:val="14"/>
        </w:rPr>
        <w:t>Sept.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5"/>
        <w:gridCol w:w="265"/>
        <w:gridCol w:w="150"/>
        <w:gridCol w:w="250"/>
        <w:gridCol w:w="230"/>
        <w:gridCol w:w="250"/>
        <w:gridCol w:w="220"/>
        <w:gridCol w:w="261"/>
        <w:gridCol w:w="200"/>
        <w:gridCol w:w="281"/>
        <w:gridCol w:w="180"/>
        <w:gridCol w:w="361"/>
      </w:tblGrid>
      <w:tr>
        <w:trPr>
          <w:trHeight w:val="250" w:hRule="atLeast"/>
        </w:trPr>
        <w:tc>
          <w:tcPr>
            <w:tcW w:w="1295" w:type="dxa"/>
          </w:tcPr>
          <w:p>
            <w:pPr>
              <w:pStyle w:val="TableParagraph"/>
              <w:spacing w:line="133" w:lineRule="exact" w:before="96"/>
              <w:ind w:left="50"/>
              <w:rPr>
                <w:sz w:val="14"/>
              </w:rPr>
            </w:pPr>
            <w:r>
              <w:rPr>
                <w:color w:val="231F20"/>
                <w:sz w:val="14"/>
              </w:rPr>
              <w:t>RPI</w:t>
            </w:r>
          </w:p>
        </w:tc>
        <w:tc>
          <w:tcPr>
            <w:tcW w:w="265" w:type="dxa"/>
            <w:tcBorders>
              <w:top w:val="single" w:sz="2" w:space="0" w:color="231F20"/>
            </w:tcBorders>
          </w:tcPr>
          <w:p>
            <w:pPr>
              <w:pStyle w:val="TableParagraph"/>
              <w:spacing w:line="133" w:lineRule="exact" w:before="96"/>
              <w:rPr>
                <w:sz w:val="14"/>
              </w:rPr>
            </w:pPr>
            <w:r>
              <w:rPr>
                <w:color w:val="231F20"/>
                <w:sz w:val="14"/>
              </w:rPr>
              <w:t>1.3</w:t>
            </w:r>
          </w:p>
        </w:tc>
        <w:tc>
          <w:tcPr>
            <w:tcW w:w="150" w:type="dxa"/>
          </w:tcPr>
          <w:p>
            <w:pPr>
              <w:pStyle w:val="TableParagraph"/>
              <w:rPr>
                <w:sz w:val="18"/>
              </w:rPr>
            </w:pPr>
          </w:p>
        </w:tc>
        <w:tc>
          <w:tcPr>
            <w:tcW w:w="250" w:type="dxa"/>
            <w:tcBorders>
              <w:top w:val="single" w:sz="2" w:space="0" w:color="231F20"/>
            </w:tcBorders>
          </w:tcPr>
          <w:p>
            <w:pPr>
              <w:pStyle w:val="TableParagraph"/>
              <w:spacing w:line="133" w:lineRule="exact" w:before="96"/>
              <w:ind w:right="-15"/>
              <w:jc w:val="right"/>
              <w:rPr>
                <w:sz w:val="14"/>
              </w:rPr>
            </w:pPr>
            <w:r>
              <w:rPr>
                <w:color w:val="231F20"/>
                <w:sz w:val="14"/>
              </w:rPr>
              <w:t>1.7</w:t>
            </w:r>
          </w:p>
        </w:tc>
        <w:tc>
          <w:tcPr>
            <w:tcW w:w="230" w:type="dxa"/>
          </w:tcPr>
          <w:p>
            <w:pPr>
              <w:pStyle w:val="TableParagraph"/>
              <w:rPr>
                <w:sz w:val="18"/>
              </w:rPr>
            </w:pPr>
          </w:p>
        </w:tc>
        <w:tc>
          <w:tcPr>
            <w:tcW w:w="250" w:type="dxa"/>
            <w:tcBorders>
              <w:top w:val="single" w:sz="2" w:space="0" w:color="231F20"/>
            </w:tcBorders>
          </w:tcPr>
          <w:p>
            <w:pPr>
              <w:pStyle w:val="TableParagraph"/>
              <w:spacing w:line="133" w:lineRule="exact" w:before="96"/>
              <w:ind w:right="-15"/>
              <w:jc w:val="right"/>
              <w:rPr>
                <w:sz w:val="14"/>
              </w:rPr>
            </w:pPr>
            <w:r>
              <w:rPr>
                <w:color w:val="231F20"/>
                <w:sz w:val="14"/>
              </w:rPr>
              <w:t>3.2</w:t>
            </w:r>
          </w:p>
        </w:tc>
        <w:tc>
          <w:tcPr>
            <w:tcW w:w="220" w:type="dxa"/>
          </w:tcPr>
          <w:p>
            <w:pPr>
              <w:pStyle w:val="TableParagraph"/>
              <w:rPr>
                <w:sz w:val="18"/>
              </w:rPr>
            </w:pPr>
          </w:p>
        </w:tc>
        <w:tc>
          <w:tcPr>
            <w:tcW w:w="261" w:type="dxa"/>
            <w:tcBorders>
              <w:top w:val="single" w:sz="2" w:space="0" w:color="231F20"/>
            </w:tcBorders>
          </w:tcPr>
          <w:p>
            <w:pPr>
              <w:pStyle w:val="TableParagraph"/>
              <w:spacing w:line="133" w:lineRule="exact" w:before="96"/>
              <w:jc w:val="right"/>
              <w:rPr>
                <w:sz w:val="14"/>
              </w:rPr>
            </w:pPr>
            <w:r>
              <w:rPr>
                <w:color w:val="231F20"/>
                <w:sz w:val="14"/>
              </w:rPr>
              <w:t>5.3</w:t>
            </w:r>
          </w:p>
        </w:tc>
        <w:tc>
          <w:tcPr>
            <w:tcW w:w="200" w:type="dxa"/>
          </w:tcPr>
          <w:p>
            <w:pPr>
              <w:pStyle w:val="TableParagraph"/>
              <w:rPr>
                <w:sz w:val="18"/>
              </w:rPr>
            </w:pPr>
          </w:p>
        </w:tc>
        <w:tc>
          <w:tcPr>
            <w:tcW w:w="281" w:type="dxa"/>
            <w:tcBorders>
              <w:top w:val="single" w:sz="2" w:space="0" w:color="231F20"/>
            </w:tcBorders>
          </w:tcPr>
          <w:p>
            <w:pPr>
              <w:pStyle w:val="TableParagraph"/>
              <w:spacing w:line="133" w:lineRule="exact" w:before="96"/>
              <w:ind w:right="1"/>
              <w:jc w:val="right"/>
              <w:rPr>
                <w:sz w:val="14"/>
              </w:rPr>
            </w:pPr>
            <w:r>
              <w:rPr>
                <w:color w:val="231F20"/>
                <w:sz w:val="14"/>
              </w:rPr>
              <w:t>5.9</w:t>
            </w:r>
          </w:p>
        </w:tc>
        <w:tc>
          <w:tcPr>
            <w:tcW w:w="180" w:type="dxa"/>
          </w:tcPr>
          <w:p>
            <w:pPr>
              <w:pStyle w:val="TableParagraph"/>
              <w:rPr>
                <w:sz w:val="18"/>
              </w:rPr>
            </w:pPr>
          </w:p>
        </w:tc>
        <w:tc>
          <w:tcPr>
            <w:tcW w:w="361" w:type="dxa"/>
            <w:tcBorders>
              <w:top w:val="single" w:sz="2" w:space="0" w:color="231F20"/>
            </w:tcBorders>
          </w:tcPr>
          <w:p>
            <w:pPr>
              <w:pStyle w:val="TableParagraph"/>
              <w:spacing w:line="133" w:lineRule="exact" w:before="96"/>
              <w:ind w:right="50"/>
              <w:jc w:val="right"/>
              <w:rPr>
                <w:sz w:val="14"/>
              </w:rPr>
            </w:pPr>
            <w:r>
              <w:rPr>
                <w:color w:val="231F20"/>
                <w:sz w:val="14"/>
              </w:rPr>
              <w:t>5.0</w:t>
            </w:r>
          </w:p>
        </w:tc>
      </w:tr>
      <w:tr>
        <w:trPr>
          <w:trHeight w:val="140" w:hRule="atLeast"/>
        </w:trPr>
        <w:tc>
          <w:tcPr>
            <w:tcW w:w="1295" w:type="dxa"/>
          </w:tcPr>
          <w:p>
            <w:pPr>
              <w:pStyle w:val="TableParagraph"/>
              <w:spacing w:line="120" w:lineRule="exact"/>
              <w:ind w:left="50"/>
              <w:rPr>
                <w:sz w:val="14"/>
              </w:rPr>
            </w:pPr>
            <w:r>
              <w:rPr>
                <w:color w:val="231F20"/>
                <w:sz w:val="14"/>
              </w:rPr>
              <w:t>RPIX</w:t>
            </w:r>
          </w:p>
        </w:tc>
        <w:tc>
          <w:tcPr>
            <w:tcW w:w="265" w:type="dxa"/>
          </w:tcPr>
          <w:p>
            <w:pPr>
              <w:pStyle w:val="TableParagraph"/>
              <w:spacing w:line="120" w:lineRule="exact"/>
              <w:rPr>
                <w:sz w:val="14"/>
              </w:rPr>
            </w:pPr>
            <w:r>
              <w:rPr>
                <w:color w:val="231F20"/>
                <w:sz w:val="14"/>
              </w:rPr>
              <w:t>1.3</w:t>
            </w:r>
          </w:p>
        </w:tc>
        <w:tc>
          <w:tcPr>
            <w:tcW w:w="150" w:type="dxa"/>
          </w:tcPr>
          <w:p>
            <w:pPr>
              <w:pStyle w:val="TableParagraph"/>
              <w:rPr>
                <w:sz w:val="8"/>
              </w:rPr>
            </w:pPr>
          </w:p>
        </w:tc>
        <w:tc>
          <w:tcPr>
            <w:tcW w:w="250" w:type="dxa"/>
          </w:tcPr>
          <w:p>
            <w:pPr>
              <w:pStyle w:val="TableParagraph"/>
              <w:spacing w:line="120" w:lineRule="exact"/>
              <w:ind w:right="-15"/>
              <w:jc w:val="right"/>
              <w:rPr>
                <w:sz w:val="14"/>
              </w:rPr>
            </w:pPr>
            <w:r>
              <w:rPr>
                <w:color w:val="231F20"/>
                <w:sz w:val="14"/>
              </w:rPr>
              <w:t>1.5</w:t>
            </w:r>
          </w:p>
        </w:tc>
        <w:tc>
          <w:tcPr>
            <w:tcW w:w="230" w:type="dxa"/>
          </w:tcPr>
          <w:p>
            <w:pPr>
              <w:pStyle w:val="TableParagraph"/>
              <w:rPr>
                <w:sz w:val="8"/>
              </w:rPr>
            </w:pPr>
          </w:p>
        </w:tc>
        <w:tc>
          <w:tcPr>
            <w:tcW w:w="250" w:type="dxa"/>
          </w:tcPr>
          <w:p>
            <w:pPr>
              <w:pStyle w:val="TableParagraph"/>
              <w:spacing w:line="120" w:lineRule="exact"/>
              <w:ind w:right="-15"/>
              <w:jc w:val="right"/>
              <w:rPr>
                <w:sz w:val="14"/>
              </w:rPr>
            </w:pPr>
            <w:r>
              <w:rPr>
                <w:color w:val="231F20"/>
                <w:sz w:val="14"/>
              </w:rPr>
              <w:t>2.4</w:t>
            </w:r>
          </w:p>
        </w:tc>
        <w:tc>
          <w:tcPr>
            <w:tcW w:w="220" w:type="dxa"/>
          </w:tcPr>
          <w:p>
            <w:pPr>
              <w:pStyle w:val="TableParagraph"/>
              <w:rPr>
                <w:sz w:val="8"/>
              </w:rPr>
            </w:pPr>
          </w:p>
        </w:tc>
        <w:tc>
          <w:tcPr>
            <w:tcW w:w="261" w:type="dxa"/>
          </w:tcPr>
          <w:p>
            <w:pPr>
              <w:pStyle w:val="TableParagraph"/>
              <w:spacing w:line="120" w:lineRule="exact"/>
              <w:jc w:val="right"/>
              <w:rPr>
                <w:sz w:val="14"/>
              </w:rPr>
            </w:pPr>
            <w:r>
              <w:rPr>
                <w:color w:val="231F20"/>
                <w:sz w:val="14"/>
              </w:rPr>
              <w:t>3.8</w:t>
            </w:r>
          </w:p>
        </w:tc>
        <w:tc>
          <w:tcPr>
            <w:tcW w:w="200" w:type="dxa"/>
          </w:tcPr>
          <w:p>
            <w:pPr>
              <w:pStyle w:val="TableParagraph"/>
              <w:rPr>
                <w:sz w:val="8"/>
              </w:rPr>
            </w:pPr>
          </w:p>
        </w:tc>
        <w:tc>
          <w:tcPr>
            <w:tcW w:w="281" w:type="dxa"/>
          </w:tcPr>
          <w:p>
            <w:pPr>
              <w:pStyle w:val="TableParagraph"/>
              <w:spacing w:line="120" w:lineRule="exact"/>
              <w:ind w:right="1"/>
              <w:jc w:val="right"/>
              <w:rPr>
                <w:sz w:val="14"/>
              </w:rPr>
            </w:pPr>
            <w:r>
              <w:rPr>
                <w:color w:val="231F20"/>
                <w:sz w:val="14"/>
              </w:rPr>
              <w:t>3.8</w:t>
            </w:r>
          </w:p>
        </w:tc>
        <w:tc>
          <w:tcPr>
            <w:tcW w:w="180" w:type="dxa"/>
          </w:tcPr>
          <w:p>
            <w:pPr>
              <w:pStyle w:val="TableParagraph"/>
              <w:rPr>
                <w:sz w:val="8"/>
              </w:rPr>
            </w:pPr>
          </w:p>
        </w:tc>
        <w:tc>
          <w:tcPr>
            <w:tcW w:w="361" w:type="dxa"/>
          </w:tcPr>
          <w:p>
            <w:pPr>
              <w:pStyle w:val="TableParagraph"/>
              <w:spacing w:line="120" w:lineRule="exact"/>
              <w:ind w:right="50"/>
              <w:jc w:val="right"/>
              <w:rPr>
                <w:sz w:val="14"/>
              </w:rPr>
            </w:pPr>
            <w:r>
              <w:rPr>
                <w:color w:val="231F20"/>
                <w:sz w:val="14"/>
              </w:rPr>
              <w:t>3.2</w:t>
            </w:r>
          </w:p>
        </w:tc>
      </w:tr>
      <w:tr>
        <w:trPr>
          <w:trHeight w:val="147" w:hRule="atLeast"/>
        </w:trPr>
        <w:tc>
          <w:tcPr>
            <w:tcW w:w="1295" w:type="dxa"/>
          </w:tcPr>
          <w:p>
            <w:pPr>
              <w:pStyle w:val="TableParagraph"/>
              <w:spacing w:line="128" w:lineRule="exact"/>
              <w:ind w:left="50"/>
              <w:rPr>
                <w:sz w:val="14"/>
              </w:rPr>
            </w:pPr>
            <w:r>
              <w:rPr>
                <w:color w:val="231F20"/>
                <w:sz w:val="14"/>
              </w:rPr>
              <w:t>RPIY</w:t>
            </w:r>
          </w:p>
        </w:tc>
        <w:tc>
          <w:tcPr>
            <w:tcW w:w="265" w:type="dxa"/>
          </w:tcPr>
          <w:p>
            <w:pPr>
              <w:pStyle w:val="TableParagraph"/>
              <w:spacing w:line="128" w:lineRule="exact"/>
              <w:rPr>
                <w:sz w:val="14"/>
              </w:rPr>
            </w:pPr>
            <w:r>
              <w:rPr>
                <w:color w:val="231F20"/>
                <w:sz w:val="14"/>
              </w:rPr>
              <w:t>0.4</w:t>
            </w:r>
          </w:p>
        </w:tc>
        <w:tc>
          <w:tcPr>
            <w:tcW w:w="150" w:type="dxa"/>
          </w:tcPr>
          <w:p>
            <w:pPr>
              <w:pStyle w:val="TableParagraph"/>
              <w:rPr>
                <w:sz w:val="8"/>
              </w:rPr>
            </w:pPr>
          </w:p>
        </w:tc>
        <w:tc>
          <w:tcPr>
            <w:tcW w:w="250" w:type="dxa"/>
          </w:tcPr>
          <w:p>
            <w:pPr>
              <w:pStyle w:val="TableParagraph"/>
              <w:spacing w:line="128" w:lineRule="exact"/>
              <w:ind w:right="-15"/>
              <w:jc w:val="right"/>
              <w:rPr>
                <w:sz w:val="14"/>
              </w:rPr>
            </w:pPr>
            <w:r>
              <w:rPr>
                <w:color w:val="231F20"/>
                <w:sz w:val="14"/>
              </w:rPr>
              <w:t>0.6</w:t>
            </w:r>
          </w:p>
        </w:tc>
        <w:tc>
          <w:tcPr>
            <w:tcW w:w="230" w:type="dxa"/>
          </w:tcPr>
          <w:p>
            <w:pPr>
              <w:pStyle w:val="TableParagraph"/>
              <w:rPr>
                <w:sz w:val="8"/>
              </w:rPr>
            </w:pPr>
          </w:p>
        </w:tc>
        <w:tc>
          <w:tcPr>
            <w:tcW w:w="250" w:type="dxa"/>
          </w:tcPr>
          <w:p>
            <w:pPr>
              <w:pStyle w:val="TableParagraph"/>
              <w:spacing w:line="128" w:lineRule="exact"/>
              <w:ind w:right="-15"/>
              <w:jc w:val="right"/>
              <w:rPr>
                <w:sz w:val="14"/>
              </w:rPr>
            </w:pPr>
            <w:r>
              <w:rPr>
                <w:color w:val="231F20"/>
                <w:sz w:val="14"/>
              </w:rPr>
              <w:t>1.7</w:t>
            </w:r>
          </w:p>
        </w:tc>
        <w:tc>
          <w:tcPr>
            <w:tcW w:w="220" w:type="dxa"/>
          </w:tcPr>
          <w:p>
            <w:pPr>
              <w:pStyle w:val="TableParagraph"/>
              <w:rPr>
                <w:sz w:val="8"/>
              </w:rPr>
            </w:pPr>
          </w:p>
        </w:tc>
        <w:tc>
          <w:tcPr>
            <w:tcW w:w="261" w:type="dxa"/>
          </w:tcPr>
          <w:p>
            <w:pPr>
              <w:pStyle w:val="TableParagraph"/>
              <w:spacing w:line="128" w:lineRule="exact"/>
              <w:jc w:val="right"/>
              <w:rPr>
                <w:sz w:val="14"/>
              </w:rPr>
            </w:pPr>
            <w:r>
              <w:rPr>
                <w:color w:val="231F20"/>
                <w:sz w:val="14"/>
              </w:rPr>
              <w:t>2.7</w:t>
            </w:r>
          </w:p>
        </w:tc>
        <w:tc>
          <w:tcPr>
            <w:tcW w:w="200" w:type="dxa"/>
          </w:tcPr>
          <w:p>
            <w:pPr>
              <w:pStyle w:val="TableParagraph"/>
              <w:rPr>
                <w:sz w:val="8"/>
              </w:rPr>
            </w:pPr>
          </w:p>
        </w:tc>
        <w:tc>
          <w:tcPr>
            <w:tcW w:w="281" w:type="dxa"/>
          </w:tcPr>
          <w:p>
            <w:pPr>
              <w:pStyle w:val="TableParagraph"/>
              <w:spacing w:line="128" w:lineRule="exact"/>
              <w:ind w:right="1"/>
              <w:jc w:val="right"/>
              <w:rPr>
                <w:sz w:val="14"/>
              </w:rPr>
            </w:pPr>
            <w:r>
              <w:rPr>
                <w:color w:val="231F20"/>
                <w:sz w:val="14"/>
              </w:rPr>
              <w:t>3.0</w:t>
            </w:r>
          </w:p>
        </w:tc>
        <w:tc>
          <w:tcPr>
            <w:tcW w:w="180" w:type="dxa"/>
          </w:tcPr>
          <w:p>
            <w:pPr>
              <w:pStyle w:val="TableParagraph"/>
              <w:rPr>
                <w:sz w:val="8"/>
              </w:rPr>
            </w:pPr>
          </w:p>
        </w:tc>
        <w:tc>
          <w:tcPr>
            <w:tcW w:w="361" w:type="dxa"/>
          </w:tcPr>
          <w:p>
            <w:pPr>
              <w:pStyle w:val="TableParagraph"/>
              <w:spacing w:line="128" w:lineRule="exact"/>
              <w:ind w:right="50"/>
              <w:jc w:val="right"/>
              <w:rPr>
                <w:sz w:val="14"/>
              </w:rPr>
            </w:pPr>
            <w:r>
              <w:rPr>
                <w:color w:val="231F20"/>
                <w:sz w:val="14"/>
              </w:rPr>
              <w:t>2.5</w:t>
            </w:r>
          </w:p>
        </w:tc>
      </w:tr>
    </w:tbl>
    <w:p>
      <w:pPr>
        <w:spacing w:before="118"/>
        <w:ind w:left="180" w:right="0" w:firstLine="0"/>
        <w:jc w:val="left"/>
        <w:rPr>
          <w:sz w:val="12"/>
        </w:rPr>
      </w:pPr>
      <w:r>
        <w:rPr>
          <w:color w:val="231F20"/>
          <w:sz w:val="12"/>
        </w:rPr>
        <w:t>Sources: ONS and Bank calculations.</w:t>
      </w:r>
    </w:p>
    <w:p>
      <w:pPr>
        <w:pStyle w:val="BodyText"/>
        <w:spacing w:before="1"/>
        <w:rPr>
          <w:sz w:val="10"/>
        </w:rPr>
      </w:pPr>
    </w:p>
    <w:p>
      <w:pPr>
        <w:spacing w:line="208" w:lineRule="auto" w:before="1"/>
        <w:ind w:left="420" w:right="38" w:hanging="240"/>
        <w:jc w:val="left"/>
        <w:rPr>
          <w:sz w:val="12"/>
        </w:rPr>
      </w:pPr>
      <w:r>
        <w:rPr>
          <w:color w:val="231F20"/>
          <w:sz w:val="12"/>
        </w:rPr>
        <w:t>(a) RPIY data are seasonally adjusted and annualised by the Bank.  RPI and RPIX are obtained by multiplying the ratios of RPI to RPIY, and of RPIX to RPIY, </w:t>
      </w:r>
      <w:r>
        <w:rPr>
          <w:color w:val="231F20"/>
          <w:spacing w:val="-9"/>
          <w:sz w:val="12"/>
        </w:rPr>
        <w:t>by </w:t>
      </w:r>
      <w:r>
        <w:rPr>
          <w:color w:val="231F20"/>
          <w:sz w:val="12"/>
        </w:rPr>
        <w:t>seasonally adjusted RPIY. This removes most seasonal effects, but not those induced by tax changes. RPI and RPIX are also annualised.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9"/>
        <w:spacing w:line="249" w:lineRule="auto" w:before="98"/>
        <w:ind w:left="190" w:right="2578"/>
        <w:rPr>
          <w:b w:val="0"/>
          <w:sz w:val="12"/>
        </w:rPr>
      </w:pPr>
      <w:r>
        <w:rPr>
          <w:color w:val="0093C1"/>
        </w:rPr>
        <w:t>Chart  5.D Annual</w:t>
      </w:r>
      <w:r>
        <w:rPr>
          <w:color w:val="0093C1"/>
          <w:spacing w:val="13"/>
        </w:rPr>
        <w:t> </w:t>
      </w:r>
      <w:r>
        <w:rPr>
          <w:color w:val="0093C1"/>
          <w:spacing w:val="-3"/>
        </w:rPr>
        <w:t>inflation</w:t>
      </w:r>
      <w:r>
        <w:rPr>
          <w:b w:val="0"/>
          <w:color w:val="231F20"/>
          <w:spacing w:val="-3"/>
          <w:position w:val="4"/>
          <w:sz w:val="12"/>
        </w:rPr>
        <w:t>(a)</w:t>
      </w:r>
    </w:p>
    <w:p>
      <w:pPr>
        <w:spacing w:before="97"/>
        <w:ind w:left="190" w:right="0" w:firstLine="0"/>
        <w:jc w:val="left"/>
        <w:rPr>
          <w:sz w:val="14"/>
        </w:rPr>
      </w:pPr>
      <w:r>
        <w:rPr>
          <w:color w:val="231F20"/>
          <w:sz w:val="14"/>
        </w:rPr>
        <w:t>Percentage increase in prices on a year earlier</w:t>
      </w:r>
    </w:p>
    <w:p>
      <w:pPr>
        <w:tabs>
          <w:tab w:pos="3970" w:val="left" w:leader="none"/>
        </w:tabs>
        <w:spacing w:line="150" w:lineRule="exact" w:before="119"/>
        <w:ind w:left="1080" w:right="0" w:firstLine="0"/>
        <w:jc w:val="center"/>
        <w:rPr>
          <w:sz w:val="14"/>
        </w:rPr>
      </w:pPr>
      <w:r>
        <w:rPr>
          <w:color w:val="231F20"/>
          <w:sz w:val="14"/>
          <w:u w:val="single" w:color="231F20"/>
        </w:rPr>
        <w:t>1997</w:t>
        <w:tab/>
      </w:r>
    </w:p>
    <w:p>
      <w:pPr>
        <w:tabs>
          <w:tab w:pos="1633" w:val="left" w:leader="none"/>
          <w:tab w:pos="2623" w:val="left" w:leader="none"/>
          <w:tab w:pos="3123" w:val="left" w:leader="none"/>
          <w:tab w:pos="3673" w:val="left" w:leader="none"/>
        </w:tabs>
        <w:spacing w:line="150" w:lineRule="exact" w:before="0"/>
        <w:ind w:left="1073" w:right="0" w:firstLine="0"/>
        <w:jc w:val="center"/>
        <w:rPr>
          <w:sz w:val="14"/>
        </w:rPr>
      </w:pPr>
      <w:r>
        <w:rPr>
          <w:color w:val="231F20"/>
          <w:sz w:val="14"/>
          <w:u w:val="single" w:color="231F20"/>
        </w:rPr>
        <w:t>Apr.</w:t>
      </w:r>
      <w:r>
        <w:rPr>
          <w:color w:val="231F20"/>
          <w:sz w:val="14"/>
        </w:rPr>
        <w:tab/>
      </w:r>
      <w:r>
        <w:rPr>
          <w:color w:val="231F20"/>
          <w:sz w:val="14"/>
          <w:u w:val="single" w:color="231F20"/>
        </w:rPr>
        <w:t>May</w:t>
      </w:r>
      <w:r>
        <w:rPr>
          <w:color w:val="231F20"/>
          <w:sz w:val="14"/>
        </w:rPr>
        <w:t>.    </w:t>
      </w:r>
      <w:r>
        <w:rPr>
          <w:color w:val="231F20"/>
          <w:spacing w:val="23"/>
          <w:sz w:val="14"/>
        </w:rPr>
        <w:t> </w:t>
      </w:r>
      <w:r>
        <w:rPr>
          <w:color w:val="231F20"/>
          <w:sz w:val="14"/>
          <w:u w:val="single" w:color="231F20"/>
        </w:rPr>
        <w:t>June</w:t>
      </w:r>
      <w:r>
        <w:rPr>
          <w:color w:val="231F20"/>
          <w:sz w:val="14"/>
        </w:rPr>
        <w:tab/>
      </w:r>
      <w:r>
        <w:rPr>
          <w:color w:val="231F20"/>
          <w:sz w:val="14"/>
          <w:u w:val="single" w:color="231F20"/>
        </w:rPr>
        <w:t>July</w:t>
      </w:r>
      <w:r>
        <w:rPr>
          <w:color w:val="231F20"/>
          <w:sz w:val="14"/>
        </w:rPr>
        <w:tab/>
      </w:r>
      <w:r>
        <w:rPr>
          <w:color w:val="231F20"/>
          <w:sz w:val="14"/>
          <w:u w:val="single" w:color="231F20"/>
        </w:rPr>
        <w:t>Aug.</w:t>
      </w:r>
      <w:r>
        <w:rPr>
          <w:color w:val="231F20"/>
          <w:sz w:val="14"/>
        </w:rPr>
        <w:tab/>
      </w:r>
      <w:r>
        <w:rPr>
          <w:color w:val="231F20"/>
          <w:sz w:val="14"/>
          <w:u w:val="single" w:color="231F20"/>
        </w:rPr>
        <w:t>Sept.</w:t>
      </w:r>
    </w:p>
    <w:p>
      <w:pPr>
        <w:pStyle w:val="BodyText"/>
        <w:spacing w:before="10"/>
        <w:rPr>
          <w:sz w:val="1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485"/>
        <w:gridCol w:w="519"/>
        <w:gridCol w:w="499"/>
        <w:gridCol w:w="509"/>
        <w:gridCol w:w="549"/>
        <w:gridCol w:w="432"/>
      </w:tblGrid>
      <w:tr>
        <w:trPr>
          <w:trHeight w:val="147" w:hRule="atLeast"/>
        </w:trPr>
        <w:tc>
          <w:tcPr>
            <w:tcW w:w="1032" w:type="dxa"/>
          </w:tcPr>
          <w:p>
            <w:pPr>
              <w:pStyle w:val="TableParagraph"/>
              <w:spacing w:line="128" w:lineRule="exact"/>
              <w:ind w:left="50"/>
              <w:rPr>
                <w:sz w:val="14"/>
              </w:rPr>
            </w:pPr>
            <w:r>
              <w:rPr>
                <w:color w:val="231F20"/>
                <w:sz w:val="14"/>
              </w:rPr>
              <w:t>HARP</w:t>
            </w:r>
          </w:p>
        </w:tc>
        <w:tc>
          <w:tcPr>
            <w:tcW w:w="485" w:type="dxa"/>
          </w:tcPr>
          <w:p>
            <w:pPr>
              <w:pStyle w:val="TableParagraph"/>
              <w:spacing w:line="128" w:lineRule="exact"/>
              <w:ind w:left="123"/>
              <w:rPr>
                <w:sz w:val="14"/>
              </w:rPr>
            </w:pPr>
            <w:r>
              <w:rPr>
                <w:color w:val="231F20"/>
                <w:sz w:val="14"/>
              </w:rPr>
              <w:t>3.2</w:t>
            </w:r>
          </w:p>
        </w:tc>
        <w:tc>
          <w:tcPr>
            <w:tcW w:w="519" w:type="dxa"/>
          </w:tcPr>
          <w:p>
            <w:pPr>
              <w:pStyle w:val="TableParagraph"/>
              <w:spacing w:line="128" w:lineRule="exact"/>
              <w:ind w:left="167" w:right="135"/>
              <w:jc w:val="center"/>
              <w:rPr>
                <w:sz w:val="14"/>
              </w:rPr>
            </w:pPr>
            <w:r>
              <w:rPr>
                <w:color w:val="231F20"/>
                <w:sz w:val="14"/>
              </w:rPr>
              <w:t>3.2</w:t>
            </w:r>
          </w:p>
        </w:tc>
        <w:tc>
          <w:tcPr>
            <w:tcW w:w="499" w:type="dxa"/>
          </w:tcPr>
          <w:p>
            <w:pPr>
              <w:pStyle w:val="TableParagraph"/>
              <w:spacing w:line="128" w:lineRule="exact"/>
              <w:ind w:left="140" w:right="143"/>
              <w:jc w:val="center"/>
              <w:rPr>
                <w:sz w:val="14"/>
              </w:rPr>
            </w:pPr>
            <w:r>
              <w:rPr>
                <w:color w:val="231F20"/>
                <w:sz w:val="14"/>
              </w:rPr>
              <w:t>3.4</w:t>
            </w:r>
          </w:p>
        </w:tc>
        <w:tc>
          <w:tcPr>
            <w:tcW w:w="509" w:type="dxa"/>
          </w:tcPr>
          <w:p>
            <w:pPr>
              <w:pStyle w:val="TableParagraph"/>
              <w:spacing w:line="128" w:lineRule="exact"/>
              <w:ind w:right="161"/>
              <w:jc w:val="right"/>
              <w:rPr>
                <w:sz w:val="14"/>
              </w:rPr>
            </w:pPr>
            <w:r>
              <w:rPr>
                <w:color w:val="231F20"/>
                <w:sz w:val="14"/>
              </w:rPr>
              <w:t>3.5</w:t>
            </w:r>
          </w:p>
        </w:tc>
        <w:tc>
          <w:tcPr>
            <w:tcW w:w="549" w:type="dxa"/>
          </w:tcPr>
          <w:p>
            <w:pPr>
              <w:pStyle w:val="TableParagraph"/>
              <w:spacing w:line="128" w:lineRule="exact"/>
              <w:ind w:left="171"/>
              <w:rPr>
                <w:sz w:val="14"/>
              </w:rPr>
            </w:pPr>
            <w:r>
              <w:rPr>
                <w:color w:val="231F20"/>
                <w:sz w:val="14"/>
              </w:rPr>
              <w:t>3.4</w:t>
            </w:r>
          </w:p>
        </w:tc>
        <w:tc>
          <w:tcPr>
            <w:tcW w:w="432" w:type="dxa"/>
          </w:tcPr>
          <w:p>
            <w:pPr>
              <w:pStyle w:val="TableParagraph"/>
              <w:spacing w:line="128" w:lineRule="exact"/>
              <w:ind w:right="42"/>
              <w:jc w:val="right"/>
              <w:rPr>
                <w:sz w:val="14"/>
              </w:rPr>
            </w:pPr>
            <w:r>
              <w:rPr>
                <w:color w:val="231F20"/>
                <w:sz w:val="14"/>
              </w:rPr>
              <w:t>3.3</w:t>
            </w:r>
          </w:p>
        </w:tc>
      </w:tr>
      <w:tr>
        <w:trPr>
          <w:trHeight w:val="140" w:hRule="atLeast"/>
        </w:trPr>
        <w:tc>
          <w:tcPr>
            <w:tcW w:w="1032" w:type="dxa"/>
          </w:tcPr>
          <w:p>
            <w:pPr>
              <w:pStyle w:val="TableParagraph"/>
              <w:spacing w:line="120" w:lineRule="exact"/>
              <w:ind w:left="50"/>
              <w:rPr>
                <w:sz w:val="14"/>
              </w:rPr>
            </w:pPr>
            <w:r>
              <w:rPr>
                <w:color w:val="231F20"/>
                <w:sz w:val="14"/>
              </w:rPr>
              <w:t>THARP</w:t>
            </w:r>
          </w:p>
        </w:tc>
        <w:tc>
          <w:tcPr>
            <w:tcW w:w="485" w:type="dxa"/>
          </w:tcPr>
          <w:p>
            <w:pPr>
              <w:pStyle w:val="TableParagraph"/>
              <w:spacing w:line="120" w:lineRule="exact"/>
              <w:ind w:left="123"/>
              <w:rPr>
                <w:sz w:val="14"/>
              </w:rPr>
            </w:pPr>
            <w:r>
              <w:rPr>
                <w:color w:val="231F20"/>
                <w:sz w:val="14"/>
              </w:rPr>
              <w:t>2.9</w:t>
            </w:r>
          </w:p>
        </w:tc>
        <w:tc>
          <w:tcPr>
            <w:tcW w:w="519" w:type="dxa"/>
          </w:tcPr>
          <w:p>
            <w:pPr>
              <w:pStyle w:val="TableParagraph"/>
              <w:spacing w:line="120" w:lineRule="exact"/>
              <w:ind w:left="167" w:right="135"/>
              <w:jc w:val="center"/>
              <w:rPr>
                <w:sz w:val="14"/>
              </w:rPr>
            </w:pPr>
            <w:r>
              <w:rPr>
                <w:color w:val="231F20"/>
                <w:sz w:val="14"/>
              </w:rPr>
              <w:t>2.9</w:t>
            </w:r>
          </w:p>
        </w:tc>
        <w:tc>
          <w:tcPr>
            <w:tcW w:w="499" w:type="dxa"/>
          </w:tcPr>
          <w:p>
            <w:pPr>
              <w:pStyle w:val="TableParagraph"/>
              <w:spacing w:line="120" w:lineRule="exact"/>
              <w:ind w:left="140" w:right="143"/>
              <w:jc w:val="center"/>
              <w:rPr>
                <w:sz w:val="14"/>
              </w:rPr>
            </w:pPr>
            <w:r>
              <w:rPr>
                <w:color w:val="231F20"/>
                <w:sz w:val="14"/>
              </w:rPr>
              <w:t>3.1</w:t>
            </w:r>
          </w:p>
        </w:tc>
        <w:tc>
          <w:tcPr>
            <w:tcW w:w="509" w:type="dxa"/>
          </w:tcPr>
          <w:p>
            <w:pPr>
              <w:pStyle w:val="TableParagraph"/>
              <w:spacing w:line="120" w:lineRule="exact"/>
              <w:ind w:right="161"/>
              <w:jc w:val="right"/>
              <w:rPr>
                <w:sz w:val="14"/>
              </w:rPr>
            </w:pPr>
            <w:r>
              <w:rPr>
                <w:color w:val="231F20"/>
                <w:sz w:val="14"/>
              </w:rPr>
              <w:t>2.9</w:t>
            </w:r>
          </w:p>
        </w:tc>
        <w:tc>
          <w:tcPr>
            <w:tcW w:w="549" w:type="dxa"/>
          </w:tcPr>
          <w:p>
            <w:pPr>
              <w:pStyle w:val="TableParagraph"/>
              <w:spacing w:line="120" w:lineRule="exact"/>
              <w:ind w:left="171"/>
              <w:rPr>
                <w:sz w:val="14"/>
              </w:rPr>
            </w:pPr>
            <w:r>
              <w:rPr>
                <w:color w:val="231F20"/>
                <w:sz w:val="14"/>
              </w:rPr>
              <w:t>2.9</w:t>
            </w:r>
          </w:p>
        </w:tc>
        <w:tc>
          <w:tcPr>
            <w:tcW w:w="432" w:type="dxa"/>
          </w:tcPr>
          <w:p>
            <w:pPr>
              <w:pStyle w:val="TableParagraph"/>
              <w:spacing w:line="120" w:lineRule="exact"/>
              <w:ind w:right="42"/>
              <w:jc w:val="right"/>
              <w:rPr>
                <w:sz w:val="14"/>
              </w:rPr>
            </w:pPr>
            <w:r>
              <w:rPr>
                <w:color w:val="231F20"/>
                <w:sz w:val="14"/>
              </w:rPr>
              <w:t>3.0</w:t>
            </w:r>
          </w:p>
        </w:tc>
      </w:tr>
      <w:tr>
        <w:trPr>
          <w:trHeight w:val="140" w:hRule="atLeast"/>
        </w:trPr>
        <w:tc>
          <w:tcPr>
            <w:tcW w:w="1032" w:type="dxa"/>
          </w:tcPr>
          <w:p>
            <w:pPr>
              <w:pStyle w:val="TableParagraph"/>
              <w:spacing w:line="120" w:lineRule="exact"/>
              <w:ind w:left="50"/>
              <w:rPr>
                <w:sz w:val="14"/>
              </w:rPr>
            </w:pPr>
            <w:r>
              <w:rPr>
                <w:color w:val="231F20"/>
                <w:sz w:val="14"/>
              </w:rPr>
              <w:t>Trimmed mean</w:t>
            </w:r>
          </w:p>
        </w:tc>
        <w:tc>
          <w:tcPr>
            <w:tcW w:w="485" w:type="dxa"/>
          </w:tcPr>
          <w:p>
            <w:pPr>
              <w:pStyle w:val="TableParagraph"/>
              <w:spacing w:line="120" w:lineRule="exact"/>
              <w:ind w:left="123"/>
              <w:rPr>
                <w:sz w:val="14"/>
              </w:rPr>
            </w:pPr>
            <w:r>
              <w:rPr>
                <w:color w:val="231F20"/>
                <w:sz w:val="14"/>
              </w:rPr>
              <w:t>2.4</w:t>
            </w:r>
          </w:p>
        </w:tc>
        <w:tc>
          <w:tcPr>
            <w:tcW w:w="519" w:type="dxa"/>
          </w:tcPr>
          <w:p>
            <w:pPr>
              <w:pStyle w:val="TableParagraph"/>
              <w:spacing w:line="120" w:lineRule="exact"/>
              <w:ind w:left="167" w:right="135"/>
              <w:jc w:val="center"/>
              <w:rPr>
                <w:sz w:val="14"/>
              </w:rPr>
            </w:pPr>
            <w:r>
              <w:rPr>
                <w:color w:val="231F20"/>
                <w:sz w:val="14"/>
              </w:rPr>
              <w:t>2.5</w:t>
            </w:r>
          </w:p>
        </w:tc>
        <w:tc>
          <w:tcPr>
            <w:tcW w:w="499" w:type="dxa"/>
          </w:tcPr>
          <w:p>
            <w:pPr>
              <w:pStyle w:val="TableParagraph"/>
              <w:spacing w:line="120" w:lineRule="exact"/>
              <w:ind w:left="140" w:right="143"/>
              <w:jc w:val="center"/>
              <w:rPr>
                <w:sz w:val="14"/>
              </w:rPr>
            </w:pPr>
            <w:r>
              <w:rPr>
                <w:color w:val="231F20"/>
                <w:sz w:val="14"/>
              </w:rPr>
              <w:t>2.5</w:t>
            </w:r>
          </w:p>
        </w:tc>
        <w:tc>
          <w:tcPr>
            <w:tcW w:w="509" w:type="dxa"/>
          </w:tcPr>
          <w:p>
            <w:pPr>
              <w:pStyle w:val="TableParagraph"/>
              <w:spacing w:line="120" w:lineRule="exact"/>
              <w:ind w:right="161"/>
              <w:jc w:val="right"/>
              <w:rPr>
                <w:sz w:val="14"/>
              </w:rPr>
            </w:pPr>
            <w:r>
              <w:rPr>
                <w:color w:val="231F20"/>
                <w:sz w:val="14"/>
              </w:rPr>
              <w:t>2.5</w:t>
            </w:r>
          </w:p>
        </w:tc>
        <w:tc>
          <w:tcPr>
            <w:tcW w:w="549" w:type="dxa"/>
          </w:tcPr>
          <w:p>
            <w:pPr>
              <w:pStyle w:val="TableParagraph"/>
              <w:spacing w:line="120" w:lineRule="exact"/>
              <w:ind w:left="171"/>
              <w:rPr>
                <w:sz w:val="14"/>
              </w:rPr>
            </w:pPr>
            <w:r>
              <w:rPr>
                <w:color w:val="231F20"/>
                <w:sz w:val="14"/>
              </w:rPr>
              <w:t>2.5</w:t>
            </w:r>
          </w:p>
        </w:tc>
        <w:tc>
          <w:tcPr>
            <w:tcW w:w="432" w:type="dxa"/>
          </w:tcPr>
          <w:p>
            <w:pPr>
              <w:pStyle w:val="TableParagraph"/>
              <w:spacing w:line="120" w:lineRule="exact"/>
              <w:ind w:right="42"/>
              <w:jc w:val="right"/>
              <w:rPr>
                <w:sz w:val="14"/>
              </w:rPr>
            </w:pPr>
            <w:r>
              <w:rPr>
                <w:color w:val="231F20"/>
                <w:sz w:val="14"/>
              </w:rPr>
              <w:t>2.4</w:t>
            </w:r>
          </w:p>
        </w:tc>
      </w:tr>
      <w:tr>
        <w:trPr>
          <w:trHeight w:val="140" w:hRule="atLeast"/>
        </w:trPr>
        <w:tc>
          <w:tcPr>
            <w:tcW w:w="1032" w:type="dxa"/>
          </w:tcPr>
          <w:p>
            <w:pPr>
              <w:pStyle w:val="TableParagraph"/>
              <w:spacing w:line="120" w:lineRule="exact"/>
              <w:ind w:left="50"/>
              <w:rPr>
                <w:sz w:val="14"/>
              </w:rPr>
            </w:pPr>
            <w:r>
              <w:rPr>
                <w:color w:val="231F20"/>
                <w:sz w:val="14"/>
              </w:rPr>
              <w:t>Median</w:t>
            </w:r>
          </w:p>
        </w:tc>
        <w:tc>
          <w:tcPr>
            <w:tcW w:w="485" w:type="dxa"/>
          </w:tcPr>
          <w:p>
            <w:pPr>
              <w:pStyle w:val="TableParagraph"/>
              <w:spacing w:line="120" w:lineRule="exact"/>
              <w:ind w:left="123"/>
              <w:rPr>
                <w:sz w:val="14"/>
              </w:rPr>
            </w:pPr>
            <w:r>
              <w:rPr>
                <w:color w:val="231F20"/>
                <w:sz w:val="14"/>
              </w:rPr>
              <w:t>2.0</w:t>
            </w:r>
          </w:p>
        </w:tc>
        <w:tc>
          <w:tcPr>
            <w:tcW w:w="519" w:type="dxa"/>
          </w:tcPr>
          <w:p>
            <w:pPr>
              <w:pStyle w:val="TableParagraph"/>
              <w:spacing w:line="120" w:lineRule="exact"/>
              <w:ind w:left="168" w:right="135"/>
              <w:jc w:val="center"/>
              <w:rPr>
                <w:sz w:val="14"/>
              </w:rPr>
            </w:pPr>
            <w:r>
              <w:rPr>
                <w:color w:val="231F20"/>
                <w:sz w:val="14"/>
              </w:rPr>
              <w:t>2.1</w:t>
            </w:r>
          </w:p>
        </w:tc>
        <w:tc>
          <w:tcPr>
            <w:tcW w:w="499" w:type="dxa"/>
          </w:tcPr>
          <w:p>
            <w:pPr>
              <w:pStyle w:val="TableParagraph"/>
              <w:spacing w:line="120" w:lineRule="exact"/>
              <w:ind w:left="139" w:right="143"/>
              <w:jc w:val="center"/>
              <w:rPr>
                <w:sz w:val="14"/>
              </w:rPr>
            </w:pPr>
            <w:r>
              <w:rPr>
                <w:color w:val="231F20"/>
                <w:sz w:val="14"/>
              </w:rPr>
              <w:t>2.1</w:t>
            </w:r>
          </w:p>
        </w:tc>
        <w:tc>
          <w:tcPr>
            <w:tcW w:w="509" w:type="dxa"/>
          </w:tcPr>
          <w:p>
            <w:pPr>
              <w:pStyle w:val="TableParagraph"/>
              <w:spacing w:line="120" w:lineRule="exact"/>
              <w:ind w:right="161"/>
              <w:jc w:val="right"/>
              <w:rPr>
                <w:sz w:val="14"/>
              </w:rPr>
            </w:pPr>
            <w:r>
              <w:rPr>
                <w:color w:val="231F20"/>
                <w:sz w:val="14"/>
              </w:rPr>
              <w:t>2.1</w:t>
            </w:r>
          </w:p>
        </w:tc>
        <w:tc>
          <w:tcPr>
            <w:tcW w:w="549" w:type="dxa"/>
          </w:tcPr>
          <w:p>
            <w:pPr>
              <w:pStyle w:val="TableParagraph"/>
              <w:spacing w:line="120" w:lineRule="exact"/>
              <w:ind w:left="171"/>
              <w:rPr>
                <w:sz w:val="14"/>
              </w:rPr>
            </w:pPr>
            <w:r>
              <w:rPr>
                <w:color w:val="231F20"/>
                <w:sz w:val="14"/>
              </w:rPr>
              <w:t>2.2</w:t>
            </w:r>
          </w:p>
        </w:tc>
        <w:tc>
          <w:tcPr>
            <w:tcW w:w="432" w:type="dxa"/>
          </w:tcPr>
          <w:p>
            <w:pPr>
              <w:pStyle w:val="TableParagraph"/>
              <w:spacing w:line="120" w:lineRule="exact"/>
              <w:ind w:right="42"/>
              <w:jc w:val="right"/>
              <w:rPr>
                <w:sz w:val="14"/>
              </w:rPr>
            </w:pPr>
            <w:r>
              <w:rPr>
                <w:color w:val="231F20"/>
                <w:sz w:val="14"/>
              </w:rPr>
              <w:t>2.2</w:t>
            </w:r>
          </w:p>
        </w:tc>
      </w:tr>
      <w:tr>
        <w:trPr>
          <w:trHeight w:val="147" w:hRule="atLeast"/>
        </w:trPr>
        <w:tc>
          <w:tcPr>
            <w:tcW w:w="1032" w:type="dxa"/>
          </w:tcPr>
          <w:p>
            <w:pPr>
              <w:pStyle w:val="TableParagraph"/>
              <w:spacing w:line="128" w:lineRule="exact"/>
              <w:ind w:left="50"/>
              <w:rPr>
                <w:sz w:val="12"/>
              </w:rPr>
            </w:pPr>
            <w:r>
              <w:rPr>
                <w:color w:val="231F20"/>
                <w:sz w:val="14"/>
              </w:rPr>
              <w:t>HICP </w:t>
            </w:r>
            <w:r>
              <w:rPr>
                <w:color w:val="231F20"/>
                <w:sz w:val="12"/>
              </w:rPr>
              <w:t>(b)</w:t>
            </w:r>
          </w:p>
        </w:tc>
        <w:tc>
          <w:tcPr>
            <w:tcW w:w="485" w:type="dxa"/>
          </w:tcPr>
          <w:p>
            <w:pPr>
              <w:pStyle w:val="TableParagraph"/>
              <w:spacing w:line="128" w:lineRule="exact"/>
              <w:ind w:left="123"/>
              <w:rPr>
                <w:sz w:val="14"/>
              </w:rPr>
            </w:pPr>
            <w:r>
              <w:rPr>
                <w:color w:val="231F20"/>
                <w:sz w:val="14"/>
              </w:rPr>
              <w:t>1.6</w:t>
            </w:r>
          </w:p>
        </w:tc>
        <w:tc>
          <w:tcPr>
            <w:tcW w:w="519" w:type="dxa"/>
          </w:tcPr>
          <w:p>
            <w:pPr>
              <w:pStyle w:val="TableParagraph"/>
              <w:spacing w:line="128" w:lineRule="exact"/>
              <w:ind w:left="167" w:right="135"/>
              <w:jc w:val="center"/>
              <w:rPr>
                <w:sz w:val="14"/>
              </w:rPr>
            </w:pPr>
            <w:r>
              <w:rPr>
                <w:color w:val="231F20"/>
                <w:sz w:val="14"/>
              </w:rPr>
              <w:t>1.6</w:t>
            </w:r>
          </w:p>
        </w:tc>
        <w:tc>
          <w:tcPr>
            <w:tcW w:w="499" w:type="dxa"/>
          </w:tcPr>
          <w:p>
            <w:pPr>
              <w:pStyle w:val="TableParagraph"/>
              <w:spacing w:line="128" w:lineRule="exact"/>
              <w:ind w:left="140" w:right="143"/>
              <w:jc w:val="center"/>
              <w:rPr>
                <w:sz w:val="14"/>
              </w:rPr>
            </w:pPr>
            <w:r>
              <w:rPr>
                <w:color w:val="231F20"/>
                <w:sz w:val="14"/>
              </w:rPr>
              <w:t>1.7</w:t>
            </w:r>
          </w:p>
        </w:tc>
        <w:tc>
          <w:tcPr>
            <w:tcW w:w="509" w:type="dxa"/>
          </w:tcPr>
          <w:p>
            <w:pPr>
              <w:pStyle w:val="TableParagraph"/>
              <w:spacing w:line="128" w:lineRule="exact"/>
              <w:ind w:right="161"/>
              <w:jc w:val="right"/>
              <w:rPr>
                <w:sz w:val="14"/>
              </w:rPr>
            </w:pPr>
            <w:r>
              <w:rPr>
                <w:color w:val="231F20"/>
                <w:sz w:val="14"/>
              </w:rPr>
              <w:t>2.0</w:t>
            </w:r>
          </w:p>
        </w:tc>
        <w:tc>
          <w:tcPr>
            <w:tcW w:w="549" w:type="dxa"/>
          </w:tcPr>
          <w:p>
            <w:pPr>
              <w:pStyle w:val="TableParagraph"/>
              <w:spacing w:line="128" w:lineRule="exact"/>
              <w:ind w:left="171"/>
              <w:rPr>
                <w:sz w:val="14"/>
              </w:rPr>
            </w:pPr>
            <w:r>
              <w:rPr>
                <w:color w:val="231F20"/>
                <w:sz w:val="14"/>
              </w:rPr>
              <w:t>2.0</w:t>
            </w:r>
          </w:p>
        </w:tc>
        <w:tc>
          <w:tcPr>
            <w:tcW w:w="432" w:type="dxa"/>
          </w:tcPr>
          <w:p>
            <w:pPr>
              <w:pStyle w:val="TableParagraph"/>
              <w:spacing w:line="128" w:lineRule="exact"/>
              <w:ind w:right="42"/>
              <w:jc w:val="right"/>
              <w:rPr>
                <w:sz w:val="14"/>
              </w:rPr>
            </w:pPr>
            <w:r>
              <w:rPr>
                <w:color w:val="231F20"/>
                <w:sz w:val="14"/>
              </w:rPr>
              <w:t>1.8</w:t>
            </w:r>
          </w:p>
        </w:tc>
      </w:tr>
    </w:tbl>
    <w:p>
      <w:pPr>
        <w:spacing w:before="97"/>
        <w:ind w:left="190" w:right="0" w:firstLine="0"/>
        <w:jc w:val="left"/>
        <w:rPr>
          <w:sz w:val="12"/>
        </w:rPr>
      </w:pPr>
      <w:r>
        <w:rPr>
          <w:color w:val="231F20"/>
          <w:sz w:val="12"/>
        </w:rPr>
        <w:t>Sources: ONS and Bank calculations.</w:t>
      </w:r>
    </w:p>
    <w:p>
      <w:pPr>
        <w:pStyle w:val="ListParagraph"/>
        <w:numPr>
          <w:ilvl w:val="0"/>
          <w:numId w:val="34"/>
        </w:numPr>
        <w:tabs>
          <w:tab w:pos="430" w:val="left" w:leader="none"/>
        </w:tabs>
        <w:spacing w:line="129" w:lineRule="exact" w:before="102" w:after="0"/>
        <w:ind w:left="430" w:right="0" w:hanging="240"/>
        <w:jc w:val="left"/>
        <w:rPr>
          <w:sz w:val="12"/>
        </w:rPr>
      </w:pPr>
      <w:r>
        <w:rPr>
          <w:color w:val="231F20"/>
          <w:sz w:val="12"/>
        </w:rPr>
        <w:t>Data are seasonally adjusted by the Bank.</w:t>
      </w:r>
    </w:p>
    <w:p>
      <w:pPr>
        <w:pStyle w:val="ListParagraph"/>
        <w:numPr>
          <w:ilvl w:val="0"/>
          <w:numId w:val="34"/>
        </w:numPr>
        <w:tabs>
          <w:tab w:pos="430" w:val="left" w:leader="none"/>
        </w:tabs>
        <w:spacing w:line="129" w:lineRule="exact" w:before="0" w:after="0"/>
        <w:ind w:left="430" w:right="0" w:hanging="240"/>
        <w:jc w:val="left"/>
        <w:rPr>
          <w:sz w:val="12"/>
        </w:rPr>
      </w:pPr>
      <w:r>
        <w:rPr>
          <w:color w:val="231F20"/>
          <w:sz w:val="12"/>
        </w:rPr>
        <w:t>Harmonised index of consumer prices.</w:t>
      </w:r>
    </w:p>
    <w:p>
      <w:pPr>
        <w:pStyle w:val="Heading5"/>
        <w:spacing w:line="242" w:lineRule="auto" w:before="207"/>
        <w:ind w:left="181" w:right="196"/>
      </w:pPr>
      <w:r>
        <w:rPr/>
        <w:br w:type="column"/>
      </w:r>
      <w:r>
        <w:rPr>
          <w:color w:val="231F20"/>
        </w:rPr>
        <w:t>of the RPI basket with high proportions of imports— such as clothing and footwear, household goods and leisure goods—are in most cases still showing positive rates of twelve-month price inflation. This may be because retailers may have taken advantage of strong spending, particularly on durables, in the second and third quarter</w:t>
      </w:r>
      <w:hyperlink w:history="true" w:anchor="_bookmark17">
        <w:r>
          <w:rPr>
            <w:color w:val="231F20"/>
          </w:rPr>
          <w:t>s (see Section 3)</w:t>
        </w:r>
      </w:hyperlink>
      <w:r>
        <w:rPr>
          <w:color w:val="231F20"/>
        </w:rPr>
        <w:t> to maintain or raise their prices.</w:t>
      </w:r>
    </w:p>
    <w:p>
      <w:pPr>
        <w:pStyle w:val="BodyText"/>
        <w:spacing w:before="9"/>
        <w:rPr>
          <w:sz w:val="28"/>
        </w:rPr>
      </w:pPr>
    </w:p>
    <w:p>
      <w:pPr>
        <w:spacing w:line="242" w:lineRule="auto" w:before="0"/>
        <w:ind w:left="180" w:right="196" w:firstLine="0"/>
        <w:jc w:val="left"/>
        <w:rPr>
          <w:sz w:val="24"/>
        </w:rPr>
      </w:pPr>
      <w:r>
        <w:rPr>
          <w:color w:val="231F20"/>
          <w:sz w:val="24"/>
        </w:rPr>
        <w:t>Estimates suggest that retailers’ margins widened in the second quarter, as retail goods prices rose while most input costs fell. The further rises in goods prices in Q3 may mean that retailers have taken advantage of the strength of nominal demand to widen their margins. If retailers expected further strong spending in the fourth quarter, there is a risk that this may continue.</w:t>
      </w:r>
    </w:p>
    <w:p>
      <w:pPr>
        <w:pStyle w:val="BodyText"/>
        <w:spacing w:before="7"/>
        <w:rPr>
          <w:sz w:val="28"/>
        </w:rPr>
      </w:pPr>
    </w:p>
    <w:p>
      <w:pPr>
        <w:spacing w:line="242" w:lineRule="auto" w:before="0"/>
        <w:ind w:left="180" w:right="196" w:firstLine="0"/>
        <w:jc w:val="left"/>
        <w:rPr>
          <w:sz w:val="24"/>
        </w:rPr>
      </w:pPr>
      <w:r>
        <w:rPr>
          <w:color w:val="231F20"/>
          <w:sz w:val="24"/>
        </w:rPr>
        <w:t>Retail service price annual inflation excluding mortgage interest payments fell by 0.2 percentage points to 2.8% in September. The cut in VAT on fuel from 8% to 5% announced in the July Budget further depressed— already very low—utilities inflation. The twelve-month change in RPI utilities prices fell from -1.4% in August to -2.6% in September. Excluding utilities and rent, service price inflation was unchanged at 4.5% in September. The moderation in service sector cost and price pressures will probably restrain service price inflation from rising much more above goods price inflation during the fourth quarter.</w:t>
      </w:r>
    </w:p>
    <w:p>
      <w:pPr>
        <w:pStyle w:val="BodyText"/>
        <w:spacing w:before="9"/>
        <w:rPr>
          <w:sz w:val="32"/>
        </w:rPr>
      </w:pPr>
    </w:p>
    <w:p>
      <w:pPr>
        <w:pStyle w:val="ListParagraph"/>
        <w:numPr>
          <w:ilvl w:val="1"/>
          <w:numId w:val="32"/>
        </w:numPr>
        <w:tabs>
          <w:tab w:pos="3175" w:val="left" w:leader="none"/>
          <w:tab w:pos="3176" w:val="left" w:leader="none"/>
        </w:tabs>
        <w:spacing w:line="240" w:lineRule="auto" w:before="0" w:after="0"/>
        <w:ind w:left="3176" w:right="0" w:hanging="2995"/>
        <w:jc w:val="left"/>
        <w:rPr>
          <w:b/>
          <w:color w:val="009483"/>
          <w:sz w:val="28"/>
        </w:rPr>
      </w:pPr>
      <w:r>
        <w:rPr>
          <w:b/>
          <w:color w:val="009483"/>
          <w:sz w:val="28"/>
          <w:u w:val="thick" w:color="0093C1"/>
        </w:rPr>
        <w:t>Other price</w:t>
      </w:r>
      <w:r>
        <w:rPr>
          <w:b/>
          <w:color w:val="009483"/>
          <w:spacing w:val="-1"/>
          <w:sz w:val="28"/>
          <w:u w:val="thick" w:color="0093C1"/>
        </w:rPr>
        <w:t> </w:t>
      </w:r>
      <w:r>
        <w:rPr>
          <w:b/>
          <w:color w:val="009483"/>
          <w:sz w:val="28"/>
          <w:u w:val="thick" w:color="0093C1"/>
        </w:rPr>
        <w:t>indices</w:t>
      </w:r>
      <w:r>
        <w:rPr>
          <w:b/>
          <w:color w:val="009483"/>
          <w:spacing w:val="-11"/>
          <w:sz w:val="28"/>
          <w:u w:val="thick" w:color="0093C1"/>
        </w:rPr>
        <w:t> </w:t>
      </w:r>
    </w:p>
    <w:p>
      <w:pPr>
        <w:pStyle w:val="BodyText"/>
        <w:spacing w:before="5"/>
        <w:rPr>
          <w:b/>
          <w:sz w:val="27"/>
        </w:rPr>
      </w:pPr>
    </w:p>
    <w:p>
      <w:pPr>
        <w:spacing w:line="242" w:lineRule="auto" w:before="0"/>
        <w:ind w:left="181" w:right="155" w:firstLine="0"/>
        <w:jc w:val="left"/>
        <w:rPr>
          <w:sz w:val="24"/>
        </w:rPr>
      </w:pPr>
      <w:r>
        <w:rPr>
          <w:color w:val="231F20"/>
          <w:sz w:val="24"/>
        </w:rPr>
        <w:t>The Bank’s median and trimmed mean inflation measures provide a guide to underlying inflation by stripping out the largest changes in prices at both ends of the distribution. Neither measure rose by as much as RPIX inflation in July and August, mainly because the large rises in petrol prices were stripped out (see</w:t>
      </w:r>
    </w:p>
    <w:p>
      <w:pPr>
        <w:spacing w:line="242" w:lineRule="auto" w:before="8"/>
        <w:ind w:left="181" w:right="196" w:firstLine="0"/>
        <w:jc w:val="left"/>
        <w:rPr>
          <w:sz w:val="24"/>
        </w:rPr>
      </w:pPr>
      <w:r>
        <w:rPr>
          <w:color w:val="231F20"/>
          <w:sz w:val="24"/>
        </w:rPr>
        <w:t>Table 5.D). But both measures confirm that underlying inflation in the third quarter, though as high or higher than in the second quarter, was no higher than at the beginning of 1997.</w:t>
      </w:r>
    </w:p>
    <w:p>
      <w:pPr>
        <w:pStyle w:val="BodyText"/>
        <w:rPr>
          <w:sz w:val="30"/>
        </w:rPr>
      </w:pPr>
    </w:p>
    <w:p>
      <w:pPr>
        <w:spacing w:line="242" w:lineRule="auto" w:before="0"/>
        <w:ind w:left="181" w:right="159" w:hanging="1"/>
        <w:jc w:val="left"/>
        <w:rPr>
          <w:sz w:val="24"/>
        </w:rPr>
      </w:pPr>
      <w:r>
        <w:rPr>
          <w:color w:val="231F20"/>
          <w:sz w:val="24"/>
        </w:rPr>
        <w:t>H</w:t>
      </w:r>
      <w:r>
        <w:rPr>
          <w:color w:val="231F20"/>
          <w:sz w:val="20"/>
        </w:rPr>
        <w:t>ARP </w:t>
      </w:r>
      <w:r>
        <w:rPr>
          <w:color w:val="231F20"/>
          <w:sz w:val="24"/>
        </w:rPr>
        <w:t>and T</w:t>
      </w:r>
      <w:r>
        <w:rPr>
          <w:color w:val="231F20"/>
          <w:sz w:val="20"/>
        </w:rPr>
        <w:t>HARP </w:t>
      </w:r>
      <w:r>
        <w:rPr>
          <w:color w:val="231F20"/>
          <w:sz w:val="24"/>
        </w:rPr>
        <w:t>inflation, which contain a measure of owner-occupied housing costs, continued to exceed their counterparts of RPIX and RPIY throughout the third quarter of 1997. This was because house prices in the previous twelve months rose relatively fast. The Halifax house price index is used in the H</w:t>
      </w:r>
      <w:r>
        <w:rPr>
          <w:color w:val="231F20"/>
          <w:sz w:val="20"/>
        </w:rPr>
        <w:t>ARP </w:t>
      </w:r>
      <w:r>
        <w:rPr>
          <w:color w:val="231F20"/>
          <w:sz w:val="24"/>
        </w:rPr>
        <w:t>and T</w:t>
      </w:r>
      <w:r>
        <w:rPr>
          <w:color w:val="231F20"/>
          <w:sz w:val="20"/>
        </w:rPr>
        <w:t>HARP </w:t>
      </w:r>
      <w:r>
        <w:rPr>
          <w:color w:val="231F20"/>
          <w:sz w:val="24"/>
        </w:rPr>
        <w:t>estimates to proxy housing costs. The Halifax index has</w:t>
      </w:r>
    </w:p>
    <w:p>
      <w:pPr>
        <w:spacing w:after="0" w:line="242" w:lineRule="auto"/>
        <w:jc w:val="left"/>
        <w:rPr>
          <w:sz w:val="24"/>
        </w:rPr>
        <w:sectPr>
          <w:type w:val="continuous"/>
          <w:pgSz w:w="11880" w:h="16840"/>
          <w:pgMar w:top="1040" w:bottom="280" w:left="640" w:right="620"/>
          <w:cols w:num="2" w:equalWidth="0">
            <w:col w:w="4310" w:space="488"/>
            <w:col w:w="5822"/>
          </w:cols>
        </w:sectPr>
      </w:pPr>
    </w:p>
    <w:p>
      <w:pPr>
        <w:pStyle w:val="BodyText"/>
        <w:rPr>
          <w:sz w:val="20"/>
        </w:rPr>
      </w:pPr>
    </w:p>
    <w:p>
      <w:pPr>
        <w:spacing w:line="242" w:lineRule="auto" w:before="227"/>
        <w:ind w:left="4959" w:right="359" w:firstLine="0"/>
        <w:jc w:val="left"/>
        <w:rPr>
          <w:sz w:val="24"/>
        </w:rPr>
      </w:pPr>
      <w:bookmarkStart w:name="GDP deflator and final expenditure price" w:id="84"/>
      <w:bookmarkEnd w:id="84"/>
      <w:r>
        <w:rPr/>
      </w:r>
      <w:bookmarkStart w:name="Summary" w:id="85"/>
      <w:bookmarkEnd w:id="85"/>
      <w:r>
        <w:rPr/>
      </w:r>
      <w:bookmarkStart w:name="_bookmark38" w:id="86"/>
      <w:bookmarkEnd w:id="86"/>
      <w:r>
        <w:rPr/>
      </w:r>
      <w:r>
        <w:rPr>
          <w:color w:val="231F20"/>
          <w:sz w:val="24"/>
        </w:rPr>
        <w:t>recently been showing lower rates of house price inflation than other measures, such as the Nationwide inde</w:t>
      </w:r>
      <w:hyperlink w:history="true" w:anchor="_bookmark17">
        <w:r>
          <w:rPr>
            <w:color w:val="231F20"/>
            <w:sz w:val="24"/>
          </w:rPr>
          <w:t>x (see Section</w:t>
        </w:r>
      </w:hyperlink>
      <w:r>
        <w:rPr>
          <w:color w:val="231F20"/>
          <w:sz w:val="24"/>
        </w:rPr>
        <w:t> 3). So other house price indices imply even higher rates for H</w:t>
      </w:r>
      <w:r>
        <w:rPr>
          <w:color w:val="231F20"/>
          <w:sz w:val="20"/>
        </w:rPr>
        <w:t>ARP </w:t>
      </w:r>
      <w:r>
        <w:rPr>
          <w:color w:val="231F20"/>
          <w:sz w:val="24"/>
        </w:rPr>
        <w:t>and T</w:t>
      </w:r>
      <w:r>
        <w:rPr>
          <w:color w:val="231F20"/>
          <w:sz w:val="20"/>
        </w:rPr>
        <w:t>HARP </w:t>
      </w:r>
      <w:r>
        <w:rPr>
          <w:color w:val="231F20"/>
          <w:sz w:val="24"/>
        </w:rPr>
        <w:t>inflation.</w:t>
      </w:r>
    </w:p>
    <w:p>
      <w:pPr>
        <w:pStyle w:val="BodyText"/>
        <w:spacing w:before="9"/>
        <w:rPr>
          <w:sz w:val="24"/>
        </w:rPr>
      </w:pPr>
    </w:p>
    <w:p>
      <w:pPr>
        <w:spacing w:line="242" w:lineRule="auto" w:before="0"/>
        <w:ind w:left="4960" w:right="168" w:firstLine="0"/>
        <w:jc w:val="left"/>
        <w:rPr>
          <w:sz w:val="24"/>
        </w:rPr>
      </w:pPr>
      <w:r>
        <w:rPr>
          <w:color w:val="231F20"/>
          <w:sz w:val="24"/>
        </w:rPr>
        <w:t>The UK Harmonised Index of Consumer Prices (H</w:t>
      </w:r>
      <w:r>
        <w:rPr>
          <w:color w:val="231F20"/>
          <w:sz w:val="20"/>
        </w:rPr>
        <w:t>ICP</w:t>
      </w:r>
      <w:r>
        <w:rPr>
          <w:color w:val="231F20"/>
          <w:sz w:val="24"/>
        </w:rPr>
        <w:t>) rose by 1.8% in the twelve months to September, down from a rate of 2% in August (see Table 5.D). H</w:t>
      </w:r>
      <w:r>
        <w:rPr>
          <w:color w:val="231F20"/>
          <w:sz w:val="20"/>
        </w:rPr>
        <w:t>ICP </w:t>
      </w:r>
      <w:r>
        <w:rPr>
          <w:color w:val="231F20"/>
          <w:sz w:val="24"/>
        </w:rPr>
        <w:t>inflation has consistently been lower than RPIX inflation in the United Kingdom, for three main reasons. First, it uses a geometric rather than an arithmetic mean to weight together sub-components, which often produces a lower aggregate. Second, it excludes all housing costs, which tend to rise quickly. Third, it includes items such as new cars and airfares, which are not included in the RPI basket and whose prices have tended to rise slowly or fall.</w:t>
      </w:r>
    </w:p>
    <w:p>
      <w:pPr>
        <w:pStyle w:val="BodyText"/>
        <w:spacing w:before="4"/>
        <w:rPr>
          <w:sz w:val="29"/>
        </w:rPr>
      </w:pPr>
    </w:p>
    <w:p>
      <w:pPr>
        <w:pStyle w:val="ListParagraph"/>
        <w:numPr>
          <w:ilvl w:val="1"/>
          <w:numId w:val="32"/>
        </w:numPr>
        <w:tabs>
          <w:tab w:pos="6005" w:val="left" w:leader="none"/>
          <w:tab w:pos="6007" w:val="left" w:leader="none"/>
        </w:tabs>
        <w:spacing w:line="301" w:lineRule="exact" w:before="0" w:after="0"/>
        <w:ind w:left="6006" w:right="0" w:hanging="1047"/>
        <w:jc w:val="left"/>
        <w:rPr>
          <w:b/>
          <w:color w:val="009483"/>
          <w:sz w:val="28"/>
        </w:rPr>
      </w:pPr>
      <w:r>
        <w:rPr>
          <w:b/>
          <w:color w:val="009483"/>
          <w:sz w:val="28"/>
        </w:rPr>
        <w:t>GDP deflator and final</w:t>
      </w:r>
      <w:r>
        <w:rPr>
          <w:b/>
          <w:color w:val="009483"/>
          <w:spacing w:val="-7"/>
          <w:sz w:val="28"/>
        </w:rPr>
        <w:t> </w:t>
      </w:r>
      <w:r>
        <w:rPr>
          <w:b/>
          <w:color w:val="009483"/>
          <w:sz w:val="28"/>
        </w:rPr>
        <w:t>expenditure</w:t>
      </w:r>
    </w:p>
    <w:p>
      <w:pPr>
        <w:tabs>
          <w:tab w:pos="8949" w:val="left" w:leader="none"/>
        </w:tabs>
        <w:spacing w:line="301" w:lineRule="exact" w:before="0"/>
        <w:ind w:left="4960" w:right="0" w:firstLine="0"/>
        <w:jc w:val="left"/>
        <w:rPr>
          <w:b/>
          <w:sz w:val="28"/>
        </w:rPr>
      </w:pPr>
      <w:r>
        <w:rPr>
          <w:b/>
          <w:color w:val="009483"/>
          <w:sz w:val="28"/>
          <w:u w:val="thick" w:color="0093C1"/>
        </w:rPr>
        <w:t> </w:t>
        <w:tab/>
        <w:t>price</w:t>
      </w:r>
      <w:r>
        <w:rPr>
          <w:b/>
          <w:color w:val="009483"/>
          <w:spacing w:val="-1"/>
          <w:sz w:val="28"/>
          <w:u w:val="thick" w:color="0093C1"/>
        </w:rPr>
        <w:t> </w:t>
      </w:r>
      <w:r>
        <w:rPr>
          <w:b/>
          <w:color w:val="009483"/>
          <w:sz w:val="28"/>
          <w:u w:val="thick" w:color="0093C1"/>
        </w:rPr>
        <w:t>index</w:t>
      </w:r>
      <w:r>
        <w:rPr>
          <w:b/>
          <w:color w:val="009483"/>
          <w:spacing w:val="-30"/>
          <w:sz w:val="28"/>
          <w:u w:val="thick" w:color="0093C1"/>
        </w:rPr>
        <w:t> </w:t>
      </w:r>
    </w:p>
    <w:p>
      <w:pPr>
        <w:pStyle w:val="BodyText"/>
        <w:rPr>
          <w:b/>
          <w:sz w:val="24"/>
        </w:rPr>
      </w:pPr>
    </w:p>
    <w:p>
      <w:pPr>
        <w:spacing w:line="242" w:lineRule="auto" w:before="0"/>
        <w:ind w:left="4959" w:right="173" w:firstLine="0"/>
        <w:jc w:val="left"/>
        <w:rPr>
          <w:sz w:val="24"/>
        </w:rPr>
      </w:pPr>
      <w:r>
        <w:rPr>
          <w:color w:val="231F20"/>
          <w:sz w:val="24"/>
        </w:rPr>
        <w:t>The GDP deflator is the price of value added in the economy and so is a measure of domestically generated inflation. But it is less timely than the retail price index, and is frequently revised. The GDP deflator at factor cost rose by 2.3% in the four quarters to 1997 Q2, slightly lower than its upwardly revised rate of 2.4% in the first quarter. The ONS has started to publish an experimental monthly final expenditure price index based on the market prices of consumption, investment and government expenditure. This is a much wider measure of the general price </w:t>
      </w:r>
      <w:r>
        <w:rPr>
          <w:color w:val="231F20"/>
          <w:spacing w:val="-3"/>
          <w:sz w:val="24"/>
        </w:rPr>
        <w:t>level </w:t>
      </w:r>
      <w:r>
        <w:rPr>
          <w:color w:val="231F20"/>
          <w:sz w:val="24"/>
        </w:rPr>
        <w:t>than the retail price index. And unlike the GDP deflator, the direct effect of import price changes on general prices is implicitly included. The index is currently being developed and is subject to revision, but initial estimates suggest that consumer price inflation has been higher than </w:t>
      </w:r>
      <w:r>
        <w:rPr>
          <w:color w:val="231F20"/>
          <w:spacing w:val="-4"/>
          <w:sz w:val="24"/>
        </w:rPr>
        <w:t>investment </w:t>
      </w:r>
      <w:r>
        <w:rPr>
          <w:color w:val="231F20"/>
          <w:sz w:val="24"/>
        </w:rPr>
        <w:t>and government expenditure price inflation since the beginning of</w:t>
      </w:r>
      <w:r>
        <w:rPr>
          <w:color w:val="231F20"/>
          <w:spacing w:val="-1"/>
          <w:sz w:val="24"/>
        </w:rPr>
        <w:t> </w:t>
      </w:r>
      <w:r>
        <w:rPr>
          <w:color w:val="231F20"/>
          <w:sz w:val="24"/>
        </w:rPr>
        <w:t>1997.</w:t>
      </w:r>
    </w:p>
    <w:p>
      <w:pPr>
        <w:pStyle w:val="BodyText"/>
        <w:spacing w:before="4"/>
        <w:rPr>
          <w:sz w:val="22"/>
        </w:rPr>
      </w:pPr>
    </w:p>
    <w:p>
      <w:pPr>
        <w:pStyle w:val="ListParagraph"/>
        <w:numPr>
          <w:ilvl w:val="1"/>
          <w:numId w:val="32"/>
        </w:numPr>
        <w:tabs>
          <w:tab w:pos="9057" w:val="left" w:leader="none"/>
          <w:tab w:pos="9059" w:val="left" w:leader="none"/>
          <w:tab w:pos="10459" w:val="left" w:leader="none"/>
        </w:tabs>
        <w:spacing w:line="240" w:lineRule="auto" w:before="88" w:after="0"/>
        <w:ind w:left="9058" w:right="0" w:hanging="4099"/>
        <w:jc w:val="left"/>
        <w:rPr>
          <w:b/>
          <w:color w:val="009483"/>
          <w:sz w:val="28"/>
        </w:rPr>
      </w:pPr>
      <w:r>
        <w:rPr>
          <w:b/>
          <w:color w:val="009483"/>
          <w:sz w:val="28"/>
          <w:u w:val="thick" w:color="0093C1"/>
        </w:rPr>
        <w:t>Summary</w:t>
        <w:tab/>
      </w:r>
    </w:p>
    <w:p>
      <w:pPr>
        <w:pStyle w:val="BodyText"/>
        <w:spacing w:before="11"/>
        <w:rPr>
          <w:b/>
          <w:sz w:val="23"/>
        </w:rPr>
      </w:pPr>
    </w:p>
    <w:p>
      <w:pPr>
        <w:spacing w:line="242" w:lineRule="auto" w:before="0"/>
        <w:ind w:left="4959" w:right="168" w:firstLine="0"/>
        <w:jc w:val="left"/>
        <w:rPr>
          <w:sz w:val="24"/>
        </w:rPr>
      </w:pPr>
      <w:r>
        <w:rPr>
          <w:color w:val="231F20"/>
          <w:sz w:val="24"/>
        </w:rPr>
        <w:t>Import prices </w:t>
      </w:r>
      <w:r>
        <w:rPr>
          <w:color w:val="231F20"/>
          <w:spacing w:val="-3"/>
          <w:sz w:val="24"/>
        </w:rPr>
        <w:t>have </w:t>
      </w:r>
      <w:r>
        <w:rPr>
          <w:color w:val="231F20"/>
          <w:sz w:val="24"/>
        </w:rPr>
        <w:t>still fallen by less than sterling has appreciated since August 1996. This contributed to higher-than-expected retail goods and overall RPIX inflation in the third quarter, though both were lower than at the beginning of 1997. Inflationary pressures in the manufacturing sector may </w:t>
      </w:r>
      <w:r>
        <w:rPr>
          <w:color w:val="231F20"/>
          <w:spacing w:val="-3"/>
          <w:sz w:val="24"/>
        </w:rPr>
        <w:t>have </w:t>
      </w:r>
      <w:r>
        <w:rPr>
          <w:color w:val="231F20"/>
          <w:sz w:val="24"/>
        </w:rPr>
        <w:t>risen slightly from historically low levels, while those in services seem to</w:t>
      </w:r>
      <w:r>
        <w:rPr>
          <w:color w:val="231F20"/>
          <w:spacing w:val="-20"/>
          <w:sz w:val="24"/>
        </w:rPr>
        <w:t> </w:t>
      </w:r>
      <w:r>
        <w:rPr>
          <w:color w:val="231F20"/>
          <w:spacing w:val="-6"/>
          <w:sz w:val="24"/>
        </w:rPr>
        <w:t>be </w:t>
      </w:r>
      <w:r>
        <w:rPr>
          <w:color w:val="231F20"/>
          <w:sz w:val="24"/>
        </w:rPr>
        <w:t>moderating.</w:t>
      </w:r>
    </w:p>
    <w:p>
      <w:pPr>
        <w:spacing w:after="0" w:line="242" w:lineRule="auto"/>
        <w:jc w:val="left"/>
        <w:rPr>
          <w:sz w:val="24"/>
        </w:rPr>
        <w:sectPr>
          <w:pgSz w:w="11880" w:h="16840"/>
          <w:pgMar w:header="586" w:footer="617" w:top="780" w:bottom="800" w:left="640" w:right="62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39.669998pt;margin-top:12.000977pt;width:517pt;height:47.5pt;mso-position-horizontal-relative:page;mso-position-vertical-relative:paragraph;z-index:-15390208;mso-wrap-distance-left:0;mso-wrap-distance-right:0" type="#_x0000_t202" filled="true" fillcolor="#b5dad6" stroked="false">
            <v:textbox inset="0,0,0,0">
              <w:txbxContent>
                <w:p>
                  <w:pPr>
                    <w:tabs>
                      <w:tab w:pos="1819" w:val="left" w:leader="none"/>
                    </w:tabs>
                    <w:spacing w:before="51"/>
                    <w:ind w:left="260" w:right="0" w:firstLine="0"/>
                    <w:jc w:val="left"/>
                    <w:rPr>
                      <w:b/>
                      <w:i/>
                      <w:sz w:val="48"/>
                    </w:rPr>
                  </w:pPr>
                  <w:bookmarkStart w:name="Monetary policy since the August Report" w:id="87"/>
                  <w:bookmarkEnd w:id="87"/>
                  <w:r>
                    <w:rPr/>
                  </w:r>
                  <w:bookmarkStart w:name="_bookmark39" w:id="88"/>
                  <w:bookmarkEnd w:id="88"/>
                  <w:r>
                    <w:rPr/>
                  </w:r>
                  <w:r>
                    <w:rPr>
                      <w:b/>
                      <w:color w:val="009483"/>
                      <w:sz w:val="72"/>
                    </w:rPr>
                    <w:t>6</w:t>
                    <w:tab/>
                  </w:r>
                  <w:r>
                    <w:rPr>
                      <w:b/>
                      <w:color w:val="009483"/>
                      <w:sz w:val="48"/>
                    </w:rPr>
                    <w:t>Monetary policy since the </w:t>
                  </w:r>
                  <w:r>
                    <w:rPr>
                      <w:b/>
                      <w:color w:val="009483"/>
                      <w:spacing w:val="-4"/>
                      <w:sz w:val="48"/>
                    </w:rPr>
                    <w:t>August</w:t>
                  </w:r>
                  <w:r>
                    <w:rPr>
                      <w:b/>
                      <w:color w:val="009483"/>
                      <w:spacing w:val="-2"/>
                      <w:sz w:val="48"/>
                    </w:rPr>
                    <w:t> </w:t>
                  </w:r>
                  <w:r>
                    <w:rPr>
                      <w:b/>
                      <w:i/>
                      <w:color w:val="009483"/>
                      <w:sz w:val="48"/>
                    </w:rPr>
                    <w:t>Report</w:t>
                  </w:r>
                </w:p>
              </w:txbxContent>
            </v:textbox>
            <v:fill type="solid"/>
            <w10:wrap type="topAndBottom"/>
          </v:shape>
        </w:pict>
      </w:r>
    </w:p>
    <w:p>
      <w:pPr>
        <w:pStyle w:val="BodyText"/>
        <w:rPr>
          <w:sz w:val="20"/>
        </w:rPr>
      </w:pPr>
    </w:p>
    <w:p>
      <w:pPr>
        <w:pStyle w:val="BodyText"/>
        <w:rPr>
          <w:sz w:val="20"/>
        </w:rPr>
      </w:pPr>
    </w:p>
    <w:p>
      <w:pPr>
        <w:spacing w:line="242" w:lineRule="auto" w:before="218"/>
        <w:ind w:left="4970" w:right="214" w:firstLine="0"/>
        <w:jc w:val="left"/>
        <w:rPr>
          <w:sz w:val="24"/>
        </w:rPr>
      </w:pPr>
      <w:r>
        <w:rPr>
          <w:color w:val="231F20"/>
          <w:sz w:val="24"/>
        </w:rPr>
        <w:t>This section provides a summary of the economic news and of the monetary policy decisions since the August </w:t>
      </w:r>
      <w:r>
        <w:rPr>
          <w:i/>
          <w:color w:val="231F20"/>
          <w:sz w:val="24"/>
        </w:rPr>
        <w:t>Report</w:t>
      </w:r>
      <w:r>
        <w:rPr>
          <w:color w:val="231F20"/>
          <w:sz w:val="24"/>
        </w:rPr>
        <w:t>, and leads up to the new projection for inflation </w:t>
      </w:r>
      <w:hyperlink w:history="true" w:anchor="_bookmark41">
        <w:r>
          <w:rPr>
            <w:color w:val="231F20"/>
            <w:sz w:val="24"/>
          </w:rPr>
          <w:t>in Section 7.</w:t>
        </w:r>
      </w:hyperlink>
      <w:r>
        <w:rPr>
          <w:color w:val="231F20"/>
          <w:sz w:val="24"/>
        </w:rPr>
        <w:t> The minutes of the August, September and October MPC meetings are attached as an </w:t>
      </w:r>
      <w:hyperlink w:history="true" w:anchor="_bookmark45">
        <w:r>
          <w:rPr>
            <w:color w:val="231F20"/>
            <w:sz w:val="24"/>
          </w:rPr>
          <w:t>Annex</w:t>
        </w:r>
      </w:hyperlink>
      <w:r>
        <w:rPr>
          <w:color w:val="231F20"/>
          <w:sz w:val="24"/>
        </w:rPr>
        <w:t> to this </w:t>
      </w:r>
      <w:r>
        <w:rPr>
          <w:i/>
          <w:color w:val="231F20"/>
          <w:sz w:val="24"/>
        </w:rPr>
        <w:t>Report</w:t>
      </w:r>
      <w:r>
        <w:rPr>
          <w:color w:val="231F20"/>
          <w:sz w:val="24"/>
        </w:rPr>
        <w:t>. The Bank of England’s official dealing rate— the repo rate—was unchanged at the September and October MPC meetings, and was raised by</w:t>
      </w:r>
    </w:p>
    <w:p>
      <w:pPr>
        <w:spacing w:line="242" w:lineRule="auto" w:before="11"/>
        <w:ind w:left="4970" w:right="871" w:firstLine="0"/>
        <w:jc w:val="left"/>
        <w:rPr>
          <w:sz w:val="24"/>
        </w:rPr>
      </w:pPr>
      <w:r>
        <w:rPr>
          <w:color w:val="231F20"/>
          <w:sz w:val="24"/>
        </w:rPr>
        <w:t>0.25 percentage points to 7.25% at the meeting in November.</w:t>
      </w:r>
    </w:p>
    <w:p>
      <w:pPr>
        <w:pStyle w:val="BodyText"/>
        <w:spacing w:before="5"/>
        <w:rPr>
          <w:sz w:val="25"/>
        </w:rPr>
      </w:pPr>
    </w:p>
    <w:p>
      <w:pPr>
        <w:spacing w:after="0"/>
        <w:rPr>
          <w:sz w:val="25"/>
        </w:rPr>
        <w:sectPr>
          <w:headerReference w:type="even" r:id="rId80"/>
          <w:footerReference w:type="even" r:id="rId81"/>
          <w:footerReference w:type="default" r:id="rId82"/>
          <w:pgSz w:w="11880" w:h="16840"/>
          <w:pgMar w:header="0" w:footer="597" w:top="760" w:bottom="780" w:left="640" w:right="620"/>
          <w:pgNumType w:start="42"/>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Heading9"/>
        <w:spacing w:before="0"/>
        <w:ind w:left="170"/>
      </w:pPr>
      <w:r>
        <w:rPr>
          <w:color w:val="0093C1"/>
        </w:rPr>
        <w:t>Table 6.A</w:t>
      </w:r>
    </w:p>
    <w:p>
      <w:pPr>
        <w:spacing w:before="10"/>
        <w:ind w:left="170" w:right="0" w:firstLine="0"/>
        <w:jc w:val="left"/>
        <w:rPr>
          <w:sz w:val="12"/>
        </w:rPr>
      </w:pPr>
      <w:r>
        <w:rPr>
          <w:b/>
          <w:color w:val="0093C1"/>
          <w:sz w:val="20"/>
        </w:rPr>
        <w:t>Contributions to GDP growth in 1997 Q2</w:t>
      </w:r>
      <w:r>
        <w:rPr>
          <w:color w:val="231F20"/>
          <w:position w:val="4"/>
          <w:sz w:val="12"/>
        </w:rPr>
        <w:t>(a)</w:t>
      </w:r>
    </w:p>
    <w:p>
      <w:pPr>
        <w:spacing w:before="106"/>
        <w:ind w:left="170" w:right="0" w:firstLine="0"/>
        <w:jc w:val="left"/>
        <w:rPr>
          <w:sz w:val="14"/>
        </w:rPr>
      </w:pPr>
      <w:r>
        <w:rPr>
          <w:color w:val="231F20"/>
          <w:sz w:val="14"/>
        </w:rPr>
        <w:t>Percentage points, unless stated</w:t>
      </w:r>
    </w:p>
    <w:p>
      <w:pPr>
        <w:pStyle w:val="BodyText"/>
        <w:spacing w:before="10"/>
        <w:rPr>
          <w:sz w:val="1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705"/>
      </w:tblGrid>
      <w:tr>
        <w:trPr>
          <w:trHeight w:val="147" w:hRule="atLeast"/>
        </w:trPr>
        <w:tc>
          <w:tcPr>
            <w:tcW w:w="1767" w:type="dxa"/>
          </w:tcPr>
          <w:p>
            <w:pPr>
              <w:pStyle w:val="TableParagraph"/>
              <w:spacing w:line="128" w:lineRule="exact"/>
              <w:ind w:left="50"/>
              <w:rPr>
                <w:b/>
                <w:sz w:val="14"/>
              </w:rPr>
            </w:pPr>
            <w:r>
              <w:rPr>
                <w:b/>
                <w:color w:val="231F20"/>
                <w:sz w:val="14"/>
              </w:rPr>
              <w:t>Domestic demand</w:t>
            </w:r>
          </w:p>
        </w:tc>
        <w:tc>
          <w:tcPr>
            <w:tcW w:w="705" w:type="dxa"/>
          </w:tcPr>
          <w:p>
            <w:pPr>
              <w:pStyle w:val="TableParagraph"/>
              <w:spacing w:line="128" w:lineRule="exact"/>
              <w:ind w:right="47"/>
              <w:jc w:val="right"/>
              <w:rPr>
                <w:b/>
                <w:sz w:val="14"/>
              </w:rPr>
            </w:pPr>
            <w:r>
              <w:rPr>
                <w:b/>
                <w:color w:val="231F20"/>
                <w:sz w:val="14"/>
              </w:rPr>
              <w:t>1.4</w:t>
            </w:r>
          </w:p>
        </w:tc>
      </w:tr>
      <w:tr>
        <w:trPr>
          <w:trHeight w:val="140" w:hRule="atLeast"/>
        </w:trPr>
        <w:tc>
          <w:tcPr>
            <w:tcW w:w="1767" w:type="dxa"/>
          </w:tcPr>
          <w:p>
            <w:pPr>
              <w:pStyle w:val="TableParagraph"/>
              <w:spacing w:line="120" w:lineRule="exact"/>
              <w:ind w:right="430"/>
              <w:jc w:val="right"/>
              <w:rPr>
                <w:sz w:val="14"/>
              </w:rPr>
            </w:pPr>
            <w:r>
              <w:rPr>
                <w:color w:val="231F20"/>
                <w:sz w:val="14"/>
              </w:rPr>
              <w:t>Private consumption</w:t>
            </w:r>
          </w:p>
        </w:tc>
        <w:tc>
          <w:tcPr>
            <w:tcW w:w="705" w:type="dxa"/>
          </w:tcPr>
          <w:p>
            <w:pPr>
              <w:pStyle w:val="TableParagraph"/>
              <w:spacing w:line="120" w:lineRule="exact"/>
              <w:ind w:right="47"/>
              <w:jc w:val="right"/>
              <w:rPr>
                <w:sz w:val="14"/>
              </w:rPr>
            </w:pPr>
            <w:r>
              <w:rPr>
                <w:color w:val="231F20"/>
                <w:sz w:val="14"/>
              </w:rPr>
              <w:t>1.1</w:t>
            </w:r>
          </w:p>
        </w:tc>
      </w:tr>
      <w:tr>
        <w:trPr>
          <w:trHeight w:val="140" w:hRule="atLeast"/>
        </w:trPr>
        <w:tc>
          <w:tcPr>
            <w:tcW w:w="1767" w:type="dxa"/>
          </w:tcPr>
          <w:p>
            <w:pPr>
              <w:pStyle w:val="TableParagraph"/>
              <w:spacing w:line="120" w:lineRule="exact"/>
              <w:ind w:right="469"/>
              <w:jc w:val="right"/>
              <w:rPr>
                <w:sz w:val="14"/>
              </w:rPr>
            </w:pPr>
            <w:r>
              <w:rPr>
                <w:color w:val="231F20"/>
                <w:sz w:val="14"/>
              </w:rPr>
              <w:t>Public consumption</w:t>
            </w:r>
          </w:p>
        </w:tc>
        <w:tc>
          <w:tcPr>
            <w:tcW w:w="705" w:type="dxa"/>
          </w:tcPr>
          <w:p>
            <w:pPr>
              <w:pStyle w:val="TableParagraph"/>
              <w:spacing w:line="120" w:lineRule="exact"/>
              <w:ind w:right="47"/>
              <w:jc w:val="right"/>
              <w:rPr>
                <w:sz w:val="14"/>
              </w:rPr>
            </w:pPr>
            <w:r>
              <w:rPr>
                <w:color w:val="231F20"/>
                <w:sz w:val="14"/>
              </w:rPr>
              <w:t>0.0</w:t>
            </w:r>
          </w:p>
        </w:tc>
      </w:tr>
      <w:tr>
        <w:trPr>
          <w:trHeight w:val="140" w:hRule="atLeast"/>
        </w:trPr>
        <w:tc>
          <w:tcPr>
            <w:tcW w:w="1767" w:type="dxa"/>
          </w:tcPr>
          <w:p>
            <w:pPr>
              <w:pStyle w:val="TableParagraph"/>
              <w:spacing w:line="120" w:lineRule="exact"/>
              <w:ind w:left="179"/>
              <w:rPr>
                <w:sz w:val="14"/>
              </w:rPr>
            </w:pPr>
            <w:r>
              <w:rPr>
                <w:color w:val="231F20"/>
                <w:sz w:val="14"/>
              </w:rPr>
              <w:t>Investment</w:t>
            </w:r>
          </w:p>
        </w:tc>
        <w:tc>
          <w:tcPr>
            <w:tcW w:w="705" w:type="dxa"/>
          </w:tcPr>
          <w:p>
            <w:pPr>
              <w:pStyle w:val="TableParagraph"/>
              <w:spacing w:line="120" w:lineRule="exact"/>
              <w:ind w:right="47"/>
              <w:jc w:val="right"/>
              <w:rPr>
                <w:sz w:val="14"/>
              </w:rPr>
            </w:pPr>
            <w:r>
              <w:rPr>
                <w:color w:val="231F20"/>
                <w:sz w:val="14"/>
              </w:rPr>
              <w:t>0.0</w:t>
            </w:r>
          </w:p>
        </w:tc>
      </w:tr>
      <w:tr>
        <w:trPr>
          <w:trHeight w:val="140" w:hRule="atLeast"/>
        </w:trPr>
        <w:tc>
          <w:tcPr>
            <w:tcW w:w="1767" w:type="dxa"/>
          </w:tcPr>
          <w:p>
            <w:pPr>
              <w:pStyle w:val="TableParagraph"/>
              <w:spacing w:line="120" w:lineRule="exact"/>
              <w:ind w:left="179"/>
              <w:rPr>
                <w:sz w:val="14"/>
              </w:rPr>
            </w:pPr>
            <w:r>
              <w:rPr>
                <w:color w:val="231F20"/>
                <w:sz w:val="14"/>
              </w:rPr>
              <w:t>Stockbuilding</w:t>
            </w:r>
          </w:p>
        </w:tc>
        <w:tc>
          <w:tcPr>
            <w:tcW w:w="705" w:type="dxa"/>
          </w:tcPr>
          <w:p>
            <w:pPr>
              <w:pStyle w:val="TableParagraph"/>
              <w:spacing w:line="120" w:lineRule="exact"/>
              <w:ind w:right="47"/>
              <w:jc w:val="right"/>
              <w:rPr>
                <w:sz w:val="14"/>
              </w:rPr>
            </w:pPr>
            <w:r>
              <w:rPr>
                <w:color w:val="231F20"/>
                <w:sz w:val="14"/>
              </w:rPr>
              <w:t>0.3</w:t>
            </w:r>
          </w:p>
        </w:tc>
      </w:tr>
      <w:tr>
        <w:trPr>
          <w:trHeight w:val="140" w:hRule="atLeast"/>
        </w:trPr>
        <w:tc>
          <w:tcPr>
            <w:tcW w:w="1767" w:type="dxa"/>
          </w:tcPr>
          <w:p>
            <w:pPr>
              <w:pStyle w:val="TableParagraph"/>
              <w:spacing w:line="120" w:lineRule="exact"/>
              <w:ind w:left="50"/>
              <w:rPr>
                <w:b/>
                <w:sz w:val="14"/>
              </w:rPr>
            </w:pPr>
            <w:r>
              <w:rPr>
                <w:b/>
                <w:color w:val="231F20"/>
                <w:sz w:val="14"/>
              </w:rPr>
              <w:t>Net exports</w:t>
            </w:r>
          </w:p>
        </w:tc>
        <w:tc>
          <w:tcPr>
            <w:tcW w:w="705" w:type="dxa"/>
          </w:tcPr>
          <w:p>
            <w:pPr>
              <w:pStyle w:val="TableParagraph"/>
              <w:spacing w:line="120" w:lineRule="exact"/>
              <w:ind w:right="47"/>
              <w:jc w:val="right"/>
              <w:rPr>
                <w:b/>
                <w:sz w:val="14"/>
              </w:rPr>
            </w:pPr>
            <w:r>
              <w:rPr>
                <w:b/>
                <w:color w:val="231F20"/>
                <w:sz w:val="14"/>
              </w:rPr>
              <w:t>-0.4</w:t>
            </w:r>
          </w:p>
        </w:tc>
      </w:tr>
      <w:tr>
        <w:trPr>
          <w:trHeight w:val="147" w:hRule="atLeast"/>
        </w:trPr>
        <w:tc>
          <w:tcPr>
            <w:tcW w:w="1767" w:type="dxa"/>
          </w:tcPr>
          <w:p>
            <w:pPr>
              <w:pStyle w:val="TableParagraph"/>
              <w:spacing w:line="128" w:lineRule="exact"/>
              <w:ind w:left="50"/>
              <w:rPr>
                <w:sz w:val="12"/>
              </w:rPr>
            </w:pPr>
            <w:r>
              <w:rPr>
                <w:b/>
                <w:color w:val="231F20"/>
                <w:sz w:val="14"/>
              </w:rPr>
              <w:t>GDP </w:t>
            </w:r>
            <w:r>
              <w:rPr>
                <w:color w:val="231F20"/>
                <w:sz w:val="12"/>
              </w:rPr>
              <w:t>(b)</w:t>
            </w:r>
          </w:p>
        </w:tc>
        <w:tc>
          <w:tcPr>
            <w:tcW w:w="705" w:type="dxa"/>
          </w:tcPr>
          <w:p>
            <w:pPr>
              <w:pStyle w:val="TableParagraph"/>
              <w:spacing w:line="128" w:lineRule="exact"/>
              <w:ind w:right="49"/>
              <w:jc w:val="right"/>
              <w:rPr>
                <w:b/>
                <w:sz w:val="14"/>
              </w:rPr>
            </w:pPr>
            <w:r>
              <w:rPr>
                <w:b/>
                <w:color w:val="231F20"/>
                <w:sz w:val="14"/>
              </w:rPr>
              <w:t>0.9</w:t>
            </w:r>
          </w:p>
        </w:tc>
      </w:tr>
    </w:tbl>
    <w:p>
      <w:pPr>
        <w:pStyle w:val="ListParagraph"/>
        <w:numPr>
          <w:ilvl w:val="0"/>
          <w:numId w:val="35"/>
        </w:numPr>
        <w:tabs>
          <w:tab w:pos="410" w:val="left" w:leader="none"/>
        </w:tabs>
        <w:spacing w:line="208" w:lineRule="auto" w:before="132" w:after="0"/>
        <w:ind w:left="410" w:right="38" w:hanging="240"/>
        <w:jc w:val="left"/>
        <w:rPr>
          <w:sz w:val="12"/>
        </w:rPr>
      </w:pPr>
      <w:r>
        <w:rPr>
          <w:color w:val="231F20"/>
          <w:sz w:val="12"/>
        </w:rPr>
        <w:t>Numbers in this table relate to data available at the time of the September MPC meeting. These data have been subsequently revised and are reflected in Section 3. Contributions may not sum to total because of rounding, and because the statistical discrepancy and the factor cost adjustment have been omitted from the table.</w:t>
      </w:r>
    </w:p>
    <w:p>
      <w:pPr>
        <w:pStyle w:val="ListParagraph"/>
        <w:numPr>
          <w:ilvl w:val="0"/>
          <w:numId w:val="35"/>
        </w:numPr>
        <w:tabs>
          <w:tab w:pos="411" w:val="left" w:leader="none"/>
        </w:tabs>
        <w:spacing w:line="123" w:lineRule="exact" w:before="0" w:after="0"/>
        <w:ind w:left="410" w:right="0" w:hanging="241"/>
        <w:jc w:val="left"/>
        <w:rPr>
          <w:sz w:val="12"/>
        </w:rPr>
      </w:pPr>
      <w:r>
        <w:rPr>
          <w:color w:val="231F20"/>
          <w:sz w:val="12"/>
        </w:rPr>
        <w:t>Percentage change on previous quarter.</w:t>
      </w:r>
    </w:p>
    <w:p>
      <w:pPr>
        <w:pStyle w:val="Heading5"/>
        <w:spacing w:line="242" w:lineRule="auto" w:before="90"/>
        <w:ind w:left="170" w:right="191"/>
      </w:pPr>
      <w:r>
        <w:rPr/>
        <w:br w:type="column"/>
      </w:r>
      <w:r>
        <w:rPr>
          <w:color w:val="231F20"/>
        </w:rPr>
        <w:t>At the time of the August </w:t>
      </w:r>
      <w:r>
        <w:rPr>
          <w:i/>
          <w:color w:val="231F20"/>
        </w:rPr>
        <w:t>Report</w:t>
      </w:r>
      <w:r>
        <w:rPr>
          <w:color w:val="231F20"/>
        </w:rPr>
        <w:t>, the MPC concluded that the risks to the central projection for inflation appeared more on the upside. These risks derived particularly from the impact of money and credit on the pace of domestic demand growth, and from the impact on consumption of windfall gains. The Bank subsequently commissioned M</w:t>
      </w:r>
      <w:r>
        <w:rPr>
          <w:color w:val="231F20"/>
          <w:sz w:val="20"/>
        </w:rPr>
        <w:t>ORI </w:t>
      </w:r>
      <w:r>
        <w:rPr>
          <w:color w:val="231F20"/>
        </w:rPr>
        <w:t>to conduct a survey on windfall gains. The upside risks were partly offset by the possibility that unemployment remained above the point at which inflationary pressures would emerge. In the short run, the Committee was particularly concerned about the uncertainties related to volatile asset prices such as equity prices and the exchange rate. The possibility of a correction to equity prices represented a downside risk to inflation, while a possible sharp fall in sterling represented an upside risk. The MPC concluded that monetary policy had reached a position where it should be possible to pause to assess the direction in which the risks were likely to materialise.</w:t>
      </w:r>
    </w:p>
    <w:p>
      <w:pPr>
        <w:pStyle w:val="BodyText"/>
        <w:spacing w:before="5"/>
        <w:rPr>
          <w:sz w:val="33"/>
        </w:rPr>
      </w:pPr>
    </w:p>
    <w:p>
      <w:pPr>
        <w:spacing w:line="242" w:lineRule="auto" w:before="0"/>
        <w:ind w:left="170" w:right="247" w:firstLine="0"/>
        <w:jc w:val="left"/>
        <w:rPr>
          <w:sz w:val="24"/>
        </w:rPr>
      </w:pPr>
      <w:r>
        <w:rPr>
          <w:color w:val="231F20"/>
          <w:sz w:val="24"/>
        </w:rPr>
        <w:t>At its meeting on 10–11 September, the MPC reviewed the data released since the August </w:t>
      </w:r>
      <w:r>
        <w:rPr>
          <w:i/>
          <w:color w:val="231F20"/>
          <w:sz w:val="24"/>
        </w:rPr>
        <w:t>Report</w:t>
      </w:r>
      <w:r>
        <w:rPr>
          <w:color w:val="231F20"/>
          <w:sz w:val="24"/>
        </w:rPr>
        <w:t>. The expenditure breakdown of Q2 GDP (see Table 6.A) showed that consumption grew by 1.5%, well above its historic average, in line with earlier expectations. This reflected the underlying strength of income and wealth, and the temporary effect of windfalls. The results of the Bank/M</w:t>
      </w:r>
      <w:r>
        <w:rPr>
          <w:color w:val="231F20"/>
          <w:sz w:val="20"/>
        </w:rPr>
        <w:t>ORI </w:t>
      </w:r>
      <w:r>
        <w:rPr>
          <w:color w:val="231F20"/>
          <w:sz w:val="24"/>
        </w:rPr>
        <w:t>survey on windfall gains, discussed on</w:t>
      </w:r>
    </w:p>
    <w:p>
      <w:pPr>
        <w:spacing w:line="242" w:lineRule="auto" w:before="9"/>
        <w:ind w:left="170" w:right="191" w:firstLine="0"/>
        <w:jc w:val="left"/>
        <w:rPr>
          <w:sz w:val="24"/>
        </w:rPr>
      </w:pPr>
      <w:hyperlink w:history="true" w:anchor="_bookmark19">
        <w:r>
          <w:rPr>
            <w:color w:val="231F20"/>
            <w:sz w:val="24"/>
          </w:rPr>
          <w:t>page 20,</w:t>
        </w:r>
      </w:hyperlink>
      <w:r>
        <w:rPr>
          <w:color w:val="231F20"/>
          <w:sz w:val="24"/>
        </w:rPr>
        <w:t> suggested a more concentrated impact on consumption growth than was assumed in the August </w:t>
      </w:r>
      <w:r>
        <w:rPr>
          <w:i/>
          <w:color w:val="231F20"/>
          <w:sz w:val="24"/>
        </w:rPr>
        <w:t>Report</w:t>
      </w:r>
      <w:r>
        <w:rPr>
          <w:color w:val="231F20"/>
          <w:sz w:val="24"/>
        </w:rPr>
        <w:t>. But the overall level of spending out of </w:t>
      </w:r>
      <w:r>
        <w:rPr>
          <w:color w:val="231F20"/>
          <w:spacing w:val="-3"/>
          <w:sz w:val="24"/>
        </w:rPr>
        <w:t>windfall </w:t>
      </w:r>
      <w:r>
        <w:rPr>
          <w:color w:val="231F20"/>
          <w:sz w:val="24"/>
        </w:rPr>
        <w:t>gains appeared broadly in line with the assumptions made then. The fall in net exports in 1997 Q2 was less than expected at the time of the August </w:t>
      </w:r>
      <w:r>
        <w:rPr>
          <w:i/>
          <w:color w:val="231F20"/>
          <w:sz w:val="24"/>
        </w:rPr>
        <w:t>Report</w:t>
      </w:r>
      <w:r>
        <w:rPr>
          <w:color w:val="231F20"/>
          <w:sz w:val="24"/>
        </w:rPr>
        <w:t>.</w:t>
      </w:r>
      <w:r>
        <w:rPr>
          <w:color w:val="231F20"/>
          <w:spacing w:val="56"/>
          <w:sz w:val="24"/>
        </w:rPr>
        <w:t> </w:t>
      </w:r>
      <w:r>
        <w:rPr>
          <w:color w:val="231F20"/>
          <w:sz w:val="24"/>
        </w:rPr>
        <w:t>But</w:t>
      </w:r>
    </w:p>
    <w:p>
      <w:pPr>
        <w:spacing w:after="0" w:line="242" w:lineRule="auto"/>
        <w:jc w:val="left"/>
        <w:rPr>
          <w:sz w:val="24"/>
        </w:rPr>
        <w:sectPr>
          <w:type w:val="continuous"/>
          <w:pgSz w:w="11880" w:h="16840"/>
          <w:pgMar w:top="1040" w:bottom="280" w:left="640" w:right="620"/>
          <w:cols w:num="2" w:equalWidth="0">
            <w:col w:w="4102" w:space="697"/>
            <w:col w:w="5821"/>
          </w:cols>
        </w:sectPr>
      </w:pPr>
    </w:p>
    <w:p>
      <w:pPr>
        <w:pStyle w:val="BodyText"/>
        <w:rPr>
          <w:sz w:val="20"/>
        </w:rPr>
      </w:pPr>
    </w:p>
    <w:p>
      <w:pPr>
        <w:spacing w:line="242" w:lineRule="auto" w:before="217"/>
        <w:ind w:left="4956" w:right="157" w:hanging="1"/>
        <w:jc w:val="left"/>
        <w:rPr>
          <w:sz w:val="24"/>
        </w:rPr>
      </w:pPr>
      <w:r>
        <w:rPr>
          <w:color w:val="231F20"/>
          <w:sz w:val="24"/>
        </w:rPr>
        <w:t>most surveys of export orders suggested a further deterioration in exports, so the puzzle over the limited effect of sterling’s appreciation remained.</w:t>
      </w:r>
    </w:p>
    <w:p>
      <w:pPr>
        <w:pStyle w:val="BodyText"/>
        <w:spacing w:before="5"/>
        <w:rPr>
          <w:sz w:val="26"/>
        </w:rPr>
      </w:pPr>
    </w:p>
    <w:p>
      <w:pPr>
        <w:spacing w:before="0"/>
        <w:ind w:left="4956" w:right="0" w:firstLine="0"/>
        <w:jc w:val="left"/>
        <w:rPr>
          <w:sz w:val="24"/>
        </w:rPr>
      </w:pPr>
      <w:r>
        <w:rPr>
          <w:color w:val="231F20"/>
          <w:sz w:val="24"/>
        </w:rPr>
        <w:t>Sterling depreciated by around 5% between the</w:t>
      </w:r>
    </w:p>
    <w:p>
      <w:pPr>
        <w:spacing w:line="242" w:lineRule="auto" w:before="4"/>
        <w:ind w:left="4955" w:right="196" w:firstLine="0"/>
        <w:jc w:val="left"/>
        <w:rPr>
          <w:sz w:val="24"/>
        </w:rPr>
      </w:pPr>
      <w:r>
        <w:rPr>
          <w:color w:val="231F20"/>
          <w:sz w:val="24"/>
        </w:rPr>
        <w:t>15 working days before the August MPC meeting, the starting-point for the August inflation projection, and </w:t>
      </w:r>
      <w:r>
        <w:rPr>
          <w:color w:val="231F20"/>
          <w:spacing w:val="-4"/>
          <w:sz w:val="24"/>
        </w:rPr>
        <w:t>the </w:t>
      </w:r>
      <w:r>
        <w:rPr>
          <w:color w:val="231F20"/>
          <w:sz w:val="24"/>
        </w:rPr>
        <w:t>first day of the September meeting. It seemed possible that the part of sterling’s previous appreciation unexplained by expected domestic and overseas interest rates, and by any fiscal policy effects, was unwinding </w:t>
      </w:r>
      <w:r>
        <w:rPr>
          <w:color w:val="231F20"/>
          <w:spacing w:val="-3"/>
          <w:sz w:val="24"/>
        </w:rPr>
        <w:t>quickly. </w:t>
      </w:r>
      <w:r>
        <w:rPr>
          <w:color w:val="231F20"/>
          <w:sz w:val="24"/>
        </w:rPr>
        <w:t>High and rising stock-market prices continued to be a concern, both because of their immediate contribution to consumption and because, if they proved unsustainable, they might create a shock to the real </w:t>
      </w:r>
      <w:r>
        <w:rPr>
          <w:color w:val="231F20"/>
          <w:spacing w:val="-3"/>
          <w:sz w:val="24"/>
        </w:rPr>
        <w:t>economy.</w:t>
      </w:r>
    </w:p>
    <w:p>
      <w:pPr>
        <w:pStyle w:val="BodyText"/>
        <w:spacing w:before="1"/>
        <w:rPr>
          <w:sz w:val="29"/>
        </w:rPr>
      </w:pPr>
    </w:p>
    <w:p>
      <w:pPr>
        <w:spacing w:line="242" w:lineRule="auto" w:before="0"/>
        <w:ind w:left="4955" w:right="236" w:firstLine="0"/>
        <w:jc w:val="left"/>
        <w:rPr>
          <w:sz w:val="24"/>
        </w:rPr>
      </w:pPr>
      <w:r>
        <w:rPr>
          <w:color w:val="231F20"/>
          <w:sz w:val="24"/>
        </w:rPr>
        <w:t>At the September meeting, the MPC agreed that the evidence since the August meeting did not point conclusively in either direction, nor did it resolve the main uncertainties. The Committee voted unanimously to leave interest rates unchanged.</w:t>
      </w:r>
    </w:p>
    <w:p>
      <w:pPr>
        <w:pStyle w:val="BodyText"/>
        <w:spacing w:before="5"/>
        <w:rPr>
          <w:sz w:val="28"/>
        </w:rPr>
      </w:pPr>
    </w:p>
    <w:p>
      <w:pPr>
        <w:spacing w:line="242" w:lineRule="auto" w:before="0"/>
        <w:ind w:left="4955" w:right="236" w:firstLine="0"/>
        <w:jc w:val="left"/>
        <w:rPr>
          <w:sz w:val="24"/>
        </w:rPr>
      </w:pPr>
      <w:r>
        <w:rPr>
          <w:color w:val="231F20"/>
          <w:sz w:val="24"/>
        </w:rPr>
        <w:t>By the time of the meeting on 8–9 October, there were signs that GDP growth in Q3 had been considerably stronger than expected at the time of the August </w:t>
      </w:r>
      <w:r>
        <w:rPr>
          <w:i/>
          <w:color w:val="231F20"/>
          <w:sz w:val="24"/>
        </w:rPr>
        <w:t>Report</w:t>
      </w:r>
      <w:r>
        <w:rPr>
          <w:color w:val="231F20"/>
          <w:sz w:val="24"/>
        </w:rPr>
        <w:t>. There was no evidence that domestic demand had been substantially stronger than expected, so it seemed likely that the unexpected strength of output reflected net exports. There was another large fall in claimant unemployment; and earnings growth and settlements appeared to pick up in July. But the pick-up in earnings was related to bonuses, and if bonus payments were spread out over the full year, earnings growth was around 4</w:t>
      </w:r>
      <w:r>
        <w:rPr>
          <w:color w:val="231F20"/>
          <w:position w:val="8"/>
          <w:sz w:val="12"/>
        </w:rPr>
        <w:t>1</w:t>
      </w:r>
      <w:r>
        <w:rPr>
          <w:color w:val="231F20"/>
          <w:sz w:val="24"/>
        </w:rPr>
        <w:t>/</w:t>
      </w:r>
      <w:r>
        <w:rPr>
          <w:color w:val="231F20"/>
          <w:sz w:val="12"/>
        </w:rPr>
        <w:t>4</w:t>
      </w:r>
      <w:r>
        <w:rPr>
          <w:color w:val="231F20"/>
          <w:sz w:val="24"/>
        </w:rPr>
        <w:t>%–4</w:t>
      </w:r>
      <w:r>
        <w:rPr>
          <w:color w:val="231F20"/>
          <w:position w:val="8"/>
          <w:sz w:val="12"/>
        </w:rPr>
        <w:t>1</w:t>
      </w:r>
      <w:r>
        <w:rPr>
          <w:color w:val="231F20"/>
          <w:sz w:val="24"/>
        </w:rPr>
        <w:t>/</w:t>
      </w:r>
      <w:r>
        <w:rPr>
          <w:color w:val="231F20"/>
          <w:sz w:val="12"/>
        </w:rPr>
        <w:t>2</w:t>
      </w:r>
      <w:r>
        <w:rPr>
          <w:color w:val="231F20"/>
          <w:sz w:val="24"/>
        </w:rPr>
        <w:t>%, and had not increased during the past few months.</w:t>
      </w:r>
    </w:p>
    <w:p>
      <w:pPr>
        <w:pStyle w:val="BodyText"/>
        <w:spacing w:before="2"/>
        <w:rPr>
          <w:sz w:val="29"/>
        </w:rPr>
      </w:pPr>
    </w:p>
    <w:p>
      <w:pPr>
        <w:spacing w:line="242" w:lineRule="auto" w:before="0"/>
        <w:ind w:left="4954" w:right="137" w:firstLine="0"/>
        <w:jc w:val="left"/>
        <w:rPr>
          <w:sz w:val="24"/>
        </w:rPr>
      </w:pPr>
      <w:r>
        <w:rPr>
          <w:color w:val="231F20"/>
          <w:sz w:val="24"/>
        </w:rPr>
        <w:t>RPIX inflation fell to 2.7% in September, compared with 3.0% in July (the latest data at the time of the August </w:t>
      </w:r>
      <w:r>
        <w:rPr>
          <w:i/>
          <w:color w:val="231F20"/>
          <w:sz w:val="24"/>
        </w:rPr>
        <w:t>Report</w:t>
      </w:r>
      <w:r>
        <w:rPr>
          <w:color w:val="231F20"/>
          <w:sz w:val="24"/>
        </w:rPr>
        <w:t>). The fall was less than envisaged in the August projection, and implied a higher starting-point for the short-term projection.</w:t>
      </w:r>
    </w:p>
    <w:p>
      <w:pPr>
        <w:pStyle w:val="BodyText"/>
        <w:spacing w:before="4"/>
        <w:rPr>
          <w:sz w:val="28"/>
        </w:rPr>
      </w:pPr>
    </w:p>
    <w:p>
      <w:pPr>
        <w:spacing w:line="242" w:lineRule="auto" w:before="0"/>
        <w:ind w:left="4955" w:right="157" w:hanging="1"/>
        <w:jc w:val="left"/>
        <w:rPr>
          <w:sz w:val="24"/>
        </w:rPr>
      </w:pPr>
      <w:r>
        <w:rPr>
          <w:color w:val="231F20"/>
          <w:sz w:val="24"/>
        </w:rPr>
        <w:t>Broad money growth now appeared slightly slower than in previous months and earnings growth remained quite low, given the tightening labour market. While many of the developments that the Committee surveyed at the October meeting pointed to faster growth and higher inflation than expected, it remained possible that economic growth was about to slow down, one or two quarters later than expected.</w:t>
      </w:r>
    </w:p>
    <w:p>
      <w:pPr>
        <w:spacing w:after="0" w:line="242" w:lineRule="auto"/>
        <w:jc w:val="left"/>
        <w:rPr>
          <w:sz w:val="24"/>
        </w:rPr>
        <w:sectPr>
          <w:headerReference w:type="default" r:id="rId83"/>
          <w:pgSz w:w="11880" w:h="16840"/>
          <w:pgMar w:header="566" w:footer="597" w:top="760" w:bottom="780" w:left="640" w:right="620"/>
        </w:sectPr>
      </w:pPr>
    </w:p>
    <w:p>
      <w:pPr>
        <w:tabs>
          <w:tab w:pos="10479" w:val="left" w:leader="none"/>
        </w:tabs>
        <w:spacing w:before="82"/>
        <w:ind w:left="140" w:right="0" w:firstLine="0"/>
        <w:jc w:val="left"/>
        <w:rPr>
          <w:sz w:val="16"/>
        </w:rPr>
      </w:pPr>
      <w:r>
        <w:rPr>
          <w:color w:val="231F20"/>
          <w:spacing w:val="-20"/>
          <w:sz w:val="16"/>
          <w:u w:val="single" w:color="231F20"/>
        </w:rPr>
        <w:t> </w:t>
      </w:r>
      <w:r>
        <w:rPr>
          <w:color w:val="231F20"/>
          <w:sz w:val="16"/>
          <w:u w:val="single" w:color="231F20"/>
        </w:rPr>
        <w:t>Inflation Report:  November 1997</w:t>
        <w:tab/>
      </w:r>
    </w:p>
    <w:p>
      <w:pPr>
        <w:pStyle w:val="BodyText"/>
        <w:rPr>
          <w:sz w:val="20"/>
        </w:rPr>
      </w:pPr>
    </w:p>
    <w:p>
      <w:pPr>
        <w:pStyle w:val="Heading5"/>
        <w:spacing w:line="242" w:lineRule="auto" w:before="217"/>
        <w:ind w:left="4971" w:right="195"/>
      </w:pPr>
      <w:r>
        <w:rPr>
          <w:color w:val="231F20"/>
        </w:rPr>
        <w:t>The Committee considered whether a rise in interest rates was needed in order to meet the inflation target. It was possible that the impact on domestic demand of the monetary and fiscal tightening earlier this year would be sufficient to slow the </w:t>
      </w:r>
      <w:r>
        <w:rPr>
          <w:color w:val="231F20"/>
          <w:spacing w:val="-3"/>
        </w:rPr>
        <w:t>economy. </w:t>
      </w:r>
      <w:r>
        <w:rPr>
          <w:color w:val="231F20"/>
        </w:rPr>
        <w:t>On this interpretation, the need for a further rise in interest rates was not yet </w:t>
      </w:r>
      <w:r>
        <w:rPr>
          <w:color w:val="231F20"/>
          <w:spacing w:val="-3"/>
        </w:rPr>
        <w:t>clear. </w:t>
      </w:r>
      <w:r>
        <w:rPr>
          <w:color w:val="231F20"/>
        </w:rPr>
        <w:t>Earnings growth, which had not picked up this year (after adjusting for the timing of bonuses), supported that proposition. A second interpretation was that the early indications of strong growth in the third quarter meant that a slowdown had at least been deferred, and so the risks to the inflation outlook were clearly on the upside. The Committee agreed that it did not, as yet, </w:t>
      </w:r>
      <w:r>
        <w:rPr>
          <w:color w:val="231F20"/>
          <w:spacing w:val="-3"/>
        </w:rPr>
        <w:t>have </w:t>
      </w:r>
      <w:r>
        <w:rPr>
          <w:color w:val="231F20"/>
        </w:rPr>
        <w:t>sufficient information to feel confident in choosing between these two interpretations. Though there were arguments for an immediate move, the Members preferred to wait another month to see </w:t>
      </w:r>
      <w:r>
        <w:rPr>
          <w:color w:val="231F20"/>
          <w:spacing w:val="-3"/>
        </w:rPr>
        <w:t>how </w:t>
      </w:r>
      <w:r>
        <w:rPr>
          <w:color w:val="231F20"/>
          <w:spacing w:val="-5"/>
        </w:rPr>
        <w:t>the </w:t>
      </w:r>
      <w:r>
        <w:rPr>
          <w:color w:val="231F20"/>
        </w:rPr>
        <w:t>evidence on the balance of risks accumulated. By then, work on the November </w:t>
      </w:r>
      <w:r>
        <w:rPr>
          <w:i/>
          <w:color w:val="231F20"/>
        </w:rPr>
        <w:t>Report </w:t>
      </w:r>
      <w:r>
        <w:rPr>
          <w:color w:val="231F20"/>
        </w:rPr>
        <w:t>would </w:t>
      </w:r>
      <w:r>
        <w:rPr>
          <w:color w:val="231F20"/>
          <w:spacing w:val="-3"/>
        </w:rPr>
        <w:t>have </w:t>
      </w:r>
      <w:r>
        <w:rPr>
          <w:color w:val="231F20"/>
        </w:rPr>
        <w:t>enabled the Committee to make a new inflation forecast. In light of the discussion, the Committee voted unanimously to leave interest rates unchanged in October.</w:t>
      </w:r>
    </w:p>
    <w:p>
      <w:pPr>
        <w:pStyle w:val="BodyText"/>
        <w:spacing w:before="7"/>
        <w:rPr>
          <w:sz w:val="35"/>
        </w:rPr>
      </w:pPr>
    </w:p>
    <w:p>
      <w:pPr>
        <w:spacing w:line="242" w:lineRule="auto" w:before="0"/>
        <w:ind w:left="4972" w:right="157" w:firstLine="0"/>
        <w:jc w:val="left"/>
        <w:rPr>
          <w:sz w:val="24"/>
        </w:rPr>
      </w:pPr>
      <w:r>
        <w:rPr>
          <w:color w:val="231F20"/>
          <w:sz w:val="24"/>
        </w:rPr>
        <w:t>At the time of the November MPC meeting, the first estimate of GDP in the third quarter showed a 1% quarterly increase. This was substantially stronger than expected at the time of the August </w:t>
      </w:r>
      <w:r>
        <w:rPr>
          <w:i/>
          <w:color w:val="231F20"/>
          <w:sz w:val="24"/>
        </w:rPr>
        <w:t>Report</w:t>
      </w:r>
      <w:r>
        <w:rPr>
          <w:color w:val="231F20"/>
          <w:sz w:val="24"/>
        </w:rPr>
        <w:t>. Though no breakdown of the expenditure components was yet available, the recent monthly indicators suggested a strong contribution from domestic demand and</w:t>
      </w:r>
    </w:p>
    <w:p>
      <w:pPr>
        <w:spacing w:line="242" w:lineRule="auto" w:before="10"/>
        <w:ind w:left="4972" w:right="192" w:firstLine="0"/>
        <w:jc w:val="left"/>
        <w:rPr>
          <w:sz w:val="24"/>
        </w:rPr>
      </w:pPr>
      <w:r>
        <w:rPr>
          <w:color w:val="231F20"/>
          <w:sz w:val="24"/>
        </w:rPr>
        <w:t>stronger-than-expected net exports. But there were </w:t>
      </w:r>
      <w:r>
        <w:rPr>
          <w:color w:val="231F20"/>
          <w:spacing w:val="-4"/>
          <w:sz w:val="24"/>
        </w:rPr>
        <w:t>some </w:t>
      </w:r>
      <w:r>
        <w:rPr>
          <w:color w:val="231F20"/>
          <w:sz w:val="24"/>
        </w:rPr>
        <w:t>indications in the Q3 GDP data and in recent surveys to suggest that the rate of growth in the service sector might be slowing. RPIX inflation in September was about </w:t>
      </w:r>
      <w:r>
        <w:rPr>
          <w:color w:val="231F20"/>
          <w:position w:val="8"/>
          <w:sz w:val="12"/>
        </w:rPr>
        <w:t>1</w:t>
      </w:r>
      <w:r>
        <w:rPr>
          <w:color w:val="231F20"/>
          <w:sz w:val="24"/>
        </w:rPr>
        <w:t>/</w:t>
      </w:r>
      <w:r>
        <w:rPr>
          <w:color w:val="231F20"/>
          <w:sz w:val="12"/>
        </w:rPr>
        <w:t>2 </w:t>
      </w:r>
      <w:r>
        <w:rPr>
          <w:color w:val="231F20"/>
          <w:sz w:val="24"/>
        </w:rPr>
        <w:t>percentage point higher than expected at the time of the August</w:t>
      </w:r>
      <w:r>
        <w:rPr>
          <w:color w:val="231F20"/>
          <w:spacing w:val="-1"/>
          <w:sz w:val="24"/>
        </w:rPr>
        <w:t> </w:t>
      </w:r>
      <w:r>
        <w:rPr>
          <w:i/>
          <w:color w:val="231F20"/>
          <w:sz w:val="24"/>
        </w:rPr>
        <w:t>Report</w:t>
      </w:r>
      <w:r>
        <w:rPr>
          <w:color w:val="231F20"/>
          <w:sz w:val="24"/>
        </w:rPr>
        <w:t>.</w:t>
      </w:r>
    </w:p>
    <w:p>
      <w:pPr>
        <w:pStyle w:val="BodyText"/>
        <w:spacing w:before="9"/>
        <w:rPr>
          <w:sz w:val="31"/>
        </w:rPr>
      </w:pPr>
    </w:p>
    <w:p>
      <w:pPr>
        <w:spacing w:line="242" w:lineRule="auto" w:before="0"/>
        <w:ind w:left="4972" w:right="236" w:firstLine="0"/>
        <w:jc w:val="left"/>
        <w:rPr>
          <w:sz w:val="24"/>
        </w:rPr>
      </w:pPr>
      <w:r>
        <w:rPr>
          <w:color w:val="231F20"/>
          <w:sz w:val="24"/>
        </w:rPr>
        <w:t>The Labour Force Survey (LFS) suggested continued tightening of the labour market through the summer. The LFS measure of unemployment fell by less than the claimant count, but the short-term unemployment rate remained around its lowest level since the survey began in 1984. Hours worked continued to increase. Earnings growth had remained broadly flat at just under 4</w:t>
      </w:r>
      <w:r>
        <w:rPr>
          <w:color w:val="231F20"/>
          <w:position w:val="8"/>
          <w:sz w:val="12"/>
        </w:rPr>
        <w:t>1</w:t>
      </w:r>
      <w:r>
        <w:rPr>
          <w:color w:val="231F20"/>
          <w:sz w:val="24"/>
        </w:rPr>
        <w:t>/</w:t>
      </w:r>
      <w:r>
        <w:rPr>
          <w:color w:val="231F20"/>
          <w:sz w:val="12"/>
        </w:rPr>
        <w:t>2</w:t>
      </w:r>
      <w:r>
        <w:rPr>
          <w:color w:val="231F20"/>
          <w:sz w:val="24"/>
        </w:rPr>
        <w:t>% after smoothing the effects of bonuses. This was a little surprising, given the tightening in the labour market.</w:t>
      </w:r>
    </w:p>
    <w:p>
      <w:pPr>
        <w:spacing w:line="242" w:lineRule="auto" w:before="11"/>
        <w:ind w:left="4972" w:right="0" w:firstLine="0"/>
        <w:jc w:val="left"/>
        <w:rPr>
          <w:sz w:val="24"/>
        </w:rPr>
      </w:pPr>
      <w:r>
        <w:rPr>
          <w:color w:val="231F20"/>
          <w:sz w:val="24"/>
        </w:rPr>
        <w:t>Any increase in the current growth rate of nominal earnings would be difficult to reconcile with the inflation target of 2</w:t>
      </w:r>
      <w:r>
        <w:rPr>
          <w:color w:val="231F20"/>
          <w:position w:val="8"/>
          <w:sz w:val="12"/>
        </w:rPr>
        <w:t>1</w:t>
      </w:r>
      <w:r>
        <w:rPr>
          <w:color w:val="231F20"/>
          <w:sz w:val="24"/>
        </w:rPr>
        <w:t>/</w:t>
      </w:r>
      <w:r>
        <w:rPr>
          <w:color w:val="231F20"/>
          <w:sz w:val="12"/>
        </w:rPr>
        <w:t>2</w:t>
      </w:r>
      <w:r>
        <w:rPr>
          <w:color w:val="231F20"/>
          <w:sz w:val="24"/>
        </w:rPr>
        <w:t>%. Though higher earnings growth might be absorbed by falling margins, this could not continue indefinitely.</w:t>
      </w:r>
    </w:p>
    <w:p>
      <w:pPr>
        <w:spacing w:after="0" w:line="242" w:lineRule="auto"/>
        <w:jc w:val="left"/>
        <w:rPr>
          <w:sz w:val="24"/>
        </w:rPr>
        <w:sectPr>
          <w:headerReference w:type="even" r:id="rId84"/>
          <w:pgSz w:w="11880" w:h="16840"/>
          <w:pgMar w:header="0" w:footer="597" w:top="500" w:bottom="780" w:left="640" w:right="620"/>
        </w:sectPr>
      </w:pPr>
    </w:p>
    <w:p>
      <w:pPr>
        <w:pStyle w:val="BodyText"/>
        <w:rPr>
          <w:sz w:val="20"/>
        </w:rPr>
      </w:pPr>
    </w:p>
    <w:p>
      <w:pPr>
        <w:spacing w:after="0"/>
        <w:rPr>
          <w:sz w:val="20"/>
        </w:rPr>
        <w:sectPr>
          <w:headerReference w:type="default" r:id="rId85"/>
          <w:footerReference w:type="default" r:id="rId86"/>
          <w:footerReference w:type="even" r:id="rId87"/>
          <w:pgSz w:w="11880" w:h="16840"/>
          <w:pgMar w:header="566" w:footer="597" w:top="760" w:bottom="780" w:left="640" w:right="620"/>
          <w:pgNumType w:start="45"/>
        </w:sectPr>
      </w:pPr>
    </w:p>
    <w:p>
      <w:pPr>
        <w:pStyle w:val="BodyText"/>
        <w:spacing w:before="2"/>
        <w:rPr>
          <w:sz w:val="22"/>
        </w:rPr>
      </w:pPr>
    </w:p>
    <w:p>
      <w:pPr>
        <w:pStyle w:val="Heading9"/>
        <w:spacing w:before="0"/>
        <w:ind w:left="167"/>
      </w:pPr>
      <w:r>
        <w:rPr>
          <w:color w:val="0093C1"/>
        </w:rPr>
        <w:t>Chart 6.1</w:t>
      </w:r>
    </w:p>
    <w:p>
      <w:pPr>
        <w:spacing w:line="249" w:lineRule="auto" w:before="10"/>
        <w:ind w:left="167" w:right="21" w:firstLine="0"/>
        <w:jc w:val="left"/>
        <w:rPr>
          <w:b/>
          <w:sz w:val="20"/>
        </w:rPr>
      </w:pPr>
      <w:r>
        <w:rPr>
          <w:b/>
          <w:color w:val="0093C1"/>
          <w:sz w:val="20"/>
        </w:rPr>
        <w:t>The nominal effective exchange rate and equity prices</w:t>
      </w:r>
    </w:p>
    <w:p>
      <w:pPr>
        <w:spacing w:line="41" w:lineRule="exact" w:before="53"/>
        <w:ind w:left="0" w:right="148" w:firstLine="0"/>
        <w:jc w:val="right"/>
        <w:rPr>
          <w:sz w:val="12"/>
        </w:rPr>
      </w:pPr>
      <w:r>
        <w:rPr/>
        <w:pict>
          <v:group style="position:absolute;margin-left:41.797001pt;margin-top:11.418563pt;width:165.7pt;height:75.25pt;mso-position-horizontal-relative:page;mso-position-vertical-relative:paragraph;z-index:-20663296" coordorigin="836,228" coordsize="3314,1505">
            <v:shape style="position:absolute;left:835;top:1468;width:100;height:260" coordorigin="836,1468" coordsize="100,260" path="m936,1728l836,1728m936,1468l836,1468e" filled="false" stroked="true" strokeweight=".5pt" strokecolor="#000000">
              <v:path arrowok="t"/>
              <v:stroke dashstyle="solid"/>
            </v:shape>
            <v:shape style="position:absolute;left:982;top:388;width:2780;height:1280" coordorigin="983,388" coordsize="2780,1280" path="m983,1668l1003,1648,1003,1628,1023,1648,1063,1648,1063,1668,1083,1628,1103,1568,1123,1528,1163,1528,1183,1508,1203,1448,1203,1508,1223,1508,1243,1488,1243,1528m1243,1528l1263,1508,1283,1448,1303,1468,1323,1448,1343,1468,1343,1428,1383,1428,1423,1388,1443,1388,1463,1368,1483,1368,1483,1388,1523,1388m1523,1388l1543,1408,1543,1388,1583,1428,1583,1368,1603,1368,1623,1328,1623,1308,1643,1288,1663,1288,1683,1308,1683,1328,1703,1308,1723,1348,1723,1368,1743,1388,1763,1468,1783,1508m1783,1508l1803,1448,1823,1428,1823,1408,1843,1468,1863,1488,1863,1508,1883,1488,1903,1448,1903,1468,1923,1428,1943,1408,1963,1448,1963,1468,2048,1383,2043,1388m2046,1386l2063,1348,2103,1348,2123,1288,2143,1288,2163,1268,2183,1208,2203,1188,2203,1148,2223,1088,2243,1048,2243,1028,2263,1028,2283,1048,2283,1028,2303,1088,2323,1128m2323,1128l2343,1088,2343,1068,2363,1068,2383,1048m2383,1048l2403,1048,2423,1108,2423,1168,2463,1168,2483,1148,2483,1088,2503,1048,2523,988,2543,988,2543,968,2563,948,2583,988,2583,1048,2603,1068,2623,1068,2623,1128,2643,1148m2643,1148l2663,1128,2683,1088,2683,1068,2703,1088,2723,1128,2723,988,2743,968,2763,888,2763,908,2783,908,2803,968,2823,968,2843,928,2863,868,2863,828,2883,768,2903,768,2923,848m2923,848l2923,928,2963,848,2983,868,3003,868,3003,848,3023,788,3043,828,3063,828,3083,768,3103,688,3103,628,3123,688,3143,688,3143,648,3163,728,3183,728m3183,728l3203,868,3203,888,3223,808,3243,768,3243,748,3263,828,3283,828,3283,808,3303,868,3323,908,3343,848,3343,768,3383,728,3403,728,3443,808,3443,868m3443,868l3463,868,3483,828,3483,748,3503,708,3523,688,3523,708,3543,648,3563,688,3583,648,3583,668,3603,488,3623,508,3623,488,3643,408,3663,428,3663,388,3683,428,3703,428,3723,468m3723,468l3723,508,3743,488,3763,428e" filled="false" stroked="true" strokeweight="1pt" strokecolor="#522e91">
              <v:path arrowok="t"/>
              <v:stroke dashstyle="solid"/>
            </v:shape>
            <v:shape style="position:absolute;left:4049;top:468;width:100;height:500" coordorigin="4049,468" coordsize="100,500" path="m4149,968l4049,968m4149,728l4049,728m4149,468l4049,468e" filled="false" stroked="true" strokeweight=".5pt" strokecolor="#000000">
              <v:path arrowok="t"/>
              <v:stroke dashstyle="solid"/>
            </v:shape>
            <v:shape style="position:absolute;left:3762;top:428;width:240;height:540" coordorigin="3763,428" coordsize="240,540" path="m3763,428l3783,468,3803,428,3803,448,3823,508,3843,488,3863,568,3863,728,3883,748,3903,888,3903,968,3923,848,3943,928,3943,888,3963,828,3983,828,4003,808e" filled="false" stroked="true" strokeweight="1pt" strokecolor="#522e91">
              <v:path arrowok="t"/>
              <v:stroke dashstyle="solid"/>
            </v:shape>
            <v:line style="position:absolute" from="3103,1728" to="3103,228" stroked="true" strokeweight=".5pt" strokecolor="#000000">
              <v:stroke dashstyle="solid"/>
            </v:line>
            <v:shape style="position:absolute;left:3141;top:1186;width:407;height:194" type="#_x0000_t75" stroked="false">
              <v:imagedata r:id="rId88" o:title=""/>
            </v:shape>
            <v:shape style="position:absolute;left:1532;top:851;width:847;height:133" type="#_x0000_t202" filled="false" stroked="false">
              <v:textbox inset="0,0,0,0">
                <w:txbxContent>
                  <w:p>
                    <w:pPr>
                      <w:spacing w:line="133" w:lineRule="exact" w:before="0"/>
                      <w:ind w:left="0" w:right="0" w:firstLine="0"/>
                      <w:jc w:val="left"/>
                      <w:rPr>
                        <w:sz w:val="12"/>
                      </w:rPr>
                    </w:pPr>
                    <w:r>
                      <w:rPr>
                        <w:sz w:val="12"/>
                      </w:rPr>
                      <w:t>FT-SE 100 index</w:t>
                    </w:r>
                  </w:p>
                </w:txbxContent>
              </v:textbox>
              <w10:wrap type="none"/>
            </v:shape>
            <v:shape style="position:absolute;left:3272;top:1371;width:651;height:253" type="#_x0000_t202" filled="false" stroked="false">
              <v:textbox inset="0,0,0,0">
                <w:txbxContent>
                  <w:p>
                    <w:pPr>
                      <w:spacing w:line="208" w:lineRule="auto" w:before="9"/>
                      <w:ind w:left="60" w:right="0" w:hanging="60"/>
                      <w:jc w:val="left"/>
                      <w:rPr>
                        <w:sz w:val="12"/>
                      </w:rPr>
                    </w:pPr>
                    <w:r>
                      <w:rPr>
                        <w:sz w:val="12"/>
                      </w:rPr>
                      <w:t>August MPC meeting</w:t>
                    </w:r>
                  </w:p>
                </w:txbxContent>
              </v:textbox>
              <w10:wrap type="none"/>
            </v:shape>
            <w10:wrap type="none"/>
          </v:group>
        </w:pict>
      </w:r>
      <w:r>
        <w:rPr>
          <w:sz w:val="12"/>
        </w:rPr>
        <w:t>1 January 1984 = 100</w:t>
      </w:r>
    </w:p>
    <w:p>
      <w:pPr>
        <w:pStyle w:val="Heading5"/>
        <w:spacing w:line="242" w:lineRule="auto" w:before="217"/>
        <w:ind w:left="167" w:right="229"/>
      </w:pPr>
      <w:r>
        <w:rPr/>
        <w:br w:type="column"/>
      </w:r>
      <w:r>
        <w:rPr>
          <w:color w:val="231F20"/>
        </w:rPr>
        <w:t>In the 15 days before the November meeting, the nominal effective exchange rate was around 3% lower than at the time of the August MPC meeting, but</w:t>
      </w:r>
    </w:p>
    <w:p>
      <w:pPr>
        <w:spacing w:after="0" w:line="242" w:lineRule="auto"/>
        <w:sectPr>
          <w:type w:val="continuous"/>
          <w:pgSz w:w="11880" w:h="16840"/>
          <w:pgMar w:top="1040" w:bottom="280" w:left="640" w:right="620"/>
          <w:cols w:num="2" w:equalWidth="0">
            <w:col w:w="3658" w:space="1127"/>
            <w:col w:w="5835"/>
          </w:cols>
        </w:sectPr>
      </w:pPr>
    </w:p>
    <w:p>
      <w:pPr>
        <w:pStyle w:val="BodyText"/>
        <w:spacing w:before="2"/>
        <w:rPr>
          <w:sz w:val="11"/>
        </w:rPr>
      </w:pPr>
    </w:p>
    <w:p>
      <w:pPr>
        <w:pStyle w:val="BodyText"/>
        <w:spacing w:line="20" w:lineRule="exact"/>
        <w:ind w:left="1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15"/>
        </w:rPr>
      </w:pPr>
      <w:r>
        <w:rPr/>
        <w:pict>
          <v:shape style="position:absolute;margin-left:41.797001pt;margin-top:11.25pt;width:5pt;height:.1pt;mso-position-horizontal-relative:page;mso-position-vertical-relative:paragraph;z-index:-15389184;mso-wrap-distance-left:0;mso-wrap-distance-right:0" coordorigin="836,225" coordsize="100,0" path="m936,225l836,225e" filled="false" stroked="true" strokeweight=".5pt" strokecolor="#000000">
            <v:path arrowok="t"/>
            <v:stroke dashstyle="solid"/>
            <w10:wrap type="topAndBottom"/>
          </v:shape>
        </w:pict>
      </w:r>
      <w:r>
        <w:rPr/>
        <w:pict>
          <v:shape style="position:absolute;margin-left:41.797001pt;margin-top:24.25pt;width:5pt;height:.1pt;mso-position-horizontal-relative:page;mso-position-vertical-relative:paragraph;z-index:-15388672;mso-wrap-distance-left:0;mso-wrap-distance-right:0" coordorigin="836,485" coordsize="100,0" path="m936,485l836,485e" filled="false" stroked="true" strokeweight=".5pt" strokecolor="#000000">
            <v:path arrowok="t"/>
            <v:stroke dashstyle="solid"/>
            <w10:wrap type="topAndBottom"/>
          </v:shape>
        </w:pict>
      </w:r>
      <w:r>
        <w:rPr/>
        <w:pict>
          <v:shape style="position:absolute;margin-left:41.797001pt;margin-top:36.25pt;width:5pt;height:.1pt;mso-position-horizontal-relative:page;mso-position-vertical-relative:paragraph;z-index:-15388160;mso-wrap-distance-left:0;mso-wrap-distance-right:0" coordorigin="836,725" coordsize="100,0" path="m936,725l836,725e" filled="false" stroked="true" strokeweight=".5pt" strokecolor="#000000">
            <v:path arrowok="t"/>
            <v:stroke dashstyle="solid"/>
            <w10:wrap type="topAndBottom"/>
          </v:shape>
        </w:pict>
      </w:r>
      <w:r>
        <w:rPr/>
        <w:pict>
          <v:shape style="position:absolute;margin-left:41.797001pt;margin-top:49.25pt;width:5pt;height:.1pt;mso-position-horizontal-relative:page;mso-position-vertical-relative:paragraph;z-index:-15387648;mso-wrap-distance-left:0;mso-wrap-distance-right:0" coordorigin="836,985" coordsize="100,0" path="m936,985l836,985e" filled="false" stroked="true" strokeweight=".5pt" strokecolor="#000000">
            <v:path arrowok="t"/>
            <v:stroke dashstyle="solid"/>
            <w10:wrap type="topAndBottom"/>
          </v:shape>
        </w:pict>
      </w:r>
    </w:p>
    <w:p>
      <w:pPr>
        <w:pStyle w:val="BodyText"/>
        <w:spacing w:before="9"/>
        <w:rPr>
          <w:sz w:val="15"/>
        </w:rPr>
      </w:pPr>
    </w:p>
    <w:p>
      <w:pPr>
        <w:pStyle w:val="BodyText"/>
        <w:spacing w:before="1"/>
        <w:rPr>
          <w:sz w:val="14"/>
        </w:rPr>
      </w:pPr>
    </w:p>
    <w:p>
      <w:pPr>
        <w:pStyle w:val="BodyText"/>
        <w:spacing w:before="9"/>
        <w:rPr>
          <w:sz w:val="15"/>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before="0"/>
        <w:ind w:left="1632" w:right="0" w:firstLine="0"/>
        <w:jc w:val="left"/>
        <w:rPr>
          <w:sz w:val="12"/>
        </w:rPr>
      </w:pPr>
      <w:r>
        <w:rPr>
          <w:sz w:val="12"/>
        </w:rPr>
        <w:t>1997</w:t>
      </w:r>
    </w:p>
    <w:p>
      <w:pPr>
        <w:pStyle w:val="BodyText"/>
        <w:rPr>
          <w:sz w:val="12"/>
        </w:rPr>
      </w:pPr>
    </w:p>
    <w:p>
      <w:pPr>
        <w:pStyle w:val="BodyText"/>
        <w:spacing w:before="8"/>
        <w:rPr>
          <w:sz w:val="9"/>
        </w:rPr>
      </w:pPr>
    </w:p>
    <w:p>
      <w:pPr>
        <w:spacing w:line="417" w:lineRule="auto" w:before="0"/>
        <w:ind w:left="167" w:right="0" w:firstLine="0"/>
        <w:jc w:val="left"/>
        <w:rPr>
          <w:sz w:val="12"/>
        </w:rPr>
      </w:pPr>
      <w:r>
        <w:rPr>
          <w:color w:val="231F20"/>
          <w:sz w:val="12"/>
        </w:rPr>
        <w:t>Note: Daily data. Final observation is 5 November. Sources: Bank of England and </w:t>
      </w:r>
      <w:r>
        <w:rPr>
          <w:i/>
          <w:color w:val="231F20"/>
          <w:sz w:val="12"/>
        </w:rPr>
        <w:t>Financial Times</w:t>
      </w:r>
      <w:r>
        <w:rPr>
          <w:color w:val="231F20"/>
          <w:sz w:val="12"/>
        </w:rPr>
        <w:t>.</w:t>
      </w:r>
    </w:p>
    <w:p>
      <w:pPr>
        <w:pStyle w:val="BodyText"/>
        <w:spacing w:before="2"/>
        <w:rPr>
          <w:sz w:val="11"/>
        </w:rPr>
      </w:pPr>
      <w:r>
        <w:rPr/>
        <w:br w:type="column"/>
      </w:r>
      <w:r>
        <w:rPr>
          <w:sz w:val="11"/>
        </w:rPr>
      </w:r>
    </w:p>
    <w:p>
      <w:pPr>
        <w:pStyle w:val="BodyText"/>
        <w:spacing w:line="20" w:lineRule="exact"/>
        <w:ind w:left="612"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line="20" w:lineRule="exact"/>
        <w:ind w:left="612"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
        <w:rPr>
          <w:sz w:val="19"/>
        </w:rPr>
      </w:pPr>
    </w:p>
    <w:p>
      <w:pPr>
        <w:pStyle w:val="BodyText"/>
        <w:spacing w:line="20" w:lineRule="exact"/>
        <w:ind w:left="612"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0"/>
        </w:rPr>
      </w:pPr>
    </w:p>
    <w:p>
      <w:pPr>
        <w:pStyle w:val="BodyText"/>
        <w:spacing w:line="20" w:lineRule="exact"/>
        <w:ind w:left="612"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7"/>
        <w:rPr>
          <w:sz w:val="10"/>
        </w:rPr>
      </w:pPr>
    </w:p>
    <w:p>
      <w:pPr>
        <w:spacing w:before="1"/>
        <w:ind w:left="167" w:right="0" w:firstLine="0"/>
        <w:jc w:val="left"/>
        <w:rPr>
          <w:sz w:val="12"/>
        </w:rPr>
      </w:pPr>
      <w:r>
        <w:rPr/>
        <w:pict>
          <v:group style="position:absolute;margin-left:41.797001pt;margin-top:8.901571pt;width:165.7pt;height:75.5pt;mso-position-horizontal-relative:page;mso-position-vertical-relative:paragraph;z-index:16073216" coordorigin="836,178" coordsize="3314,1510">
            <v:shape style="position:absolute;left:982;top:183;width:3020;height:1500" coordorigin="983,183" coordsize="3020,1500" path="m983,1683l4003,1683m983,1683l983,1643m1283,1683l1283,1643m1563,1683l1563,1643m1823,1683l1823,1643m2143,1683l2143,1643m2423,1683l2423,1643m2723,1683l2723,1643m3043,1683l3043,1643m3323,1683l3323,1643m3643,1683l3643,1643m3943,1683l3943,1643m983,1683l983,1623m3103,1683l3103,183e" filled="false" stroked="true" strokeweight=".5pt" strokecolor="#000000">
              <v:path arrowok="t"/>
              <v:stroke dashstyle="solid"/>
            </v:shape>
            <v:shape style="position:absolute;left:3126;top:1117;width:321;height:224" type="#_x0000_t75" stroked="false">
              <v:imagedata r:id="rId89" o:title=""/>
            </v:shape>
            <v:shape style="position:absolute;left:835;top:183;width:3314;height:1500" coordorigin="836,183" coordsize="3314,1500" path="m936,1123l836,1123m936,1303l836,1303m936,1503l836,1503m936,1683l836,1683m936,923l836,923m936,743l836,743m936,563l836,563m936,363l836,363m936,183l836,183m4149,1123l4049,1123m4149,1303l4049,1303m4149,1503l4049,1503m4149,1683l4049,1683m4149,923l4049,923m4149,743l4049,743m4149,563l4049,563m4149,363l4049,363m4149,183l4049,183e" filled="false" stroked="true" strokeweight=".5pt" strokecolor="#000000">
              <v:path arrowok="t"/>
              <v:stroke dashstyle="solid"/>
            </v:shape>
            <v:shape style="position:absolute;left:1984;top:1092;width:317;height:269" type="#_x0000_t75" stroked="false">
              <v:imagedata r:id="rId90" o:title=""/>
            </v:shape>
            <v:shape style="position:absolute;left:972;top:1153;width:560;height:320" type="#_x0000_t75" stroked="false">
              <v:imagedata r:id="rId91" o:title=""/>
            </v:shape>
            <v:shape style="position:absolute;left:1522;top:443;width:2480;height:760" coordorigin="1523,443" coordsize="2480,760" path="m1523,1163l1523,1163,1543,1143,1563,1143,1563,1123,1683,1123,1703,1143,1723,1143,1723,1163,1743,1183,1763,1183,1763,1203,1843,1203,1883,1163,1903,1163,1903,1143,1943,1103,1943,1083,2003,1023,2003,1003,2043,1003,2043,983m2043,983l2063,983,2083,963,2143,963,2143,943,2203,943,2223,963,2243,963,2263,983,2303,983,2323,1003m2323,1003l2343,1003,2363,1023,2383,1023m2383,1023l2383,1043,2423,1043,2423,1023,2463,1023,2483,1003,2543,1003,2563,983,2583,983,2583,963,2603,963,2643,923m2643,923l2663,923,2663,903,2683,903,2743,843,2763,803,2763,783,2803,743,2803,723,2823,703,2843,663,2863,643,2863,623,2903,583,2903,563m2903,563l2943,523,2943,483,2963,463,2983,463,3003,443,3103,443,3103,463,3143,503,3143,523,3163,563,3183,583m3183,583l3183,623,3203,623,3223,643,3243,643,3243,663,3263,683,3283,723,3283,743,3303,763,3323,763,3323,743,3343,763,3383,763,3503,883,3523,883,3523,903,3563,903,3563,923,3583,903,3603,923,3623,903,3683,903,3703,883m3703,883l3763,883,3763,903m3763,903l3823,903,3843,883,3843,863,3863,863,3883,843,3903,843,3903,823,3923,803,3943,803,3943,783,3963,763,3983,763,4003,743e" filled="false" stroked="true" strokeweight="1pt" strokecolor="#939598">
              <v:path arrowok="t"/>
              <v:stroke dashstyle="solid"/>
            </v:shape>
            <v:shape style="position:absolute;left:982;top:303;width:3020;height:1160" coordorigin="983,303" coordsize="3020,1160" path="m983,1403l1003,1323,1003,1343,1023,1303,1043,1303,1043,1263,1083,1343,1103,1323,1103,1283,1123,1303,1143,1243,1143,1223,1163,1223,1183,1203,1203,1323,1203,1383,1223,1363,1243,1383,1243,1343m1243,1343l1263,1383,1283,1463,1283,1363,1303,1343,1323,1243,1343,1223,1343,1183,1363,1203,1383,1103,1403,1143,1423,1143,1423,1123,1443,1223,1463,1143,1483,1183,1483,1163,1523,1123m1523,1123l1523,1063,1543,1103,1563,1083,1563,1123,1583,1063,1603,1103,1623,1083,1623,1103,1643,1183,1663,1163,1663,1243,1683,1223,1703,1183,1723,1303,1723,1343,1743,1283,1763,1283,1763,1243,1783,1163m1783,1163l1803,1123,1803,1063,1823,1103,1843,1043,1863,1063,1863,1083,1883,1063,1903,983,1903,1023,1923,983,1943,983,1943,963,1963,983,1983,923,2003,963,2003,923,2023,943,2043,983,2043,923m2043,923l2063,1003,2083,963,2103,943,2123,903,2143,923,2143,963,2163,963,2183,883,2183,903,2203,1043,2223,1123,2243,1083,2243,1043,2263,1003,2283,1023,2283,1063,2303,1003,2323,1023m2323,1023l2323,1023,2343,1083,2363,1103,2383,1063m2383,1063l2383,1023,2403,1023,2423,1003,2423,943,2443,923,2463,963,2483,963,2503,1023,2523,963,2523,983,2543,963,2563,903,2583,923,2603,923,2623,903,2623,823,2643,783m2643,783l2663,783,2663,803,2683,763,2703,763,2723,723,2723,763,2743,763,2763,603,2763,563,2783,623,2803,543,2823,563,2843,463,2863,403,2863,443,2883,443,2903,483m2903,483l2923,443,2943,383,2943,303,2963,343,2983,343,3003,503,3003,563,3023,523,3043,503,3043,423,3063,443,3083,403,3103,563,3103,663,3123,803,3143,723,3143,763,3163,863,3183,763m3183,763l3183,743,3203,703,3223,683,3243,683,3243,783,3263,763,3283,783,3283,763,3303,783,3323,723,3323,743,3343,763,3363,883,3383,863,3383,903,3403,923,3423,883,3423,943,3443,963m3443,963l3463,923,3463,983,3483,1023,3503,983,3523,863,3523,923,3563,803,3563,903,3583,823,3603,963,3623,903,3643,863,3663,883,3663,923,3683,923,3703,883,3703,903m3703,903l3723,923,3743,923,3763,903m3763,903l3783,903,3803,943,3803,883,3823,783,3843,703,3843,723,3863,763,3883,743,3903,683,3923,703,3943,763,3943,703,3963,643,3983,663,4003,703e" filled="false" stroked="true" strokeweight="1pt" strokecolor="#f7a08b">
              <v:path arrowok="t"/>
              <v:stroke dashstyle="solid"/>
            </v:shape>
            <v:shape style="position:absolute;left:1972;top:266;width:890;height:253" type="#_x0000_t202" filled="false" stroked="false">
              <v:textbox inset="0,0,0,0">
                <w:txbxContent>
                  <w:p>
                    <w:pPr>
                      <w:spacing w:line="208" w:lineRule="auto" w:before="9"/>
                      <w:ind w:left="60" w:right="0" w:hanging="60"/>
                      <w:jc w:val="left"/>
                      <w:rPr>
                        <w:sz w:val="12"/>
                      </w:rPr>
                    </w:pPr>
                    <w:r>
                      <w:rPr>
                        <w:sz w:val="12"/>
                      </w:rPr>
                      <w:t>Nominal effective exchange rate</w:t>
                    </w:r>
                  </w:p>
                </w:txbxContent>
              </v:textbox>
              <w10:wrap type="none"/>
            </v:shape>
            <v:shape style="position:absolute;left:1932;top:1326;width:1927;height:273" type="#_x0000_t202" filled="false" stroked="false">
              <v:textbox inset="0,0,0,0">
                <w:txbxContent>
                  <w:p>
                    <w:pPr>
                      <w:tabs>
                        <w:tab w:pos="1276" w:val="left" w:leader="none"/>
                        <w:tab w:pos="1336" w:val="left" w:leader="none"/>
                      </w:tabs>
                      <w:spacing w:line="182" w:lineRule="auto" w:before="17"/>
                      <w:ind w:left="60" w:right="18" w:hanging="60"/>
                      <w:jc w:val="left"/>
                      <w:rPr>
                        <w:sz w:val="12"/>
                      </w:rPr>
                    </w:pPr>
                    <w:r>
                      <w:rPr>
                        <w:sz w:val="12"/>
                      </w:rPr>
                      <w:t>Fifteen-day moving</w:t>
                      <w:tab/>
                    </w:r>
                    <w:r>
                      <w:rPr>
                        <w:position w:val="-1"/>
                        <w:sz w:val="12"/>
                      </w:rPr>
                      <w:t>August </w:t>
                    </w:r>
                    <w:r>
                      <w:rPr>
                        <w:spacing w:val="-6"/>
                        <w:position w:val="-1"/>
                        <w:sz w:val="12"/>
                      </w:rPr>
                      <w:t>MPC </w:t>
                    </w:r>
                    <w:r>
                      <w:rPr>
                        <w:sz w:val="12"/>
                      </w:rPr>
                      <w:t>average</w:t>
                      <w:tab/>
                      <w:tab/>
                    </w:r>
                    <w:r>
                      <w:rPr>
                        <w:position w:val="-1"/>
                        <w:sz w:val="12"/>
                      </w:rPr>
                      <w:t>meeting</w:t>
                    </w:r>
                  </w:p>
                </w:txbxContent>
              </v:textbox>
              <w10:wrap type="none"/>
            </v:shape>
            <w10:wrap type="none"/>
          </v:group>
        </w:pict>
      </w:r>
      <w:r>
        <w:rPr>
          <w:sz w:val="12"/>
        </w:rPr>
        <w:t>1990 = 100</w:t>
      </w:r>
    </w:p>
    <w:p>
      <w:pPr>
        <w:spacing w:before="52"/>
        <w:ind w:left="32" w:right="0" w:firstLine="0"/>
        <w:jc w:val="left"/>
        <w:rPr>
          <w:sz w:val="12"/>
        </w:rPr>
      </w:pPr>
      <w:r>
        <w:rPr/>
        <w:br w:type="column"/>
      </w:r>
      <w:r>
        <w:rPr>
          <w:sz w:val="12"/>
        </w:rPr>
        <w:t>5,500</w:t>
      </w:r>
    </w:p>
    <w:p>
      <w:pPr>
        <w:spacing w:before="102"/>
        <w:ind w:left="32" w:right="0" w:firstLine="0"/>
        <w:jc w:val="left"/>
        <w:rPr>
          <w:sz w:val="12"/>
        </w:rPr>
      </w:pPr>
      <w:r>
        <w:rPr>
          <w:sz w:val="12"/>
        </w:rPr>
        <w:t>5,250</w:t>
      </w:r>
    </w:p>
    <w:p>
      <w:pPr>
        <w:pStyle w:val="BodyText"/>
        <w:spacing w:before="6"/>
        <w:rPr>
          <w:sz w:val="10"/>
        </w:rPr>
      </w:pPr>
    </w:p>
    <w:p>
      <w:pPr>
        <w:spacing w:before="1"/>
        <w:ind w:left="32" w:right="0" w:firstLine="0"/>
        <w:jc w:val="left"/>
        <w:rPr>
          <w:sz w:val="12"/>
        </w:rPr>
      </w:pPr>
      <w:r>
        <w:rPr>
          <w:sz w:val="12"/>
        </w:rPr>
        <w:t>5,000</w:t>
      </w:r>
    </w:p>
    <w:p>
      <w:pPr>
        <w:spacing w:before="102"/>
        <w:ind w:left="32" w:right="0" w:firstLine="0"/>
        <w:jc w:val="left"/>
        <w:rPr>
          <w:sz w:val="12"/>
        </w:rPr>
      </w:pPr>
      <w:r>
        <w:rPr>
          <w:sz w:val="12"/>
        </w:rPr>
        <w:t>4,750</w:t>
      </w:r>
    </w:p>
    <w:p>
      <w:pPr>
        <w:pStyle w:val="BodyText"/>
        <w:spacing w:before="6"/>
        <w:rPr>
          <w:sz w:val="10"/>
        </w:rPr>
      </w:pPr>
    </w:p>
    <w:p>
      <w:pPr>
        <w:spacing w:before="1"/>
        <w:ind w:left="32" w:right="0" w:firstLine="0"/>
        <w:jc w:val="left"/>
        <w:rPr>
          <w:sz w:val="12"/>
        </w:rPr>
      </w:pPr>
      <w:r>
        <w:rPr>
          <w:sz w:val="12"/>
        </w:rPr>
        <w:t>4,500</w:t>
      </w:r>
    </w:p>
    <w:p>
      <w:pPr>
        <w:spacing w:before="102"/>
        <w:ind w:left="32" w:right="0" w:firstLine="0"/>
        <w:jc w:val="left"/>
        <w:rPr>
          <w:sz w:val="12"/>
        </w:rPr>
      </w:pPr>
      <w:r>
        <w:rPr>
          <w:sz w:val="12"/>
        </w:rPr>
        <w:t>4,250</w:t>
      </w:r>
    </w:p>
    <w:p>
      <w:pPr>
        <w:pStyle w:val="BodyText"/>
        <w:spacing w:before="6"/>
        <w:rPr>
          <w:sz w:val="10"/>
        </w:rPr>
      </w:pPr>
    </w:p>
    <w:p>
      <w:pPr>
        <w:spacing w:before="1"/>
        <w:ind w:left="32" w:right="0" w:firstLine="0"/>
        <w:jc w:val="left"/>
        <w:rPr>
          <w:sz w:val="12"/>
        </w:rPr>
      </w:pPr>
      <w:r>
        <w:rPr>
          <w:sz w:val="12"/>
        </w:rPr>
        <w:t>4,000</w:t>
      </w:r>
    </w:p>
    <w:p>
      <w:pPr>
        <w:pStyle w:val="BodyText"/>
        <w:spacing w:before="4"/>
        <w:rPr>
          <w:sz w:val="16"/>
        </w:rPr>
      </w:pPr>
    </w:p>
    <w:p>
      <w:pPr>
        <w:spacing w:before="0"/>
        <w:ind w:left="92" w:right="0" w:firstLine="0"/>
        <w:jc w:val="left"/>
        <w:rPr>
          <w:sz w:val="12"/>
        </w:rPr>
      </w:pPr>
      <w:r>
        <w:rPr>
          <w:sz w:val="12"/>
        </w:rPr>
        <w:t>108</w:t>
      </w:r>
    </w:p>
    <w:p>
      <w:pPr>
        <w:spacing w:before="42"/>
        <w:ind w:left="92" w:right="0" w:firstLine="0"/>
        <w:jc w:val="left"/>
        <w:rPr>
          <w:sz w:val="12"/>
        </w:rPr>
      </w:pPr>
      <w:r>
        <w:rPr>
          <w:sz w:val="12"/>
        </w:rPr>
        <w:t>106</w:t>
      </w:r>
    </w:p>
    <w:p>
      <w:pPr>
        <w:spacing w:before="62"/>
        <w:ind w:left="92" w:right="0" w:firstLine="0"/>
        <w:jc w:val="left"/>
        <w:rPr>
          <w:sz w:val="12"/>
        </w:rPr>
      </w:pPr>
      <w:r>
        <w:rPr>
          <w:sz w:val="12"/>
        </w:rPr>
        <w:t>104</w:t>
      </w:r>
    </w:p>
    <w:p>
      <w:pPr>
        <w:spacing w:before="42"/>
        <w:ind w:left="92" w:right="0" w:firstLine="0"/>
        <w:jc w:val="left"/>
        <w:rPr>
          <w:sz w:val="12"/>
        </w:rPr>
      </w:pPr>
      <w:r>
        <w:rPr>
          <w:sz w:val="12"/>
        </w:rPr>
        <w:t>102</w:t>
      </w:r>
    </w:p>
    <w:p>
      <w:pPr>
        <w:spacing w:before="56"/>
        <w:ind w:left="92" w:right="0" w:firstLine="0"/>
        <w:jc w:val="left"/>
        <w:rPr>
          <w:sz w:val="12"/>
        </w:rPr>
      </w:pPr>
      <w:r>
        <w:rPr>
          <w:sz w:val="12"/>
        </w:rPr>
        <w:t>100</w:t>
      </w:r>
    </w:p>
    <w:p>
      <w:pPr>
        <w:spacing w:before="48"/>
        <w:ind w:left="152" w:right="0" w:firstLine="0"/>
        <w:jc w:val="left"/>
        <w:rPr>
          <w:sz w:val="12"/>
        </w:rPr>
      </w:pPr>
      <w:r>
        <w:rPr>
          <w:sz w:val="12"/>
        </w:rPr>
        <w:t>98</w:t>
      </w:r>
    </w:p>
    <w:p>
      <w:pPr>
        <w:spacing w:before="62"/>
        <w:ind w:left="152" w:right="0" w:firstLine="0"/>
        <w:jc w:val="left"/>
        <w:rPr>
          <w:sz w:val="12"/>
        </w:rPr>
      </w:pPr>
      <w:r>
        <w:rPr>
          <w:sz w:val="12"/>
        </w:rPr>
        <w:t>96</w:t>
      </w:r>
    </w:p>
    <w:p>
      <w:pPr>
        <w:spacing w:before="42"/>
        <w:ind w:left="152" w:right="0" w:firstLine="0"/>
        <w:jc w:val="left"/>
        <w:rPr>
          <w:sz w:val="12"/>
        </w:rPr>
      </w:pPr>
      <w:r>
        <w:rPr>
          <w:sz w:val="12"/>
        </w:rPr>
        <w:t>94</w:t>
      </w:r>
    </w:p>
    <w:p>
      <w:pPr>
        <w:spacing w:before="42"/>
        <w:ind w:left="152" w:right="0" w:firstLine="0"/>
        <w:jc w:val="left"/>
        <w:rPr>
          <w:sz w:val="12"/>
        </w:rPr>
      </w:pPr>
      <w:r>
        <w:rPr>
          <w:sz w:val="12"/>
        </w:rPr>
        <w:t>92</w:t>
      </w:r>
    </w:p>
    <w:p>
      <w:pPr>
        <w:pStyle w:val="Heading5"/>
        <w:spacing w:line="266" w:lineRule="exact"/>
        <w:ind w:left="167"/>
      </w:pPr>
      <w:r>
        <w:rPr/>
        <w:br w:type="column"/>
      </w:r>
      <w:r>
        <w:rPr>
          <w:color w:val="231F20"/>
        </w:rPr>
        <w:t>significantly higher than at the start of 1997 (see</w:t>
      </w:r>
    </w:p>
    <w:p>
      <w:pPr>
        <w:spacing w:line="242" w:lineRule="auto" w:before="4"/>
        <w:ind w:left="168" w:right="335" w:hanging="1"/>
        <w:jc w:val="left"/>
        <w:rPr>
          <w:sz w:val="24"/>
        </w:rPr>
      </w:pPr>
      <w:r>
        <w:rPr>
          <w:color w:val="231F20"/>
          <w:sz w:val="24"/>
        </w:rPr>
        <w:t>Chart 6.1). And equity prices, which were very </w:t>
      </w:r>
      <w:r>
        <w:rPr>
          <w:color w:val="231F20"/>
          <w:spacing w:val="-3"/>
          <w:sz w:val="24"/>
        </w:rPr>
        <w:t>volatile </w:t>
      </w:r>
      <w:r>
        <w:rPr>
          <w:color w:val="231F20"/>
          <w:sz w:val="24"/>
        </w:rPr>
        <w:t>towards the end of October, were around 2% lower on 5 November than at the time of August meeting, </w:t>
      </w:r>
      <w:r>
        <w:rPr>
          <w:color w:val="231F20"/>
          <w:spacing w:val="-3"/>
          <w:sz w:val="24"/>
        </w:rPr>
        <w:t>but </w:t>
      </w:r>
      <w:r>
        <w:rPr>
          <w:color w:val="231F20"/>
          <w:sz w:val="24"/>
        </w:rPr>
        <w:t>around 20% higher than at the start of the</w:t>
      </w:r>
      <w:r>
        <w:rPr>
          <w:color w:val="231F20"/>
          <w:spacing w:val="-1"/>
          <w:sz w:val="24"/>
        </w:rPr>
        <w:t> </w:t>
      </w:r>
      <w:r>
        <w:rPr>
          <w:color w:val="231F20"/>
          <w:spacing w:val="-3"/>
          <w:sz w:val="24"/>
        </w:rPr>
        <w:t>year.</w:t>
      </w:r>
    </w:p>
    <w:p>
      <w:pPr>
        <w:pStyle w:val="BodyText"/>
        <w:spacing w:before="9"/>
        <w:rPr>
          <w:sz w:val="24"/>
        </w:rPr>
      </w:pPr>
    </w:p>
    <w:p>
      <w:pPr>
        <w:spacing w:line="242" w:lineRule="auto" w:before="0"/>
        <w:ind w:left="168" w:right="219" w:firstLine="0"/>
        <w:jc w:val="left"/>
        <w:rPr>
          <w:sz w:val="24"/>
        </w:rPr>
      </w:pPr>
      <w:r>
        <w:rPr>
          <w:color w:val="231F20"/>
          <w:sz w:val="24"/>
        </w:rPr>
        <w:t>Broad money growth in September was stronger than in the preceding three months and suggested that though the growth rate may </w:t>
      </w:r>
      <w:r>
        <w:rPr>
          <w:color w:val="231F20"/>
          <w:spacing w:val="-3"/>
          <w:sz w:val="24"/>
        </w:rPr>
        <w:t>have </w:t>
      </w:r>
      <w:r>
        <w:rPr>
          <w:color w:val="231F20"/>
          <w:sz w:val="24"/>
        </w:rPr>
        <w:t>stabilised, it was yet to show firm signs of slowing. The sectoral breakdown for 1997 Q3 showed that OFIs’ deposits still provided the main impetus to broad money growth, which would </w:t>
      </w:r>
      <w:r>
        <w:rPr>
          <w:color w:val="231F20"/>
          <w:spacing w:val="-3"/>
          <w:sz w:val="24"/>
        </w:rPr>
        <w:t>have </w:t>
      </w:r>
      <w:r>
        <w:rPr>
          <w:color w:val="231F20"/>
          <w:spacing w:val="-4"/>
          <w:sz w:val="24"/>
        </w:rPr>
        <w:t>been </w:t>
      </w:r>
      <w:r>
        <w:rPr>
          <w:color w:val="231F20"/>
          <w:sz w:val="24"/>
        </w:rPr>
        <w:t>of greater concern if individuals’ or ICCs’ deposits had provided the main impetus.</w:t>
      </w:r>
    </w:p>
    <w:p>
      <w:pPr>
        <w:pStyle w:val="BodyText"/>
        <w:spacing w:before="3"/>
        <w:rPr>
          <w:sz w:val="25"/>
        </w:rPr>
      </w:pPr>
    </w:p>
    <w:p>
      <w:pPr>
        <w:spacing w:line="242" w:lineRule="auto" w:before="0"/>
        <w:ind w:left="169" w:right="195" w:hanging="1"/>
        <w:jc w:val="left"/>
        <w:rPr>
          <w:sz w:val="24"/>
        </w:rPr>
      </w:pPr>
      <w:r>
        <w:rPr>
          <w:color w:val="231F20"/>
          <w:sz w:val="24"/>
        </w:rPr>
        <w:t>At the November MPC meeting, which took place on 5–6 November, the Committee decided to raise the </w:t>
      </w:r>
      <w:r>
        <w:rPr>
          <w:color w:val="231F20"/>
          <w:spacing w:val="-3"/>
          <w:sz w:val="24"/>
        </w:rPr>
        <w:t>Bank’s </w:t>
      </w:r>
      <w:r>
        <w:rPr>
          <w:color w:val="231F20"/>
          <w:sz w:val="24"/>
        </w:rPr>
        <w:t>repo rate by 0.25 percentage points to 7.25%. The outcome of this meeting reflected the prospects for inf</w:t>
      </w:r>
      <w:hyperlink w:history="true" w:anchor="_bookmark41">
        <w:r>
          <w:rPr>
            <w:color w:val="231F20"/>
            <w:sz w:val="24"/>
          </w:rPr>
          <w:t>lation discussed in Section 7.</w:t>
        </w:r>
      </w:hyperlink>
      <w:r>
        <w:rPr>
          <w:color w:val="231F20"/>
          <w:sz w:val="24"/>
        </w:rPr>
        <w:t> The press notice released following the meeting is contained in the </w:t>
      </w:r>
      <w:hyperlink w:history="true" w:anchor="_bookmark45">
        <w:r>
          <w:rPr>
            <w:color w:val="231F20"/>
            <w:spacing w:val="-4"/>
            <w:sz w:val="24"/>
          </w:rPr>
          <w:t>Annex</w:t>
        </w:r>
      </w:hyperlink>
      <w:r>
        <w:rPr>
          <w:color w:val="231F20"/>
          <w:spacing w:val="-4"/>
          <w:sz w:val="24"/>
        </w:rPr>
        <w:t> </w:t>
      </w:r>
      <w:r>
        <w:rPr>
          <w:color w:val="231F20"/>
          <w:sz w:val="24"/>
        </w:rPr>
        <w:t>to this</w:t>
      </w:r>
      <w:r>
        <w:rPr>
          <w:color w:val="231F20"/>
          <w:spacing w:val="-2"/>
          <w:sz w:val="24"/>
        </w:rPr>
        <w:t> </w:t>
      </w:r>
      <w:r>
        <w:rPr>
          <w:i/>
          <w:color w:val="231F20"/>
          <w:sz w:val="24"/>
        </w:rPr>
        <w:t>Report</w:t>
      </w:r>
      <w:r>
        <w:rPr>
          <w:color w:val="231F20"/>
          <w:sz w:val="24"/>
        </w:rPr>
        <w:t>.</w:t>
      </w:r>
    </w:p>
    <w:p>
      <w:pPr>
        <w:spacing w:after="0" w:line="242" w:lineRule="auto"/>
        <w:jc w:val="left"/>
        <w:rPr>
          <w:sz w:val="24"/>
        </w:rPr>
        <w:sectPr>
          <w:type w:val="continuous"/>
          <w:pgSz w:w="11880" w:h="16840"/>
          <w:pgMar w:top="1040" w:bottom="280" w:left="640" w:right="620"/>
          <w:cols w:num="4" w:equalWidth="0">
            <w:col w:w="2724" w:space="68"/>
            <w:col w:w="716" w:space="39"/>
            <w:col w:w="343" w:space="895"/>
            <w:col w:w="5835"/>
          </w:cols>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381504;mso-wrap-distance-left:0;mso-wrap-distance-right:0" type="#_x0000_t202" filled="true" fillcolor="#b5dad6" stroked="false">
            <v:textbox inset="0,0,0,0">
              <w:txbxContent>
                <w:p>
                  <w:pPr>
                    <w:tabs>
                      <w:tab w:pos="5562" w:val="left" w:leader="none"/>
                    </w:tabs>
                    <w:spacing w:before="51"/>
                    <w:ind w:left="260" w:right="0" w:firstLine="0"/>
                    <w:jc w:val="left"/>
                    <w:rPr>
                      <w:b/>
                      <w:sz w:val="48"/>
                    </w:rPr>
                  </w:pPr>
                  <w:bookmarkStart w:name="Prospects for inflation" w:id="89"/>
                  <w:bookmarkEnd w:id="89"/>
                  <w:r>
                    <w:rPr/>
                  </w:r>
                  <w:bookmarkStart w:name="The medium-term inflation projection" w:id="90"/>
                  <w:bookmarkEnd w:id="90"/>
                  <w:r>
                    <w:rPr/>
                  </w:r>
                  <w:bookmarkStart w:name="_bookmark40" w:id="91"/>
                  <w:bookmarkEnd w:id="91"/>
                  <w:r>
                    <w:rPr/>
                  </w:r>
                  <w:bookmarkStart w:name="_bookmark41" w:id="92"/>
                  <w:bookmarkEnd w:id="92"/>
                  <w:r>
                    <w:rPr/>
                  </w:r>
                  <w:r>
                    <w:rPr>
                      <w:b/>
                      <w:color w:val="009483"/>
                      <w:sz w:val="72"/>
                    </w:rPr>
                    <w:t>7</w:t>
                    <w:tab/>
                  </w:r>
                  <w:r>
                    <w:rPr>
                      <w:b/>
                      <w:color w:val="009483"/>
                      <w:sz w:val="48"/>
                    </w:rPr>
                    <w:t>Prospects </w:t>
                  </w:r>
                  <w:r>
                    <w:rPr>
                      <w:b/>
                      <w:color w:val="009483"/>
                      <w:spacing w:val="-4"/>
                      <w:sz w:val="48"/>
                    </w:rPr>
                    <w:t>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rPr>
          <w:sz w:val="20"/>
        </w:rPr>
      </w:pPr>
    </w:p>
    <w:p>
      <w:pPr>
        <w:pStyle w:val="ListParagraph"/>
        <w:numPr>
          <w:ilvl w:val="1"/>
          <w:numId w:val="36"/>
        </w:numPr>
        <w:tabs>
          <w:tab w:pos="5881" w:val="left" w:leader="none"/>
          <w:tab w:pos="5882" w:val="left" w:leader="none"/>
        </w:tabs>
        <w:spacing w:line="240" w:lineRule="auto" w:before="219" w:after="0"/>
        <w:ind w:left="5881" w:right="0" w:hanging="902"/>
        <w:jc w:val="left"/>
        <w:rPr>
          <w:b/>
          <w:sz w:val="28"/>
        </w:rPr>
      </w:pPr>
      <w:r>
        <w:rPr>
          <w:b/>
          <w:color w:val="009483"/>
          <w:sz w:val="28"/>
          <w:u w:val="thick" w:color="0093C1"/>
        </w:rPr>
        <w:t>The medium-term inflation</w:t>
      </w:r>
      <w:r>
        <w:rPr>
          <w:b/>
          <w:color w:val="009483"/>
          <w:spacing w:val="-4"/>
          <w:sz w:val="28"/>
          <w:u w:val="thick" w:color="0093C1"/>
        </w:rPr>
        <w:t> </w:t>
      </w:r>
      <w:r>
        <w:rPr>
          <w:b/>
          <w:color w:val="009483"/>
          <w:sz w:val="28"/>
          <w:u w:val="thick" w:color="0093C1"/>
        </w:rPr>
        <w:t>projection</w:t>
      </w:r>
    </w:p>
    <w:p>
      <w:pPr>
        <w:spacing w:line="242" w:lineRule="auto" w:before="264"/>
        <w:ind w:left="4980" w:right="198" w:firstLine="0"/>
        <w:jc w:val="left"/>
        <w:rPr>
          <w:sz w:val="24"/>
        </w:rPr>
      </w:pPr>
      <w:r>
        <w:rPr>
          <w:color w:val="231F20"/>
          <w:sz w:val="24"/>
        </w:rPr>
        <w:t>The Monetary Policy Committee’s projection for inflation is based on the assumption that official interest rates will remain unchanged at 7</w:t>
      </w:r>
      <w:r>
        <w:rPr>
          <w:color w:val="231F20"/>
          <w:position w:val="8"/>
          <w:sz w:val="12"/>
        </w:rPr>
        <w:t>1</w:t>
      </w:r>
      <w:r>
        <w:rPr>
          <w:color w:val="231F20"/>
          <w:sz w:val="24"/>
        </w:rPr>
        <w:t>/</w:t>
      </w:r>
      <w:r>
        <w:rPr>
          <w:color w:val="231F20"/>
          <w:sz w:val="12"/>
        </w:rPr>
        <w:t>4</w:t>
      </w:r>
      <w:r>
        <w:rPr>
          <w:color w:val="231F20"/>
          <w:sz w:val="24"/>
        </w:rPr>
        <w:t>% during the next </w:t>
      </w:r>
      <w:r>
        <w:rPr>
          <w:color w:val="231F20"/>
          <w:spacing w:val="-7"/>
          <w:sz w:val="24"/>
        </w:rPr>
        <w:t>two </w:t>
      </w:r>
      <w:r>
        <w:rPr>
          <w:color w:val="231F20"/>
          <w:sz w:val="24"/>
        </w:rPr>
        <w:t>years. The projection was agreed by the Monetary Policy Committee (MPC) on 6 </w:t>
      </w:r>
      <w:r>
        <w:rPr>
          <w:color w:val="231F20"/>
          <w:spacing w:val="-3"/>
          <w:sz w:val="24"/>
        </w:rPr>
        <w:t>November.</w:t>
      </w:r>
    </w:p>
    <w:p>
      <w:pPr>
        <w:pStyle w:val="BodyText"/>
        <w:spacing w:before="7"/>
        <w:rPr>
          <w:sz w:val="26"/>
        </w:rPr>
      </w:pPr>
    </w:p>
    <w:p>
      <w:pPr>
        <w:spacing w:before="0"/>
        <w:ind w:left="4980" w:right="0" w:firstLine="0"/>
        <w:jc w:val="left"/>
        <w:rPr>
          <w:sz w:val="24"/>
        </w:rPr>
      </w:pPr>
      <w:r>
        <w:rPr>
          <w:color w:val="231F20"/>
          <w:sz w:val="24"/>
        </w:rPr>
        <w:t>The sterling effective exchange rate index averaged</w:t>
      </w:r>
    </w:p>
    <w:p>
      <w:pPr>
        <w:spacing w:line="242" w:lineRule="auto" w:before="5"/>
        <w:ind w:left="4980" w:right="198" w:firstLine="0"/>
        <w:jc w:val="left"/>
        <w:rPr>
          <w:sz w:val="24"/>
        </w:rPr>
      </w:pPr>
      <w:r>
        <w:rPr>
          <w:color w:val="231F20"/>
          <w:sz w:val="24"/>
        </w:rPr>
        <w:t>102.0 in the 15 working days to 5 November, and this is the starting point used in the projection. It compares with an average of 105.1 prior to the August MPC meeting—a fall of 3%. The exchange rate is assumed to depreciate from its starting-point at the rate implied by the difference between the constant UK interest rate and market expectations of overseas interest rates, reaching an index level of around 98 by the end of the forecast period. In August, the Committee assumed that some of the portfolio or erratic factors that contributed to sterling’s appreciation during the past fifteen months would unwind, and therefore that the exchange rate would depreciate faster than implied by the difference in UK and overseas interest rates alone. Since then, some of those factors </w:t>
      </w:r>
      <w:r>
        <w:rPr>
          <w:color w:val="231F20"/>
          <w:spacing w:val="-3"/>
          <w:sz w:val="24"/>
        </w:rPr>
        <w:t>have </w:t>
      </w:r>
      <w:r>
        <w:rPr>
          <w:color w:val="231F20"/>
          <w:sz w:val="24"/>
        </w:rPr>
        <w:t>unwound, and for the current projection the MPC has assumed that the most likely scenario is that the exchange rate will depreciate only in line with the difference in interest rates. This assumption implies a lower rate of depreciation than in the August </w:t>
      </w:r>
      <w:r>
        <w:rPr>
          <w:i/>
          <w:color w:val="231F20"/>
          <w:sz w:val="24"/>
        </w:rPr>
        <w:t>Report</w:t>
      </w:r>
      <w:r>
        <w:rPr>
          <w:color w:val="231F20"/>
          <w:sz w:val="24"/>
        </w:rPr>
        <w:t>, and reflects a reassessment of the short-term uncertainties surrounding EMU following </w:t>
      </w:r>
      <w:r>
        <w:rPr>
          <w:color w:val="231F20"/>
          <w:spacing w:val="-6"/>
          <w:sz w:val="24"/>
        </w:rPr>
        <w:t>the </w:t>
      </w:r>
      <w:r>
        <w:rPr>
          <w:color w:val="231F20"/>
          <w:sz w:val="24"/>
        </w:rPr>
        <w:t>Government’s statement in October. But the MPC thought there was a risk of a larger depreciation through a further unwinding of the portfolio and erratic</w:t>
      </w:r>
      <w:r>
        <w:rPr>
          <w:color w:val="231F20"/>
          <w:spacing w:val="-3"/>
          <w:sz w:val="24"/>
        </w:rPr>
        <w:t> </w:t>
      </w:r>
      <w:r>
        <w:rPr>
          <w:color w:val="231F20"/>
          <w:sz w:val="24"/>
        </w:rPr>
        <w:t>factors.</w:t>
      </w:r>
    </w:p>
    <w:p>
      <w:pPr>
        <w:pStyle w:val="BodyText"/>
        <w:spacing w:before="5"/>
        <w:rPr>
          <w:sz w:val="30"/>
        </w:rPr>
      </w:pPr>
    </w:p>
    <w:p>
      <w:pPr>
        <w:spacing w:line="242" w:lineRule="auto" w:before="0"/>
        <w:ind w:left="4980" w:right="184" w:firstLine="0"/>
        <w:jc w:val="left"/>
        <w:rPr>
          <w:sz w:val="24"/>
        </w:rPr>
      </w:pPr>
      <w:r>
        <w:rPr>
          <w:color w:val="231F20"/>
          <w:sz w:val="24"/>
        </w:rPr>
        <w:t>Government nominal expenditure plans and effective</w:t>
      </w:r>
      <w:r>
        <w:rPr>
          <w:color w:val="231F20"/>
          <w:spacing w:val="-27"/>
          <w:sz w:val="24"/>
        </w:rPr>
        <w:t> </w:t>
      </w:r>
      <w:r>
        <w:rPr>
          <w:color w:val="231F20"/>
          <w:sz w:val="24"/>
        </w:rPr>
        <w:t>tax rates </w:t>
      </w:r>
      <w:r>
        <w:rPr>
          <w:color w:val="231F20"/>
          <w:spacing w:val="-3"/>
          <w:sz w:val="24"/>
        </w:rPr>
        <w:t>have </w:t>
      </w:r>
      <w:r>
        <w:rPr>
          <w:color w:val="231F20"/>
          <w:sz w:val="24"/>
        </w:rPr>
        <w:t>been taken from the July Budget.  Though this assumption is used in the central case, the distribution of possible inflation outcomes takes account of the risks from fiscal </w:t>
      </w:r>
      <w:r>
        <w:rPr>
          <w:color w:val="231F20"/>
          <w:spacing w:val="-3"/>
          <w:sz w:val="24"/>
        </w:rPr>
        <w:t>policy, </w:t>
      </w:r>
      <w:r>
        <w:rPr>
          <w:color w:val="231F20"/>
          <w:sz w:val="24"/>
        </w:rPr>
        <w:t>based on the past variance and skewness of nominal expenditure outturns</w:t>
      </w:r>
      <w:r>
        <w:rPr>
          <w:color w:val="231F20"/>
          <w:spacing w:val="-28"/>
          <w:sz w:val="24"/>
        </w:rPr>
        <w:t> </w:t>
      </w:r>
      <w:r>
        <w:rPr>
          <w:color w:val="231F20"/>
          <w:sz w:val="24"/>
        </w:rPr>
        <w:t>compared with announced plans, which </w:t>
      </w:r>
      <w:r>
        <w:rPr>
          <w:color w:val="231F20"/>
          <w:spacing w:val="-3"/>
          <w:sz w:val="24"/>
        </w:rPr>
        <w:t>have </w:t>
      </w:r>
      <w:r>
        <w:rPr>
          <w:color w:val="231F20"/>
          <w:sz w:val="24"/>
        </w:rPr>
        <w:t>been small in recent years.</w:t>
      </w:r>
    </w:p>
    <w:p>
      <w:pPr>
        <w:pStyle w:val="BodyText"/>
        <w:spacing w:before="5"/>
        <w:rPr>
          <w:sz w:val="30"/>
        </w:rPr>
      </w:pPr>
    </w:p>
    <w:p>
      <w:pPr>
        <w:spacing w:line="242" w:lineRule="auto" w:before="1"/>
        <w:ind w:left="4980" w:right="236" w:firstLine="0"/>
        <w:jc w:val="left"/>
        <w:rPr>
          <w:sz w:val="24"/>
        </w:rPr>
      </w:pPr>
      <w:r>
        <w:rPr>
          <w:color w:val="231F20"/>
          <w:sz w:val="24"/>
        </w:rPr>
        <w:t>The prospects for world demand and trade are less certain following the volatility of world equity markets</w:t>
      </w:r>
    </w:p>
    <w:p>
      <w:pPr>
        <w:spacing w:after="0" w:line="242" w:lineRule="auto"/>
        <w:jc w:val="left"/>
        <w:rPr>
          <w:sz w:val="24"/>
        </w:rPr>
        <w:sectPr>
          <w:headerReference w:type="even" r:id="rId92"/>
          <w:pgSz w:w="11880" w:h="16840"/>
          <w:pgMar w:header="0" w:footer="597" w:top="780" w:bottom="780" w:left="640" w:right="620"/>
        </w:sectPr>
      </w:pPr>
    </w:p>
    <w:p>
      <w:pPr>
        <w:pStyle w:val="BodyText"/>
        <w:rPr>
          <w:sz w:val="20"/>
        </w:rPr>
      </w:pPr>
    </w:p>
    <w:p>
      <w:pPr>
        <w:spacing w:line="242" w:lineRule="auto" w:before="207"/>
        <w:ind w:left="4939" w:right="168" w:firstLine="0"/>
        <w:jc w:val="left"/>
        <w:rPr>
          <w:sz w:val="24"/>
        </w:rPr>
      </w:pPr>
      <w:r>
        <w:rPr>
          <w:color w:val="231F20"/>
          <w:sz w:val="24"/>
        </w:rPr>
        <w:t>and the disturbances in Asia. The falls recorded in North American and European stock markets on 27–28</w:t>
      </w:r>
      <w:r>
        <w:rPr>
          <w:color w:val="231F20"/>
          <w:spacing w:val="-18"/>
          <w:sz w:val="24"/>
        </w:rPr>
        <w:t> </w:t>
      </w:r>
      <w:r>
        <w:rPr>
          <w:color w:val="231F20"/>
          <w:sz w:val="24"/>
        </w:rPr>
        <w:t>October were subsequently largely reversed, leaving equity prices still well above their levels a year earlier, and there are assumed to be no significant implications for the United Kingdom. But the projections for UK net exports, and the profits earned abroad by UK companies, reflect a downside risk from weaker activity in Asia following the recent developments there. </w:t>
      </w:r>
      <w:r>
        <w:rPr>
          <w:color w:val="231F20"/>
          <w:spacing w:val="-3"/>
          <w:sz w:val="24"/>
        </w:rPr>
        <w:t>With </w:t>
      </w:r>
      <w:r>
        <w:rPr>
          <w:color w:val="231F20"/>
          <w:sz w:val="24"/>
        </w:rPr>
        <w:t>recovery in continental Europe, demand prospects in UK export markets seem relatively bright, despite the likely fall in Asian </w:t>
      </w:r>
      <w:r>
        <w:rPr>
          <w:color w:val="231F20"/>
          <w:spacing w:val="-3"/>
          <w:sz w:val="24"/>
        </w:rPr>
        <w:t>activity. </w:t>
      </w:r>
      <w:r>
        <w:rPr>
          <w:color w:val="231F20"/>
          <w:sz w:val="24"/>
        </w:rPr>
        <w:t>But UK net exports are still expected to fall further during the coming quarters, as the effects of sterling’s appreciation continue to feed</w:t>
      </w:r>
      <w:r>
        <w:rPr>
          <w:color w:val="231F20"/>
          <w:spacing w:val="-1"/>
          <w:sz w:val="24"/>
        </w:rPr>
        <w:t> </w:t>
      </w:r>
      <w:r>
        <w:rPr>
          <w:color w:val="231F20"/>
          <w:sz w:val="24"/>
        </w:rPr>
        <w:t>through.</w:t>
      </w:r>
    </w:p>
    <w:p>
      <w:pPr>
        <w:pStyle w:val="BodyText"/>
        <w:spacing w:before="6"/>
        <w:rPr>
          <w:sz w:val="22"/>
        </w:rPr>
      </w:pPr>
    </w:p>
    <w:p>
      <w:pPr>
        <w:spacing w:line="242" w:lineRule="auto" w:before="0"/>
        <w:ind w:left="4939" w:right="231" w:firstLine="0"/>
        <w:jc w:val="left"/>
        <w:rPr>
          <w:sz w:val="24"/>
        </w:rPr>
      </w:pPr>
      <w:r>
        <w:rPr>
          <w:color w:val="231F20"/>
          <w:sz w:val="24"/>
        </w:rPr>
        <w:t>Broad money growth rates </w:t>
      </w:r>
      <w:r>
        <w:rPr>
          <w:color w:val="231F20"/>
          <w:spacing w:val="-3"/>
          <w:sz w:val="24"/>
        </w:rPr>
        <w:t>have </w:t>
      </w:r>
      <w:r>
        <w:rPr>
          <w:color w:val="231F20"/>
          <w:sz w:val="24"/>
        </w:rPr>
        <w:t>shown </w:t>
      </w:r>
      <w:r>
        <w:rPr>
          <w:color w:val="231F20"/>
          <w:spacing w:val="-3"/>
          <w:sz w:val="24"/>
        </w:rPr>
        <w:t>few </w:t>
      </w:r>
      <w:r>
        <w:rPr>
          <w:color w:val="231F20"/>
          <w:sz w:val="24"/>
        </w:rPr>
        <w:t>signs of moderating since the August </w:t>
      </w:r>
      <w:r>
        <w:rPr>
          <w:i/>
          <w:color w:val="231F20"/>
          <w:sz w:val="24"/>
        </w:rPr>
        <w:t>Report</w:t>
      </w:r>
      <w:r>
        <w:rPr>
          <w:color w:val="231F20"/>
          <w:sz w:val="24"/>
        </w:rPr>
        <w:t>. As well as being an important factor in the central projection, monetary growth continues to be a particular source of upside </w:t>
      </w:r>
      <w:r>
        <w:rPr>
          <w:color w:val="231F20"/>
          <w:spacing w:val="-4"/>
          <w:sz w:val="24"/>
        </w:rPr>
        <w:t>risk. </w:t>
      </w:r>
      <w:r>
        <w:rPr>
          <w:color w:val="231F20"/>
          <w:sz w:val="24"/>
        </w:rPr>
        <w:t>Broad money has been growing faster than was </w:t>
      </w:r>
      <w:r>
        <w:rPr>
          <w:color w:val="231F20"/>
          <w:spacing w:val="-3"/>
          <w:sz w:val="24"/>
        </w:rPr>
        <w:t>expected </w:t>
      </w:r>
      <w:r>
        <w:rPr>
          <w:color w:val="231F20"/>
          <w:sz w:val="24"/>
        </w:rPr>
        <w:t>at the time of the August </w:t>
      </w:r>
      <w:r>
        <w:rPr>
          <w:i/>
          <w:color w:val="231F20"/>
          <w:sz w:val="24"/>
        </w:rPr>
        <w:t>Report</w:t>
      </w:r>
      <w:r>
        <w:rPr>
          <w:color w:val="231F20"/>
          <w:sz w:val="24"/>
        </w:rPr>
        <w:t>. </w:t>
      </w:r>
      <w:r>
        <w:rPr>
          <w:color w:val="231F20"/>
          <w:spacing w:val="-3"/>
          <w:sz w:val="24"/>
        </w:rPr>
        <w:t>Moreover, </w:t>
      </w:r>
      <w:r>
        <w:rPr>
          <w:color w:val="231F20"/>
          <w:sz w:val="24"/>
        </w:rPr>
        <w:t>the continued build-up of OFIs’ deposits remains a risk to the central projection, as they may raise expenditure either if they flow through to households or firms, or if they raise asset prices. Narrow money growth has not changed much in the course of this </w:t>
      </w:r>
      <w:r>
        <w:rPr>
          <w:color w:val="231F20"/>
          <w:spacing w:val="-3"/>
          <w:sz w:val="24"/>
        </w:rPr>
        <w:t>year, </w:t>
      </w:r>
      <w:r>
        <w:rPr>
          <w:color w:val="231F20"/>
          <w:sz w:val="24"/>
        </w:rPr>
        <w:t>but is nevertheless lower than last </w:t>
      </w:r>
      <w:r>
        <w:rPr>
          <w:color w:val="231F20"/>
          <w:spacing w:val="-3"/>
          <w:sz w:val="24"/>
        </w:rPr>
        <w:t>year, </w:t>
      </w:r>
      <w:r>
        <w:rPr>
          <w:color w:val="231F20"/>
          <w:sz w:val="24"/>
        </w:rPr>
        <w:t>in line with the expected impact of higher interest rates on the demand for </w:t>
      </w:r>
      <w:r>
        <w:rPr>
          <w:color w:val="231F20"/>
          <w:spacing w:val="-4"/>
          <w:sz w:val="24"/>
        </w:rPr>
        <w:t>money.</w:t>
      </w:r>
    </w:p>
    <w:p>
      <w:pPr>
        <w:pStyle w:val="BodyText"/>
        <w:spacing w:before="6"/>
        <w:rPr>
          <w:sz w:val="22"/>
        </w:rPr>
      </w:pPr>
    </w:p>
    <w:p>
      <w:pPr>
        <w:spacing w:line="242" w:lineRule="auto" w:before="0"/>
        <w:ind w:left="4940" w:right="214" w:hanging="1"/>
        <w:jc w:val="left"/>
        <w:rPr>
          <w:sz w:val="24"/>
        </w:rPr>
      </w:pPr>
      <w:r>
        <w:rPr>
          <w:color w:val="231F20"/>
          <w:sz w:val="24"/>
        </w:rPr>
        <w:t>Domestic demand has continued to expand at a robust rate. Consumption, boosted by windfalls from demutualisations, was especially strong. It is likely that at least some of that strength continued into the fourth quarter. Domestic demand growth is expected to slow as the past tightening of monetary and fiscal policy takes increasing effect and as the initial impact of windfall spending on consumption drops out, leaving just the permanent (annuity) effect. Assessing the impact of a possible fall in domestic equity prices on the projections is difficult. As at 5 November, the F</w:t>
      </w:r>
      <w:r>
        <w:rPr>
          <w:color w:val="231F20"/>
          <w:sz w:val="20"/>
        </w:rPr>
        <w:t>T-SE </w:t>
      </w:r>
      <w:r>
        <w:rPr>
          <w:color w:val="231F20"/>
          <w:sz w:val="24"/>
        </w:rPr>
        <w:t>100 had fallen by less than 1% compared with its average 1997 Q3 level, and was around 25% above its level a year earlier. The rise in UK equity prices in the past year contributed to rapid growth in households’ net financial wealth, and is likely to underpin continued growth in consumers’ expenditure. Options prices indicate that the markets think it more likely than not that equity prices will fall during the next few months.</w:t>
      </w:r>
    </w:p>
    <w:p>
      <w:pPr>
        <w:pStyle w:val="BodyText"/>
        <w:spacing w:before="6"/>
        <w:rPr>
          <w:sz w:val="24"/>
        </w:rPr>
      </w:pPr>
    </w:p>
    <w:p>
      <w:pPr>
        <w:spacing w:line="242" w:lineRule="auto" w:before="0"/>
        <w:ind w:left="4940" w:right="157" w:firstLine="0"/>
        <w:jc w:val="left"/>
        <w:rPr>
          <w:sz w:val="24"/>
        </w:rPr>
      </w:pPr>
      <w:r>
        <w:rPr>
          <w:color w:val="231F20"/>
          <w:sz w:val="24"/>
        </w:rPr>
        <w:t>GDP grew at an annual rate of around 4% in 1997 Q3, well above any reasonable estimate of the sustainable</w:t>
      </w:r>
    </w:p>
    <w:p>
      <w:pPr>
        <w:spacing w:after="0" w:line="242" w:lineRule="auto"/>
        <w:jc w:val="left"/>
        <w:rPr>
          <w:sz w:val="24"/>
        </w:rPr>
        <w:sectPr>
          <w:headerReference w:type="default" r:id="rId93"/>
          <w:headerReference w:type="even" r:id="rId94"/>
          <w:footerReference w:type="default" r:id="rId95"/>
          <w:footerReference w:type="even" r:id="rId96"/>
          <w:pgSz w:w="11880" w:h="16840"/>
          <w:pgMar w:header="586" w:footer="617" w:top="780" w:bottom="800" w:left="640" w:right="620"/>
          <w:pgNumType w:start="47"/>
        </w:sectPr>
      </w:pPr>
    </w:p>
    <w:p>
      <w:pPr>
        <w:pStyle w:val="BodyText"/>
        <w:rPr>
          <w:sz w:val="20"/>
        </w:rPr>
      </w:pPr>
    </w:p>
    <w:p>
      <w:pPr>
        <w:spacing w:after="0"/>
        <w:rPr>
          <w:sz w:val="20"/>
        </w:rPr>
        <w:sectPr>
          <w:pgSz w:w="11880" w:h="16840"/>
          <w:pgMar w:header="586" w:footer="597" w:top="780" w:bottom="780" w:left="640" w:right="6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9"/>
        <w:spacing w:before="136"/>
      </w:pPr>
      <w:r>
        <w:rPr>
          <w:color w:val="0093C1"/>
        </w:rPr>
        <w:t>Chart 7.1</w:t>
      </w:r>
    </w:p>
    <w:p>
      <w:pPr>
        <w:spacing w:before="11"/>
        <w:ind w:left="180" w:right="0" w:firstLine="0"/>
        <w:jc w:val="left"/>
        <w:rPr>
          <w:b/>
          <w:sz w:val="20"/>
        </w:rPr>
      </w:pPr>
      <w:r>
        <w:rPr>
          <w:b/>
          <w:color w:val="0093C1"/>
          <w:sz w:val="20"/>
        </w:rPr>
        <w:t>Current GDP projection</w:t>
      </w:r>
    </w:p>
    <w:p>
      <w:pPr>
        <w:spacing w:line="119" w:lineRule="exact" w:before="121"/>
        <w:ind w:left="1233" w:right="0" w:firstLine="0"/>
        <w:jc w:val="left"/>
        <w:rPr>
          <w:sz w:val="12"/>
        </w:rPr>
      </w:pPr>
      <w:r>
        <w:rPr>
          <w:sz w:val="12"/>
        </w:rPr>
        <w:t>Percentage increase in output on a year earlier</w:t>
      </w:r>
    </w:p>
    <w:p>
      <w:pPr>
        <w:spacing w:line="119" w:lineRule="exact" w:before="0"/>
        <w:ind w:left="3515" w:right="0" w:firstLine="0"/>
        <w:jc w:val="left"/>
        <w:rPr>
          <w:sz w:val="12"/>
        </w:rPr>
      </w:pPr>
      <w:r>
        <w:rPr/>
        <w:pict>
          <v:line style="position:absolute;mso-position-horizontal-relative:page;mso-position-vertical-relative:paragraph;z-index:16076800" from="204.583002pt,2.358363pt" to="199.983002pt,2.358363pt" stroked="true" strokeweight=".5pt" strokecolor="#000000">
            <v:stroke dashstyle="solid"/>
            <w10:wrap type="none"/>
          </v:line>
        </w:pict>
      </w:r>
      <w:r>
        <w:rPr/>
        <w:pict>
          <v:line style="position:absolute;mso-position-horizontal-relative:page;mso-position-vertical-relative:paragraph;z-index:16077312" from="52.133001pt,2.297363pt" to="47.533001pt,2.297363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79"/>
        <w:ind w:left="3515" w:right="0" w:firstLine="0"/>
        <w:jc w:val="left"/>
        <w:rPr>
          <w:sz w:val="12"/>
        </w:rPr>
      </w:pPr>
      <w:r>
        <w:rPr/>
        <w:pict>
          <v:group style="position:absolute;margin-left:47.533001pt;margin-top:6.925556pt;width:157.4pt;height:129.5pt;mso-position-horizontal-relative:page;mso-position-vertical-relative:paragraph;z-index:16076288" coordorigin="951,139" coordsize="3148,2590">
            <v:shape style="position:absolute;left:2831;top:280;width:1110;height:2327" coordorigin="2832,280" coordsize="1110,2327" path="m3942,280l3818,604,3695,872,3572,1112,3448,1277,3325,892,3202,532,3078,320,2955,416,2832,675,2955,808,3078,1366,3202,1839,3325,2200,3448,2584,3572,2607,3695,2555,3818,2473,3942,2338,3942,280xe" filled="true" fillcolor="#dbeae4" stroked="false">
              <v:path arrowok="t"/>
              <v:fill type="solid"/>
            </v:shape>
            <v:shape style="position:absolute;left:2831;top:433;width:1110;height:2020" coordorigin="2832,434" coordsize="1110,2020" path="m3078,434l2955,459,2832,675,2955,766,3078,1255,3202,1701,3325,2061,3448,2446,3572,2453,3695,2386,3818,2290,3942,2140,3942,536,3818,831,3695,1072,3572,1283,3448,1420,3325,1035,3202,675,3078,434xe" filled="true" fillcolor="#bfdbcf" stroked="false">
              <v:path arrowok="t"/>
              <v:fill type="solid"/>
            </v:shape>
            <v:shape style="position:absolute;left:2831;top:498;width:1110;height:1864" coordorigin="2832,498" coordsize="1110,1864" path="m2955,498l2832,685,2955,748,3078,1190,3202,1617,3325,1977,3448,2362,3572,2360,3695,2283,3818,2177,3942,2017,3942,719,3818,996,3695,1218,3572,1410,3448,1528,3325,1144,3202,783,3078,523,2955,498xe" filled="true" fillcolor="#a4cdbd" stroked="false">
              <v:path arrowok="t"/>
              <v:fill type="solid"/>
            </v:shape>
            <v:shape style="position:absolute;left:2831;top:509;width:1110;height:1762" coordorigin="2832,510" coordsize="1110,1762" path="m2955,510l2832,672,2955,712,3078,1114,3202,1526,3325,1886,3448,2271,3572,2262,3695,2179,3818,2067,3942,1901,3942,845,3818,1106,3695,1314,3572,1491,3448,1595,3325,1210,3202,850,3078,574,2955,510xe" filled="true" fillcolor="#8abfab" stroked="false">
              <v:path arrowok="t"/>
              <v:fill type="solid"/>
            </v:shape>
            <v:shape style="position:absolute;left:2831;top:531;width:1110;height:1677" coordorigin="2832,532" coordsize="1110,1677" path="m2955,532l2832,674,2955,695,3078,1065,3202,1463,3325,1824,3448,2208,3572,2194,3695,2105,3818,1986,3942,1814,3942,970,3818,1218,3695,1412,3572,1576,3448,1666,3325,1281,3202,921,3078,631,2955,532xe" filled="true" fillcolor="#6fb39a" stroked="false">
              <v:path arrowok="t"/>
              <v:fill type="solid"/>
            </v:shape>
            <v:shape style="position:absolute;left:2831;top:550;width:1110;height:1600" coordorigin="2832,550" coordsize="1110,1600" path="m2955,550l2832,675,2955,678,3078,1018,3202,1405,3325,1765,3448,2150,3572,2129,3695,2034,3818,1909,3942,1731,3942,1074,3818,1311,3695,1494,3572,1647,3448,1726,3325,1341,3202,981,3078,679,2955,550xe" filled="true" fillcolor="#53a78b" stroked="false">
              <v:path arrowok="t"/>
              <v:fill type="solid"/>
            </v:shape>
            <v:shape style="position:absolute;left:2831;top:573;width:1110;height:1528" coordorigin="2832,573" coordsize="1110,1528" path="m2955,573l2832,680,2955,666,3078,980,3202,1356,3325,1716,3448,2100,3572,2075,3695,1975,3818,1845,3942,1661,3942,1178,3818,1405,3695,1578,3572,1721,3448,1790,3325,1405,3202,1045,3078,731,2955,573xe" filled="true" fillcolor="#309d7d" stroked="false">
              <v:path arrowok="t"/>
              <v:fill type="solid"/>
            </v:shape>
            <v:shape style="position:absolute;left:2832;top:585;width:1110;height:1462" coordorigin="2833,586" coordsize="1110,1462" path="m2956,586l2833,676,2956,648,3079,937,3203,1303,3326,1663,3449,2048,3573,2017,3696,1912,3819,1778,3943,1589,3943,1268,3819,1485,3696,1648,3573,1781,3449,1840,3326,1456,3203,1096,3079,771,2956,586xe" filled="true" fillcolor="#00936f" stroked="false">
              <v:path arrowok="t"/>
              <v:fill type="solid"/>
            </v:shape>
            <v:shape style="position:absolute;left:2831;top:600;width:1110;height:1393" coordorigin="2832,600" coordsize="1110,1393" path="m2955,600l2832,676,2955,632,3078,893,3202,1248,3325,1608,3448,1993,3572,1959,3695,1850,3818,1712,3942,1520,3942,1362,3818,1568,3695,1719,3572,1841,3448,1890,3325,1505,3202,1145,3078,810,2955,600xe" filled="true" fillcolor="#008256" stroked="false">
              <v:path arrowok="t"/>
              <v:fill type="solid"/>
            </v:shape>
            <v:shape style="position:absolute;left:1093;top:2616;width:2837;height:112" coordorigin="1093,2616" coordsize="2837,112" path="m1093,2723l3927,2723m1093,2723l1093,2616m1217,2723l1217,2649m1340,2723l1340,2649m1463,2723l1463,2649m1587,2723l1587,2616m1710,2723l1710,2649m1833,2723l1833,2649m1957,2723l1957,2649m2080,2723l2080,2616m2203,2723l2203,2649m2327,2723l2327,2649m2450,2723l2450,2649m2573,2723l2573,2616m2697,2723l2697,2649m2820,2723l2820,2649m2943,2723l2943,2649m3067,2723l3067,2616m3190,2723l3190,2649m3313,2723l3313,2649m3437,2723l3437,2649m3560,2723l3560,2616m3683,2723l3683,2649m3807,2723l3807,2649m3930,2727l3930,2651e" filled="false" stroked="true" strokeweight=".5pt" strokecolor="#000000">
              <v:path arrowok="t"/>
              <v:stroke dashstyle="solid"/>
            </v:shape>
            <v:shape style="position:absolute;left:1101;top:160;width:247;height:687" coordorigin="1102,161" coordsize="247,687" path="m1225,379l1102,847m1348,161l1225,379e" filled="false" stroked="true" strokeweight="1pt" strokecolor="#008256">
              <v:path arrowok="t"/>
              <v:stroke dashstyle="solid"/>
            </v:shape>
            <v:line style="position:absolute" from="1338,163" to="1482,163" stroked="true" strokeweight="1.228pt" strokecolor="#008256">
              <v:stroke dashstyle="solid"/>
            </v:line>
            <v:shape style="position:absolute;left:1471;top:165;width:494;height:1437" coordorigin="1472,165" coordsize="494,1437" path="m1595,622l1472,165m1718,1187l1595,622m1842,1555l1718,1187m1965,1602l1842,1555e" filled="false" stroked="true" strokeweight="1pt" strokecolor="#008256">
              <v:path arrowok="t"/>
              <v:stroke dashstyle="solid"/>
            </v:shape>
            <v:line style="position:absolute" from="1955,1597" to="2098,1597" stroked="true" strokeweight="1.565pt" strokecolor="#008256">
              <v:stroke dashstyle="solid"/>
            </v:line>
            <v:line style="position:absolute" from="2212,1385" to="2088,1591" stroked="true" strokeweight="1pt" strokecolor="#008256">
              <v:stroke dashstyle="solid"/>
            </v:line>
            <v:line style="position:absolute" from="2202,1384" to="2345,1384" stroked="true" strokeweight="1.063pt" strokecolor="#008256">
              <v:stroke dashstyle="solid"/>
            </v:line>
            <v:shape style="position:absolute;left:2335;top:679;width:494;height:704" coordorigin="2335,679" coordsize="494,704" path="m2458,1196l2335,1383m2582,1079l2458,1196m2705,901l2582,1079m2828,679l2705,901e" filled="false" stroked="true" strokeweight="1pt" strokecolor="#008256">
              <v:path arrowok="t"/>
              <v:stroke dashstyle="solid"/>
            </v:shape>
            <v:shape style="position:absolute;left:950;top:143;width:3148;height:2468" coordorigin="951,144" coordsize="3148,2468" path="m4098,2611l4006,2611m4092,2118l4000,2118m4092,1625l4000,1625m4092,1131l4000,1131m4092,638l4000,638m4092,145l4000,145m1049,2610l957,2610m1043,2117l951,2117m1043,1623l951,1623m1043,1130l951,1130m1043,637l951,637m1043,144l951,144e" filled="false" stroked="true" strokeweight=".5pt" strokecolor="#000000">
              <v:path arrowok="t"/>
              <v:stroke dashstyle="solid"/>
            </v:shape>
            <w10:wrap type="none"/>
          </v:group>
        </w:pict>
      </w:r>
      <w:r>
        <w:rPr>
          <w:sz w:val="12"/>
        </w:rPr>
        <w:t>5</w:t>
      </w:r>
    </w:p>
    <w:p>
      <w:pPr>
        <w:pStyle w:val="BodyText"/>
        <w:rPr>
          <w:sz w:val="12"/>
        </w:rPr>
      </w:pPr>
    </w:p>
    <w:p>
      <w:pPr>
        <w:pStyle w:val="BodyText"/>
        <w:rPr>
          <w:sz w:val="12"/>
        </w:rPr>
      </w:pPr>
    </w:p>
    <w:p>
      <w:pPr>
        <w:spacing w:before="80"/>
        <w:ind w:left="3515" w:right="0" w:firstLine="0"/>
        <w:jc w:val="left"/>
        <w:rPr>
          <w:sz w:val="12"/>
        </w:rPr>
      </w:pPr>
      <w:r>
        <w:rPr>
          <w:sz w:val="12"/>
        </w:rPr>
        <w:t>4</w:t>
      </w:r>
    </w:p>
    <w:p>
      <w:pPr>
        <w:pStyle w:val="BodyText"/>
        <w:rPr>
          <w:sz w:val="12"/>
        </w:rPr>
      </w:pPr>
    </w:p>
    <w:p>
      <w:pPr>
        <w:pStyle w:val="BodyText"/>
        <w:rPr>
          <w:sz w:val="12"/>
        </w:rPr>
      </w:pPr>
    </w:p>
    <w:p>
      <w:pPr>
        <w:spacing w:before="79"/>
        <w:ind w:left="3515" w:right="0" w:firstLine="0"/>
        <w:jc w:val="left"/>
        <w:rPr>
          <w:sz w:val="12"/>
        </w:rPr>
      </w:pPr>
      <w:r>
        <w:rPr>
          <w:sz w:val="12"/>
        </w:rPr>
        <w:t>3</w:t>
      </w:r>
    </w:p>
    <w:p>
      <w:pPr>
        <w:pStyle w:val="BodyText"/>
        <w:rPr>
          <w:sz w:val="12"/>
        </w:rPr>
      </w:pPr>
    </w:p>
    <w:p>
      <w:pPr>
        <w:pStyle w:val="BodyText"/>
        <w:rPr>
          <w:sz w:val="12"/>
        </w:rPr>
      </w:pPr>
    </w:p>
    <w:p>
      <w:pPr>
        <w:spacing w:before="79"/>
        <w:ind w:left="3515" w:right="0" w:firstLine="0"/>
        <w:jc w:val="left"/>
        <w:rPr>
          <w:sz w:val="12"/>
        </w:rPr>
      </w:pPr>
      <w:r>
        <w:rPr>
          <w:sz w:val="12"/>
        </w:rPr>
        <w:t>2</w:t>
      </w:r>
    </w:p>
    <w:p>
      <w:pPr>
        <w:pStyle w:val="BodyText"/>
        <w:rPr>
          <w:sz w:val="12"/>
        </w:rPr>
      </w:pPr>
    </w:p>
    <w:p>
      <w:pPr>
        <w:pStyle w:val="BodyText"/>
        <w:rPr>
          <w:sz w:val="12"/>
        </w:rPr>
      </w:pPr>
    </w:p>
    <w:p>
      <w:pPr>
        <w:spacing w:before="80"/>
        <w:ind w:left="3515" w:right="0" w:firstLine="0"/>
        <w:jc w:val="left"/>
        <w:rPr>
          <w:sz w:val="12"/>
        </w:rPr>
      </w:pPr>
      <w:r>
        <w:rPr>
          <w:sz w:val="12"/>
        </w:rPr>
        <w:t>1</w:t>
      </w:r>
    </w:p>
    <w:p>
      <w:pPr>
        <w:pStyle w:val="BodyText"/>
        <w:rPr>
          <w:sz w:val="12"/>
        </w:rPr>
      </w:pPr>
    </w:p>
    <w:p>
      <w:pPr>
        <w:pStyle w:val="BodyText"/>
        <w:rPr>
          <w:sz w:val="12"/>
        </w:rPr>
      </w:pPr>
    </w:p>
    <w:p>
      <w:pPr>
        <w:spacing w:before="79"/>
        <w:ind w:left="3515" w:right="0" w:firstLine="0"/>
        <w:jc w:val="left"/>
        <w:rPr>
          <w:sz w:val="12"/>
        </w:rPr>
      </w:pPr>
      <w:r>
        <w:rPr>
          <w:sz w:val="12"/>
        </w:rPr>
        <w:t>0</w:t>
      </w:r>
    </w:p>
    <w:p>
      <w:pPr>
        <w:tabs>
          <w:tab w:pos="1139" w:val="left" w:leader="none"/>
          <w:tab w:pos="1653" w:val="left" w:leader="none"/>
          <w:tab w:pos="2126" w:val="left" w:leader="none"/>
          <w:tab w:pos="2606" w:val="left" w:leader="none"/>
          <w:tab w:pos="3093" w:val="left" w:leader="none"/>
        </w:tabs>
        <w:spacing w:before="61"/>
        <w:ind w:left="553" w:right="0" w:firstLine="0"/>
        <w:jc w:val="left"/>
        <w:rPr>
          <w:sz w:val="12"/>
        </w:rPr>
      </w:pPr>
      <w:r>
        <w:rPr>
          <w:sz w:val="12"/>
        </w:rPr>
        <w:t>1994</w:t>
        <w:tab/>
        <w:t>95</w:t>
        <w:tab/>
        <w:t>96</w:t>
        <w:tab/>
        <w:t>97</w:t>
        <w:tab/>
        <w:t>98</w:t>
        <w:tab/>
        <w:t>99</w:t>
      </w:r>
    </w:p>
    <w:p>
      <w:pPr>
        <w:pStyle w:val="BodyText"/>
        <w:spacing w:before="8"/>
        <w:rPr>
          <w:sz w:val="11"/>
        </w:rPr>
      </w:pPr>
    </w:p>
    <w:p>
      <w:pPr>
        <w:spacing w:line="208" w:lineRule="auto" w:before="0"/>
        <w:ind w:left="180" w:right="133" w:firstLine="0"/>
        <w:jc w:val="left"/>
        <w:rPr>
          <w:sz w:val="12"/>
        </w:rPr>
      </w:pPr>
      <w:r>
        <w:rPr>
          <w:color w:val="231F20"/>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output </w:t>
      </w:r>
      <w:r>
        <w:rPr>
          <w:color w:val="231F20"/>
          <w:spacing w:val="-3"/>
          <w:sz w:val="12"/>
        </w:rPr>
        <w:t>growth </w:t>
      </w:r>
      <w:r>
        <w:rPr>
          <w:color w:val="231F20"/>
          <w:sz w:val="12"/>
        </w:rPr>
        <w:t>at any particular time horizon, the wider the bands, and the more gradually the colour fades. And if the risks are more on one side than the other, then the remaining bands will be wider on that side  of the central band.</w:t>
      </w:r>
    </w:p>
    <w:p>
      <w:pPr>
        <w:pStyle w:val="Heading5"/>
        <w:spacing w:line="242" w:lineRule="auto" w:before="227"/>
        <w:ind w:right="143"/>
      </w:pPr>
      <w:r>
        <w:rPr/>
        <w:br w:type="column"/>
      </w:r>
      <w:r>
        <w:rPr>
          <w:color w:val="231F20"/>
        </w:rPr>
        <w:t>trend, and faster than expected at the time of the August </w:t>
      </w:r>
      <w:r>
        <w:rPr>
          <w:i/>
          <w:color w:val="231F20"/>
        </w:rPr>
        <w:t>Report</w:t>
      </w:r>
      <w:r>
        <w:rPr>
          <w:color w:val="231F20"/>
        </w:rPr>
        <w:t>. Survey evidence suggests that at least some of this strength will continue into the fourth quarter.</w:t>
      </w:r>
    </w:p>
    <w:p>
      <w:pPr>
        <w:pStyle w:val="BodyText"/>
        <w:spacing w:before="11"/>
        <w:rPr>
          <w:sz w:val="22"/>
        </w:rPr>
      </w:pPr>
    </w:p>
    <w:p>
      <w:pPr>
        <w:spacing w:line="242" w:lineRule="auto" w:before="0"/>
        <w:ind w:left="180" w:right="143" w:firstLine="0"/>
        <w:jc w:val="left"/>
        <w:rPr>
          <w:sz w:val="24"/>
        </w:rPr>
      </w:pPr>
      <w:r>
        <w:rPr>
          <w:color w:val="231F20"/>
          <w:sz w:val="24"/>
        </w:rPr>
        <w:t>Chart 7.1 shows the Bank’s probability distribution for the four-quarter growth rate of GDP. This chart, which is shown in the </w:t>
      </w:r>
      <w:r>
        <w:rPr>
          <w:i/>
          <w:color w:val="231F20"/>
          <w:sz w:val="24"/>
        </w:rPr>
        <w:t>Report </w:t>
      </w:r>
      <w:r>
        <w:rPr>
          <w:color w:val="231F20"/>
          <w:sz w:val="24"/>
        </w:rPr>
        <w:t>for the first time, provides more information on the MPC’s view of the possible outcomes for GDP, which underpins its projection for inflation.</w:t>
      </w:r>
    </w:p>
    <w:p>
      <w:pPr>
        <w:spacing w:line="242" w:lineRule="auto" w:before="7"/>
        <w:ind w:left="180" w:right="283" w:firstLine="0"/>
        <w:jc w:val="left"/>
        <w:rPr>
          <w:sz w:val="24"/>
        </w:rPr>
      </w:pPr>
      <w:r>
        <w:rPr>
          <w:color w:val="231F20"/>
          <w:sz w:val="24"/>
        </w:rPr>
        <w:t>But there is no simple relationship between GDP and inflation. The inflationary implications of a given path of output growth depend on the uncertain relationship between aggregate demand and potential supply. So even if the path of GDP were known and there were no other shocks, there would still be a distribution of possible outcomes for inflation. The chart does not imply that there is a target for output growth. But the prospects for output are assessed by the MPC when considering the appropriate level of interest rates.</w:t>
      </w:r>
    </w:p>
    <w:p>
      <w:pPr>
        <w:pStyle w:val="BodyText"/>
        <w:rPr>
          <w:sz w:val="22"/>
        </w:rPr>
      </w:pPr>
    </w:p>
    <w:p>
      <w:pPr>
        <w:spacing w:line="242" w:lineRule="auto" w:before="0"/>
        <w:ind w:left="180" w:right="170" w:firstLine="0"/>
        <w:jc w:val="left"/>
        <w:rPr>
          <w:sz w:val="24"/>
        </w:rPr>
      </w:pPr>
      <w:r>
        <w:rPr>
          <w:color w:val="231F20"/>
          <w:sz w:val="24"/>
        </w:rPr>
        <w:t>The single most likely outcome for GDP growth is contained within the central band (with the darkest shading). As in the inflation chart, the central band is judged to contain 10% of the probability distribution. The central projection envisages that the rate of growth of GDP will moderate after peaking at around 4% in the second half of this year. Output growth is expected to slow to slightly below trend for a short period, but to pick up in 1999 as the effect of sterling’s appreciation on net exports comes to an end. Under the assumption of constant nominal interest rates, the central projection for inflation is rising towards the end of the period (see below), and hence real interest rates are falling, leading to a gradual pick-up in demand and output.</w:t>
      </w:r>
    </w:p>
    <w:p>
      <w:pPr>
        <w:pStyle w:val="BodyText"/>
        <w:spacing w:before="6"/>
        <w:rPr>
          <w:sz w:val="22"/>
        </w:rPr>
      </w:pPr>
    </w:p>
    <w:p>
      <w:pPr>
        <w:spacing w:line="242" w:lineRule="auto" w:before="0"/>
        <w:ind w:left="180" w:right="123" w:firstLine="0"/>
        <w:jc w:val="left"/>
        <w:rPr>
          <w:sz w:val="24"/>
        </w:rPr>
      </w:pPr>
      <w:r>
        <w:rPr>
          <w:color w:val="231F20"/>
          <w:sz w:val="24"/>
        </w:rPr>
        <w:t>The Bank’s medium-term projection of the twelve-month RPIX inflation rate is shown in Chart 7.2. It is shown next to the August projection (see Chart 7.3). The most likely path of RPIX inflation is a gradual decline during 1998, dipping slightly below the target of 2</w:t>
      </w:r>
      <w:r>
        <w:rPr>
          <w:color w:val="231F20"/>
          <w:position w:val="8"/>
          <w:sz w:val="12"/>
        </w:rPr>
        <w:t>1</w:t>
      </w:r>
      <w:r>
        <w:rPr>
          <w:color w:val="231F20"/>
          <w:sz w:val="24"/>
        </w:rPr>
        <w:t>/</w:t>
      </w:r>
      <w:r>
        <w:rPr>
          <w:color w:val="231F20"/>
          <w:sz w:val="12"/>
        </w:rPr>
        <w:t>2</w:t>
      </w:r>
      <w:r>
        <w:rPr>
          <w:color w:val="231F20"/>
          <w:sz w:val="24"/>
        </w:rPr>
        <w:t>%, and then rising back towards it during 1999.</w:t>
      </w:r>
    </w:p>
    <w:p>
      <w:pPr>
        <w:pStyle w:val="BodyText"/>
        <w:spacing w:before="1"/>
        <w:rPr>
          <w:sz w:val="23"/>
        </w:rPr>
      </w:pPr>
    </w:p>
    <w:p>
      <w:pPr>
        <w:spacing w:line="242" w:lineRule="auto" w:before="0"/>
        <w:ind w:left="180" w:right="203" w:firstLine="0"/>
        <w:jc w:val="left"/>
        <w:rPr>
          <w:sz w:val="24"/>
        </w:rPr>
      </w:pPr>
      <w:r>
        <w:rPr>
          <w:color w:val="231F20"/>
          <w:sz w:val="24"/>
        </w:rPr>
        <w:t>The projection continues to be influenced by the one-off impact on inflation of sterling’s appreciation since August 1996, though in the short term this is now thought to be less marked than was expected at the time of the August </w:t>
      </w:r>
      <w:r>
        <w:rPr>
          <w:i/>
          <w:color w:val="231F20"/>
          <w:sz w:val="24"/>
        </w:rPr>
        <w:t>Report</w:t>
      </w:r>
      <w:r>
        <w:rPr>
          <w:color w:val="231F20"/>
          <w:sz w:val="24"/>
        </w:rPr>
        <w:t>. And the recent strength of nominal demand may </w:t>
      </w:r>
      <w:r>
        <w:rPr>
          <w:color w:val="231F20"/>
          <w:spacing w:val="-3"/>
          <w:sz w:val="24"/>
        </w:rPr>
        <w:t>have </w:t>
      </w:r>
      <w:r>
        <w:rPr>
          <w:color w:val="231F20"/>
          <w:sz w:val="24"/>
        </w:rPr>
        <w:t>allowed retailers to widen their margins. The starting-point for the projection is higher than three months ago, and the probability attached to inflation falling below 2</w:t>
      </w:r>
      <w:r>
        <w:rPr>
          <w:color w:val="231F20"/>
          <w:position w:val="8"/>
          <w:sz w:val="12"/>
        </w:rPr>
        <w:t>1</w:t>
      </w:r>
      <w:r>
        <w:rPr>
          <w:color w:val="231F20"/>
          <w:sz w:val="24"/>
        </w:rPr>
        <w:t>/</w:t>
      </w:r>
      <w:r>
        <w:rPr>
          <w:color w:val="231F20"/>
          <w:sz w:val="12"/>
        </w:rPr>
        <w:t>2</w:t>
      </w:r>
      <w:r>
        <w:rPr>
          <w:color w:val="231F20"/>
          <w:sz w:val="24"/>
        </w:rPr>
        <w:t>% in the short </w:t>
      </w:r>
      <w:r>
        <w:rPr>
          <w:color w:val="231F20"/>
          <w:spacing w:val="-4"/>
          <w:sz w:val="24"/>
        </w:rPr>
        <w:t>term </w:t>
      </w:r>
      <w:r>
        <w:rPr>
          <w:color w:val="231F20"/>
          <w:sz w:val="24"/>
        </w:rPr>
        <w:t>is </w:t>
      </w:r>
      <w:r>
        <w:rPr>
          <w:color w:val="231F20"/>
          <w:spacing w:val="-4"/>
          <w:sz w:val="24"/>
        </w:rPr>
        <w:t>lower.</w:t>
      </w:r>
    </w:p>
    <w:p>
      <w:pPr>
        <w:spacing w:after="0" w:line="242" w:lineRule="auto"/>
        <w:jc w:val="left"/>
        <w:rPr>
          <w:sz w:val="24"/>
        </w:rPr>
        <w:sectPr>
          <w:type w:val="continuous"/>
          <w:pgSz w:w="11880" w:h="16840"/>
          <w:pgMar w:top="1040" w:bottom="280" w:left="640" w:right="620"/>
          <w:cols w:num="2" w:equalWidth="0">
            <w:col w:w="3616" w:space="1168"/>
            <w:col w:w="583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spacing w:after="0"/>
        <w:rPr>
          <w:sz w:val="28"/>
        </w:rPr>
        <w:sectPr>
          <w:pgSz w:w="11880" w:h="16840"/>
          <w:pgMar w:header="586" w:footer="617" w:top="780" w:bottom="800" w:left="640" w:right="620"/>
        </w:sectPr>
      </w:pPr>
    </w:p>
    <w:p>
      <w:pPr>
        <w:pStyle w:val="Heading9"/>
        <w:spacing w:before="92"/>
        <w:ind w:left="185"/>
      </w:pPr>
      <w:r>
        <w:rPr>
          <w:color w:val="0093C1"/>
        </w:rPr>
        <w:t>Chart 7.2</w:t>
      </w:r>
    </w:p>
    <w:p>
      <w:pPr>
        <w:spacing w:before="10"/>
        <w:ind w:left="185" w:right="0" w:firstLine="0"/>
        <w:jc w:val="left"/>
        <w:rPr>
          <w:b/>
          <w:sz w:val="20"/>
        </w:rPr>
      </w:pPr>
      <w:r>
        <w:rPr>
          <w:b/>
          <w:color w:val="0093C1"/>
          <w:sz w:val="20"/>
        </w:rPr>
        <w:t>Current RPIX inflation projection</w:t>
      </w:r>
    </w:p>
    <w:p>
      <w:pPr>
        <w:spacing w:line="115" w:lineRule="exact" w:before="145"/>
        <w:ind w:left="1938" w:right="0" w:firstLine="0"/>
        <w:jc w:val="left"/>
        <w:rPr>
          <w:sz w:val="12"/>
        </w:rPr>
      </w:pPr>
      <w:r>
        <w:rPr>
          <w:sz w:val="12"/>
        </w:rPr>
        <w:t>Percentage increase in prices on a year earlier</w:t>
      </w:r>
    </w:p>
    <w:p>
      <w:pPr>
        <w:spacing w:line="115" w:lineRule="exact" w:before="0"/>
        <w:ind w:left="4196" w:right="0" w:firstLine="0"/>
        <w:jc w:val="left"/>
        <w:rPr>
          <w:sz w:val="12"/>
        </w:rPr>
      </w:pPr>
      <w:r>
        <w:rPr/>
        <w:pict>
          <v:line style="position:absolute;mso-position-horizontal-relative:page;mso-position-vertical-relative:paragraph;z-index:16087552" from="46.279999pt,2.159854pt" to="50.879999pt,2.159854pt" stroked="true" strokeweight=".5pt" strokecolor="#000000">
            <v:stroke dashstyle="solid"/>
            <w10:wrap type="none"/>
          </v:line>
        </w:pict>
      </w:r>
      <w:r>
        <w:rPr/>
        <w:pict>
          <v:line style="position:absolute;mso-position-horizontal-relative:page;mso-position-vertical-relative:paragraph;z-index:16088576" from="238.613pt,2.159854pt" to="234.013pt,2.159854pt" stroked="true" strokeweight=".5pt" strokecolor="#000000">
            <v:stroke dashstyle="solid"/>
            <w10:wrap type="none"/>
          </v:line>
        </w:pict>
      </w:r>
      <w:r>
        <w:rPr>
          <w:sz w:val="12"/>
        </w:rPr>
        <w:t>6</w:t>
      </w:r>
    </w:p>
    <w:p>
      <w:pPr>
        <w:pStyle w:val="Heading9"/>
        <w:spacing w:before="92"/>
        <w:ind w:left="185"/>
      </w:pPr>
      <w:r>
        <w:rPr>
          <w:b w:val="0"/>
        </w:rPr>
        <w:br w:type="column"/>
      </w:r>
      <w:r>
        <w:rPr>
          <w:color w:val="0093C1"/>
        </w:rPr>
        <w:t>Chart 7.3</w:t>
      </w:r>
    </w:p>
    <w:p>
      <w:pPr>
        <w:spacing w:before="10"/>
        <w:ind w:left="185" w:right="0" w:firstLine="0"/>
        <w:jc w:val="left"/>
        <w:rPr>
          <w:b/>
          <w:sz w:val="20"/>
        </w:rPr>
      </w:pPr>
      <w:r>
        <w:rPr>
          <w:b/>
          <w:color w:val="0093C1"/>
          <w:sz w:val="20"/>
        </w:rPr>
        <w:t>RPIX inflation projection in August</w:t>
      </w:r>
    </w:p>
    <w:p>
      <w:pPr>
        <w:spacing w:before="152"/>
        <w:ind w:left="1958" w:right="0" w:firstLine="0"/>
        <w:jc w:val="left"/>
        <w:rPr>
          <w:sz w:val="12"/>
        </w:rPr>
      </w:pPr>
      <w:r>
        <w:rPr/>
        <w:pict>
          <v:line style="position:absolute;mso-position-horizontal-relative:page;mso-position-vertical-relative:paragraph;z-index:16082432" from="285.279999pt,15.201535pt" to="289.879999pt,15.201535pt" stroked="true" strokeweight=".5pt" strokecolor="#000000">
            <v:stroke dashstyle="solid"/>
            <w10:wrap type="none"/>
          </v:line>
        </w:pict>
      </w:r>
      <w:r>
        <w:rPr/>
        <w:pict>
          <v:line style="position:absolute;mso-position-horizontal-relative:page;mso-position-vertical-relative:paragraph;z-index:-20655104" from="478.613pt,15.201535pt" to="474.013pt,15.201535pt" stroked="true" strokeweight=".5pt" strokecolor="#000000">
            <v:stroke dashstyle="solid"/>
            <w10:wrap type="none"/>
          </v:line>
        </w:pict>
      </w:r>
      <w:r>
        <w:rPr>
          <w:sz w:val="12"/>
        </w:rPr>
        <w:t>Percentage increase in prices on a year earlier </w:t>
      </w:r>
      <w:r>
        <w:rPr>
          <w:position w:val="-8"/>
          <w:sz w:val="12"/>
        </w:rPr>
        <w:t>6</w:t>
      </w:r>
    </w:p>
    <w:p>
      <w:pPr>
        <w:spacing w:after="0"/>
        <w:jc w:val="left"/>
        <w:rPr>
          <w:sz w:val="12"/>
        </w:rPr>
        <w:sectPr>
          <w:type w:val="continuous"/>
          <w:pgSz w:w="11880" w:h="16840"/>
          <w:pgMar w:top="1040" w:bottom="280" w:left="640" w:right="620"/>
          <w:cols w:num="2" w:equalWidth="0">
            <w:col w:w="4297" w:space="483"/>
            <w:col w:w="5840"/>
          </w:cols>
        </w:sectPr>
      </w:pPr>
    </w:p>
    <w:p>
      <w:pPr>
        <w:pStyle w:val="BodyText"/>
        <w:spacing w:before="3"/>
        <w:rPr>
          <w:sz w:val="22"/>
        </w:rPr>
      </w:pPr>
    </w:p>
    <w:p>
      <w:pPr>
        <w:tabs>
          <w:tab w:pos="8996" w:val="left" w:leader="none"/>
        </w:tabs>
        <w:spacing w:before="95"/>
        <w:ind w:left="4196" w:right="0" w:firstLine="0"/>
        <w:jc w:val="left"/>
        <w:rPr>
          <w:sz w:val="12"/>
        </w:rPr>
      </w:pPr>
      <w:r>
        <w:rPr/>
        <w:pict>
          <v:group style="position:absolute;margin-left:294.446991pt;margin-top:5.578564pt;width:184.2pt;height:101.9pt;mso-position-horizontal-relative:page;mso-position-vertical-relative:paragraph;z-index:-20659712" coordorigin="5889,112" coordsize="3684,2038">
            <v:shape style="position:absolute;left:7983;top:111;width:1440;height:2038" coordorigin="7984,112" coordsize="1440,2038" path="m9424,112l9264,324,9104,526,8944,753,8784,940,8624,1049,8464,1123,8304,1202,8144,1177,7984,1370,8144,1419,8304,1680,8464,1838,8624,2001,8784,2134,8944,2149,9104,2134,9264,2134,9424,2129,9424,112xe" filled="true" fillcolor="#fee7de" stroked="false">
              <v:path arrowok="t"/>
              <v:fill type="solid"/>
            </v:shape>
            <v:shape style="position:absolute;left:7983;top:392;width:1440;height:1643" coordorigin="7984,393" coordsize="1440,1643" path="m9424,393l9264,570,9104,738,8944,930,8784,1083,8624,1162,8464,1212,8304,1256,8144,1207,7984,1369,8144,1399,8304,1641,8464,1779,8624,1922,8784,2035,8944,2035,9104,2001,9264,1991,9424,1966,9424,393xe" filled="true" fillcolor="#fcd3c4" stroked="false">
              <v:path arrowok="t"/>
              <v:fill type="solid"/>
            </v:shape>
            <v:shape style="position:absolute;left:7983;top:585;width:1440;height:1377" coordorigin="7984,585" coordsize="1440,1377" path="m9424,585l9264,743,9104,886,8944,1054,8784,1187,8624,1246,8464,1271,8304,1301,8144,1227,7984,1370,8144,1385,8304,1612,8464,1735,8624,1863,8784,1962,8944,1952,9104,1912,9264,1888,9424,1858,9424,585xe" filled="true" fillcolor="#fabeac" stroked="false">
              <v:path arrowok="t"/>
              <v:fill type="solid"/>
            </v:shape>
            <v:shape style="position:absolute;left:7983;top:732;width:1440;height:1170" coordorigin="7984,733" coordsize="1440,1170" path="m9424,733l9264,871,9104,1004,8944,1152,8784,1271,8624,1310,8464,1320,8304,1335,8144,1246,7984,1369,8144,1369,8304,1586,8464,1700,8624,1818,8784,1902,8944,1887,9104,1838,9264,1808,9424,1769,9424,733xe" filled="true" fillcolor="#f8aa95" stroked="false">
              <v:path arrowok="t"/>
              <v:fill type="solid"/>
            </v:shape>
            <v:shape style="position:absolute;left:7983;top:866;width:1440;height:987" coordorigin="7984,867" coordsize="1440,987" path="m9424,867l9264,990,9104,1108,8944,1241,8784,1345,8624,1370,8464,1365,8304,1365,8144,1261,7984,1370,8144,1360,8304,1567,8464,1671,8624,1779,8784,1853,8944,1833,9104,1774,9264,1740,9424,1695,9424,867xe" filled="true" fillcolor="#f69780" stroked="false">
              <v:path arrowok="t"/>
              <v:fill type="solid"/>
            </v:shape>
            <v:shape style="position:absolute;left:7983;top:985;width:1440;height:824" coordorigin="7984,985" coordsize="1440,824" path="m9424,985l9264,1099,9104,1198,8944,1321,8784,1410,8624,1425,8464,1405,8304,1390,8144,1272,7984,1370,8144,1355,8304,1548,8464,1647,8624,1740,8784,1809,8944,1785,9104,1721,9264,1681,9424,1632,9424,985xe" filled="true" fillcolor="#f5846d" stroked="false">
              <v:path arrowok="t"/>
              <v:fill type="solid"/>
            </v:shape>
            <v:shape style="position:absolute;left:7983;top:1094;width:1440;height:671" coordorigin="7984,1094" coordsize="1440,671" path="m9424,1094l9264,1193,9104,1287,8944,1395,8784,1474,8624,1474,8304,1415,8144,1287,7984,1371,8144,1346,8304,1533,8464,1617,8624,1706,8784,1765,8944,1736,9104,1667,9264,1622,9424,1568,9424,1094xe" filled="true" fillcolor="#f3715b" stroked="false">
              <v:path arrowok="t"/>
              <v:fill type="solid"/>
            </v:shape>
            <v:shape style="position:absolute;left:7983;top:1195;width:1440;height:528" coordorigin="7984,1196" coordsize="1440,528" path="m9424,1196l9264,1285,9104,1364,8944,1467,8784,1531,8624,1522,8464,1477,8304,1438,8144,1295,7984,1369,8144,1334,8304,1512,8464,1596,8624,1674,8784,1724,8944,1689,9104,1615,9264,1566,9424,1507,9424,1196xe" filled="true" fillcolor="#f15b4a" stroked="false">
              <v:path arrowok="t"/>
              <v:fill type="solid"/>
            </v:shape>
            <v:shape style="position:absolute;left:7983;top:1295;width:1440;height:390" coordorigin="7984,1295" coordsize="1440,390" path="m9424,1295l9264,1374,9104,1443,8944,1532,8784,1586,8624,1561,8464,1512,8304,1458,8144,1310,7984,1369,8144,1330,8304,1497,8464,1571,8624,1640,8784,1685,8944,1645,9104,1571,9264,1517,9424,1453,9424,1295xe" filled="true" fillcolor="#ed1b2d" stroked="false">
              <v:path arrowok="t"/>
              <v:fill type="solid"/>
            </v:shape>
            <v:shape style="position:absolute;left:9480;top:160;width:92;height:1974" coordorigin="9480,161" coordsize="92,1974" path="m9572,2134l9480,2134m9572,1641l9480,1641m9572,1147l9480,1147m9572,654l9480,654m9572,161l9480,161e" filled="false" stroked="true" strokeweight=".5pt" strokecolor="#000000">
              <v:path arrowok="t"/>
              <v:stroke dashstyle="solid"/>
            </v:shape>
            <v:shape style="position:absolute;left:5898;top:1181;width:960;height:375" coordorigin="5899,1182" coordsize="960,375" path="m6059,1438l5899,1295m6219,1557l6059,1438m6379,1522l6219,1557m6539,1251l6379,1522m6699,1271l6539,1251m6859,1182l6699,1271e" filled="false" stroked="true" strokeweight="1pt" strokecolor="#ed1b2d">
              <v:path arrowok="t"/>
              <v:stroke dashstyle="solid"/>
            </v:shape>
            <v:line style="position:absolute" from="6849,1184" to="7029,1184" stroked="true" strokeweight="1.247pt" strokecolor="#ed1b2d">
              <v:stroke dashstyle="solid"/>
            </v:line>
            <v:shape style="position:absolute;left:7018;top:1038;width:960;height:331" coordorigin="7019,1039" coordsize="960,331" path="m7179,1231l7019,1187m7339,1251l7179,1231m7499,1216l7339,1251m7659,1039l7499,1216m7819,1216l7659,1039m7979,1369l7819,1216e" filled="false" stroked="true" strokeweight="1pt" strokecolor="#ed1b2d">
              <v:path arrowok="t"/>
              <v:stroke dashstyle="solid"/>
            </v:shape>
            <v:shape style="position:absolute;left:5888;top:111;width:3684;height:203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689" w:val="left" w:leader="none"/>
                      </w:tabs>
                      <w:spacing w:before="73"/>
                      <w:ind w:left="-7"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20656128" from="285.279999pt,8.036564pt" to="289.879999pt,8.036564pt" stroked="true" strokeweight=".5pt" strokecolor="#000000">
            <v:stroke dashstyle="solid"/>
            <w10:wrap type="none"/>
          </v:line>
        </w:pict>
      </w:r>
      <w:r>
        <w:rPr/>
        <w:pict>
          <v:line style="position:absolute;mso-position-horizontal-relative:page;mso-position-vertical-relative:paragraph;z-index:16087040" from="46.279999pt,8.036564pt" to="50.879999pt,8.036564pt" stroked="true" strokeweight=".5pt" strokecolor="#000000">
            <v:stroke dashstyle="solid"/>
            <w10:wrap type="none"/>
          </v:line>
        </w:pict>
      </w:r>
      <w:r>
        <w:rPr/>
        <w:pict>
          <v:line style="position:absolute;mso-position-horizontal-relative:page;mso-position-vertical-relative:paragraph;z-index:16088064" from="238.613pt,8.036564pt" to="234.013pt,8.036564pt" stroked="true" strokeweight=".5pt" strokecolor="#000000">
            <v:stroke dashstyle="solid"/>
            <w10:wrap type="none"/>
          </v:line>
        </w:pict>
      </w:r>
      <w:r>
        <w:rPr>
          <w:sz w:val="12"/>
        </w:rPr>
        <w:t>5</w:t>
        <w:tab/>
        <w:t>5</w:t>
      </w:r>
    </w:p>
    <w:p>
      <w:pPr>
        <w:pStyle w:val="BodyText"/>
        <w:spacing w:before="7"/>
        <w:rPr>
          <w:sz w:val="22"/>
        </w:rPr>
      </w:pPr>
    </w:p>
    <w:p>
      <w:pPr>
        <w:tabs>
          <w:tab w:pos="8996" w:val="left" w:leader="none"/>
        </w:tabs>
        <w:spacing w:before="96"/>
        <w:ind w:left="4196" w:right="0" w:firstLine="0"/>
        <w:jc w:val="left"/>
        <w:rPr>
          <w:sz w:val="12"/>
        </w:rPr>
      </w:pPr>
      <w:r>
        <w:rPr/>
        <w:pict>
          <v:line style="position:absolute;mso-position-horizontal-relative:page;mso-position-vertical-relative:paragraph;z-index:-20656640" from="285.279999pt,8.085548pt" to="289.879999pt,8.085548pt" stroked="true" strokeweight=".5pt" strokecolor="#000000">
            <v:stroke dashstyle="solid"/>
            <w10:wrap type="none"/>
          </v:line>
        </w:pict>
      </w:r>
      <w:r>
        <w:rPr/>
        <w:pict>
          <v:group style="position:absolute;margin-left:54.279999pt;margin-top:.089548pt;width:184.35pt;height:82.25pt;mso-position-horizontal-relative:page;mso-position-vertical-relative:paragraph;z-index:16083968" coordorigin="1086,2" coordsize="3687,1645">
            <v:shape style="position:absolute;left:3248;top:1;width:1380;height:1614" coordorigin="3249,2" coordsize="1380,1614" path="m4629,2l4476,56,4322,145,4169,209,4016,234,3862,357,3709,446,3556,569,3402,688,3249,747,3402,910,3556,1013,3709,1122,3862,1255,4169,1452,4322,1511,4476,1546,4629,1615,4629,2xe" filled="true" fillcolor="#fee7de" stroked="false">
              <v:path arrowok="t"/>
              <v:fill type="solid"/>
            </v:shape>
            <v:shape style="position:absolute;left:3248;top:212;width:1380;height:1258" coordorigin="3249,213" coordsize="1380,1258" path="m4629,213l4476,252,4322,321,4169,371,4016,380,3862,474,3709,538,3556,627,3402,721,3249,750,3402,903,3709,1091,3862,1214,4016,1303,4169,1377,4322,1412,4476,1426,4629,1471,4629,213xe" filled="true" fillcolor="#fcd3c4" stroked="false">
              <v:path arrowok="t"/>
              <v:fill type="solid"/>
            </v:shape>
            <v:shape style="position:absolute;left:3248;top:344;width:1380;height:1022" coordorigin="3249,344" coordsize="1380,1022" path="m4629,344l4476,379,4322,448,4169,492,4016,497,3862,571,3709,606,3556,675,3402,739,3249,749,3402,892,3556,981,3709,1065,3862,1183,4016,1262,4169,1321,4322,1341,4476,1336,4629,1366,4629,344xe" filled="true" fillcolor="#fabeac" stroked="false">
              <v:path arrowok="t"/>
              <v:fill type="solid"/>
            </v:shape>
            <v:shape style="position:absolute;left:3248;top:454;width:1380;height:829" coordorigin="3249,454" coordsize="1380,829" path="m4629,454l4476,484,4322,548,4169,587,4016,587,3862,641,3709,661,3556,706,3402,755,3249,745,3402,883,3556,962,3709,1036,3862,1145,4016,1219,4169,1268,4322,1278,4476,1263,4629,1283,4629,454xe" filled="true" fillcolor="#f8aa95" stroked="false">
              <v:path arrowok="t"/>
              <v:fill type="solid"/>
            </v:shape>
            <v:shape style="position:absolute;left:3248;top:548;width:1380;height:681" coordorigin="3249,548" coordsize="1380,681" path="m4629,548l4476,578,4322,637,4169,676,4016,676,3862,711,3709,711,3556,745,3402,775,3249,745,3402,879,3556,948,3709,1022,3862,1120,4016,1189,4169,1229,4322,1229,4476,1204,4629,1214,4629,548xe" filled="true" fillcolor="#f69780" stroked="false">
              <v:path arrowok="t"/>
              <v:fill type="solid"/>
            </v:shape>
            <v:shape style="position:absolute;left:3248;top:638;width:1380;height:553" coordorigin="3249,639" coordsize="1380,553" path="m4629,639l4476,663,4322,728,4169,762,4016,762,3862,782,3709,767,3556,777,3402,792,3249,747,3402,871,3556,940,3709,1004,3862,1103,4016,1162,4169,1191,4322,1186,4476,1152,4629,1157,4629,639xe" filled="true" fillcolor="#f5846d" stroked="false">
              <v:path arrowok="t"/>
              <v:fill type="solid"/>
            </v:shape>
            <v:shape style="position:absolute;left:3248;top:722;width:1380;height:440" coordorigin="3249,722" coordsize="1380,440" path="m4629,722l4476,747,4322,806,4169,846,4016,841,3862,846,3709,816,3556,811,3402,811,3249,752,3402,870,3556,929,3709,994,3862,1082,4016,1137,4169,1161,4322,1146,4476,1107,4629,1102,4629,722xe" filled="true" fillcolor="#f3715b" stroked="false">
              <v:path arrowok="t"/>
              <v:fill type="solid"/>
            </v:shape>
            <v:shape style="position:absolute;left:3248;top:747;width:1380;height:375" coordorigin="3249,748" coordsize="1380,375" path="m3249,748l3402,861,3556,915,3709,975,3862,1058,4016,1108,4169,1123,4322,1103,4476,1053,4629,1044,4629,792,4476,817,4322,876,4169,915,4016,910,3862,901,3709,856,3556,836,3402,822,3249,748xe" filled="true" fillcolor="#f15b4a" stroked="false">
              <v:path arrowok="t"/>
              <v:fill type="solid"/>
            </v:shape>
            <v:shape style="position:absolute;left:3248;top:751;width:1380;height:341" coordorigin="3249,752" coordsize="1380,341" path="m3249,752l3402,860,3709,959,3862,1038,4016,1082,4169,1092,4322,1067,4476,1013,4629,998,4629,870,4476,895,4322,954,4169,988,4016,983,3862,959,3709,900,3402,840,3249,752xe" filled="true" fillcolor="#ed1b2d" stroked="false">
              <v:path arrowok="t"/>
              <v:fill type="solid"/>
            </v:shape>
            <v:shape style="position:absolute;left:4680;top:161;width:92;height:1480" coordorigin="4680,162" coordsize="92,1480" path="m4772,1642l4680,1642m4772,1148l4680,1148m4772,655l4680,655m4772,162l4680,162e" filled="false" stroked="true" strokeweight=".5pt" strokecolor="#000000">
              <v:path arrowok="t"/>
              <v:stroke dashstyle="solid"/>
            </v:shape>
            <v:shape style="position:absolute;left:1095;top:689;width:920;height:375" coordorigin="1096,690" coordsize="920,375" path="m1249,946l1096,803m1402,1065l1249,946m1556,1030l1402,1065m1709,759l1556,1030m1862,778l1709,759m2016,690l1862,778e" filled="false" stroked="true" strokeweight="1pt" strokecolor="#ed1b2d">
              <v:path arrowok="t"/>
              <v:stroke dashstyle="solid"/>
            </v:shape>
            <v:line style="position:absolute" from="2006,692" to="2179,692" stroked="true" strokeweight="1.247pt" strokecolor="#ed1b2d">
              <v:stroke dashstyle="solid"/>
            </v:line>
            <v:shape style="position:absolute;left:2168;top:546;width:1074;height:326" coordorigin="2169,547" coordsize="1074,326" path="m2322,739l2169,695m2476,759l2322,739m2629,724l2476,759m2782,547l2629,724m2936,724l2782,547m3089,872l2936,724m3242,749l3089,872e" filled="false" stroked="true" strokeweight="1pt" strokecolor="#ed1b2d">
              <v:path arrowok="t"/>
              <v:stroke dashstyle="solid"/>
            </v:shape>
            <v:shape style="position:absolute;left:1085;top:1;width:3687;height:1645"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692" w:val="left" w:leader="none"/>
                      </w:tabs>
                      <w:spacing w:before="104"/>
                      <w:ind w:left="-4"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16086528" from="46.279999pt,8.085548pt" to="50.879999pt,8.085548pt" stroked="true" strokeweight=".5pt" strokecolor="#000000">
            <v:stroke dashstyle="solid"/>
            <w10:wrap type="none"/>
          </v:line>
        </w:pict>
      </w:r>
      <w:r>
        <w:rPr>
          <w:sz w:val="12"/>
        </w:rPr>
        <w:t>4</w:t>
        <w:tab/>
        <w:t>4</w:t>
      </w:r>
    </w:p>
    <w:p>
      <w:pPr>
        <w:pStyle w:val="BodyText"/>
        <w:spacing w:before="7"/>
        <w:rPr>
          <w:sz w:val="22"/>
        </w:rPr>
      </w:pPr>
    </w:p>
    <w:p>
      <w:pPr>
        <w:tabs>
          <w:tab w:pos="8996" w:val="left" w:leader="none"/>
        </w:tabs>
        <w:spacing w:before="95"/>
        <w:ind w:left="4196" w:right="0" w:firstLine="0"/>
        <w:jc w:val="left"/>
        <w:rPr>
          <w:sz w:val="12"/>
        </w:rPr>
      </w:pPr>
      <w:r>
        <w:rPr/>
        <w:pict>
          <v:line style="position:absolute;mso-position-horizontal-relative:page;mso-position-vertical-relative:paragraph;z-index:-20657152" from="285.279999pt,8.036532pt" to="289.879999pt,8.036532pt" stroked="true" strokeweight=".5pt" strokecolor="#000000">
            <v:stroke dashstyle="solid"/>
            <w10:wrap type="none"/>
          </v:line>
        </w:pict>
      </w:r>
      <w:r>
        <w:rPr/>
        <w:pict>
          <v:line style="position:absolute;mso-position-horizontal-relative:page;mso-position-vertical-relative:paragraph;z-index:16086016" from="46.279999pt,8.036532pt" to="50.879999pt,8.036532pt" stroked="true" strokeweight=".5pt" strokecolor="#000000">
            <v:stroke dashstyle="solid"/>
            <w10:wrap type="none"/>
          </v:line>
        </w:pict>
      </w:r>
      <w:r>
        <w:rPr>
          <w:sz w:val="12"/>
        </w:rPr>
        <w:t>3</w:t>
        <w:tab/>
        <w:t>3</w:t>
      </w:r>
    </w:p>
    <w:p>
      <w:pPr>
        <w:tabs>
          <w:tab w:pos="9005" w:val="left" w:leader="none"/>
        </w:tabs>
        <w:spacing w:before="69"/>
        <w:ind w:left="4205" w:right="0" w:firstLine="0"/>
        <w:jc w:val="left"/>
        <w:rPr>
          <w:sz w:val="12"/>
        </w:rPr>
      </w:pPr>
      <w:r>
        <w:rPr>
          <w:sz w:val="12"/>
        </w:rPr>
        <w:t>2.5</w:t>
        <w:tab/>
        <w:t>2.5</w:t>
      </w:r>
    </w:p>
    <w:p>
      <w:pPr>
        <w:pStyle w:val="BodyText"/>
        <w:spacing w:before="10"/>
        <w:rPr>
          <w:sz w:val="12"/>
        </w:rPr>
      </w:pPr>
    </w:p>
    <w:p>
      <w:pPr>
        <w:tabs>
          <w:tab w:pos="8996" w:val="left" w:leader="none"/>
        </w:tabs>
        <w:spacing w:before="0"/>
        <w:ind w:left="4196" w:right="0" w:firstLine="0"/>
        <w:jc w:val="left"/>
        <w:rPr>
          <w:sz w:val="12"/>
        </w:rPr>
      </w:pPr>
      <w:r>
        <w:rPr/>
        <w:pict>
          <v:line style="position:absolute;mso-position-horizontal-relative:page;mso-position-vertical-relative:paragraph;z-index:-20657664" from="285.279999pt,3.288578pt" to="289.879999pt,3.288578pt" stroked="true" strokeweight=".5pt" strokecolor="#000000">
            <v:stroke dashstyle="solid"/>
            <w10:wrap type="none"/>
          </v:line>
        </w:pict>
      </w:r>
      <w:r>
        <w:rPr/>
        <w:pict>
          <v:line style="position:absolute;mso-position-horizontal-relative:page;mso-position-vertical-relative:paragraph;z-index:16085504" from="46.279999pt,3.288578pt" to="50.879999pt,3.288578pt" stroked="true" strokeweight=".5pt" strokecolor="#000000">
            <v:stroke dashstyle="solid"/>
            <w10:wrap type="none"/>
          </v:line>
        </w:pict>
      </w:r>
      <w:r>
        <w:rPr>
          <w:sz w:val="12"/>
        </w:rPr>
        <w:t>2</w:t>
        <w:tab/>
        <w:t>2</w:t>
      </w:r>
    </w:p>
    <w:p>
      <w:pPr>
        <w:pStyle w:val="BodyText"/>
        <w:spacing w:before="8"/>
        <w:rPr>
          <w:sz w:val="22"/>
        </w:rPr>
      </w:pPr>
    </w:p>
    <w:p>
      <w:pPr>
        <w:tabs>
          <w:tab w:pos="8996" w:val="left" w:leader="none"/>
        </w:tabs>
        <w:spacing w:before="95"/>
        <w:ind w:left="4196" w:right="0" w:firstLine="0"/>
        <w:jc w:val="left"/>
        <w:rPr>
          <w:sz w:val="12"/>
        </w:rPr>
      </w:pPr>
      <w:r>
        <w:rPr/>
        <w:pict>
          <v:line style="position:absolute;mso-position-horizontal-relative:page;mso-position-vertical-relative:paragraph;z-index:-20658176" from="285.279999pt,8.037562pt" to="289.879999pt,8.037562pt" stroked="true" strokeweight=".5pt" strokecolor="#000000">
            <v:stroke dashstyle="solid"/>
            <w10:wrap type="none"/>
          </v:line>
        </w:pict>
      </w:r>
      <w:r>
        <w:rPr/>
        <w:pict>
          <v:line style="position:absolute;mso-position-horizontal-relative:page;mso-position-vertical-relative:paragraph;z-index:16084992" from="46.279999pt,8.037562pt" to="50.879999pt,8.037562pt" stroked="true" strokeweight=".5pt" strokecolor="#000000">
            <v:stroke dashstyle="solid"/>
            <w10:wrap type="none"/>
          </v:line>
        </w:pict>
      </w:r>
      <w:r>
        <w:rPr>
          <w:sz w:val="12"/>
        </w:rPr>
        <w:t>1</w:t>
        <w:tab/>
        <w:t>1</w:t>
      </w:r>
    </w:p>
    <w:p>
      <w:pPr>
        <w:pStyle w:val="BodyText"/>
        <w:spacing w:before="7"/>
        <w:rPr>
          <w:sz w:val="22"/>
        </w:rPr>
      </w:pPr>
    </w:p>
    <w:p>
      <w:pPr>
        <w:spacing w:after="0"/>
        <w:rPr>
          <w:sz w:val="22"/>
        </w:rPr>
        <w:sectPr>
          <w:type w:val="continuous"/>
          <w:pgSz w:w="11880" w:h="16840"/>
          <w:pgMar w:top="1040" w:bottom="280" w:left="640" w:right="620"/>
        </w:sectPr>
      </w:pPr>
    </w:p>
    <w:p>
      <w:pPr>
        <w:spacing w:line="133" w:lineRule="exact" w:before="95"/>
        <w:ind w:left="4196" w:right="0" w:firstLine="0"/>
        <w:jc w:val="left"/>
        <w:rPr>
          <w:sz w:val="12"/>
        </w:rPr>
      </w:pPr>
      <w:r>
        <w:rPr/>
        <w:pict>
          <v:shape style="position:absolute;margin-left:46.612999pt;margin-top:1.672547pt;width:192.35pt;height:6.4pt;mso-position-horizontal-relative:page;mso-position-vertical-relative:paragraph;z-index:16084480" coordorigin="932,33" coordsize="3847,128" path="m1092,161l4612,161m1092,154l1092,33m1246,161l1246,87m1399,161l1399,87m1552,161l1552,87m1706,154l1706,33m1859,161l1859,87m2012,161l2012,87m2166,161l2166,87m2319,154l2319,33m2472,161l2472,87m2626,161l2626,87m2779,161l2779,87m2932,154l2932,33m3086,161l3086,87m3239,161l3239,87m3392,161l3392,87m3546,154l3546,33m3699,161l3699,87m3852,161l3852,87m4006,161l4006,87m4159,154l4159,33m4312,161l4312,87m4466,161l4466,87m4459,161l4459,87m4626,161l4626,87m932,161l1024,161m4779,161l4687,161e" filled="false" stroked="true" strokeweight=".5pt" strokecolor="#000000">
            <v:path arrowok="t"/>
            <v:stroke dashstyle="solid"/>
            <w10:wrap type="none"/>
          </v:shape>
        </w:pict>
      </w:r>
      <w:r>
        <w:rPr>
          <w:sz w:val="12"/>
        </w:rPr>
        <w:t>0</w:t>
      </w:r>
    </w:p>
    <w:p>
      <w:pPr>
        <w:tabs>
          <w:tab w:pos="1352" w:val="left" w:leader="none"/>
          <w:tab w:pos="1998" w:val="left" w:leader="none"/>
          <w:tab w:pos="2638" w:val="left" w:leader="none"/>
          <w:tab w:pos="3278" w:val="left" w:leader="none"/>
          <w:tab w:pos="3905" w:val="left" w:leader="none"/>
        </w:tabs>
        <w:spacing w:line="133" w:lineRule="exact" w:before="0"/>
        <w:ind w:left="632" w:right="0" w:firstLine="0"/>
        <w:jc w:val="left"/>
        <w:rPr>
          <w:sz w:val="12"/>
        </w:rPr>
      </w:pPr>
      <w:r>
        <w:rPr>
          <w:sz w:val="12"/>
        </w:rPr>
        <w:t>1994</w:t>
        <w:tab/>
        <w:t>95</w:t>
        <w:tab/>
        <w:t>96</w:t>
        <w:tab/>
        <w:t>97</w:t>
        <w:tab/>
        <w:t>98</w:t>
        <w:tab/>
        <w:t>99</w:t>
      </w:r>
    </w:p>
    <w:p>
      <w:pPr>
        <w:spacing w:line="133" w:lineRule="exact" w:before="95"/>
        <w:ind w:left="4196" w:right="0" w:firstLine="0"/>
        <w:jc w:val="left"/>
        <w:rPr>
          <w:sz w:val="12"/>
        </w:rPr>
      </w:pPr>
      <w:r>
        <w:rPr/>
        <w:br w:type="column"/>
      </w:r>
      <w:r>
        <w:rPr>
          <w:sz w:val="12"/>
        </w:rPr>
        <w:t>0</w:t>
      </w:r>
    </w:p>
    <w:p>
      <w:pPr>
        <w:tabs>
          <w:tab w:pos="1352" w:val="left" w:leader="none"/>
          <w:tab w:pos="1998" w:val="left" w:leader="none"/>
          <w:tab w:pos="2638" w:val="left" w:leader="none"/>
          <w:tab w:pos="3278" w:val="left" w:leader="none"/>
          <w:tab w:pos="3905" w:val="left" w:leader="none"/>
        </w:tabs>
        <w:spacing w:line="133" w:lineRule="exact" w:before="0"/>
        <w:ind w:left="632" w:right="0" w:firstLine="0"/>
        <w:jc w:val="left"/>
        <w:rPr>
          <w:sz w:val="12"/>
        </w:rPr>
      </w:pPr>
      <w:r>
        <w:rPr/>
        <w:pict>
          <v:shape style="position:absolute;margin-left:294.613007pt;margin-top:-9.371162pt;width:184.35pt;height:6.05pt;mso-position-horizontal-relative:page;mso-position-vertical-relative:paragraph;z-index:16078848" coordorigin="5892,-187" coordsize="3687,121" path="m5892,-67l9412,-67m5892,-67l5892,-187m6052,-67l6052,-141m6212,-67l6212,-141m6372,-67l6372,-141m6532,-67l6532,-187m6692,-67l6692,-141m6852,-67l6852,-141m7012,-67l7012,-141m7172,-67l7172,-187m7332,-67l7332,-141m7492,-67l7492,-141m7652,-67l7652,-141m7812,-67l7812,-187m7972,-67l7972,-141m8132,-67l8132,-141m8292,-67l8292,-141m8452,-67l8452,-187m8612,-67l8612,-141m8772,-67l8772,-141m8932,-67l8932,-141m9092,-67l9092,-187m9252,-67l9252,-141m9412,-67l9412,-141m9579,-67l9487,-67e" filled="false" stroked="true" strokeweight=".5pt" strokecolor="#000000">
            <v:path arrowok="t"/>
            <v:stroke dashstyle="solid"/>
            <w10:wrap type="none"/>
          </v:shape>
        </w:pict>
      </w:r>
      <w:r>
        <w:rPr/>
        <w:pict>
          <v:line style="position:absolute;mso-position-horizontal-relative:page;mso-position-vertical-relative:paragraph;z-index:16079360" from="285.613007pt,-3.338162pt" to="290.213007pt,-3.338162pt" stroked="true" strokeweight=".5pt" strokecolor="#000000">
            <v:stroke dashstyle="solid"/>
            <w10:wrap type="none"/>
          </v:line>
        </w:pict>
      </w:r>
      <w:r>
        <w:rPr>
          <w:sz w:val="12"/>
        </w:rPr>
        <w:t>1994</w:t>
        <w:tab/>
        <w:t>95</w:t>
        <w:tab/>
        <w:t>96</w:t>
        <w:tab/>
        <w:t>97</w:t>
        <w:tab/>
        <w:t>98</w:t>
        <w:tab/>
        <w:t>99</w:t>
      </w:r>
    </w:p>
    <w:p>
      <w:pPr>
        <w:spacing w:after="0" w:line="133" w:lineRule="exact"/>
        <w:jc w:val="left"/>
        <w:rPr>
          <w:sz w:val="12"/>
        </w:rPr>
        <w:sectPr>
          <w:type w:val="continuous"/>
          <w:pgSz w:w="11880" w:h="16840"/>
          <w:pgMar w:top="1040" w:bottom="280" w:left="640" w:right="620"/>
          <w:cols w:num="2" w:equalWidth="0">
            <w:col w:w="4297" w:space="503"/>
            <w:col w:w="5820"/>
          </w:cols>
        </w:sectPr>
      </w:pPr>
    </w:p>
    <w:p>
      <w:pPr>
        <w:spacing w:line="208" w:lineRule="auto" w:before="96"/>
        <w:ind w:left="159" w:right="1025" w:firstLine="0"/>
        <w:jc w:val="left"/>
        <w:rPr>
          <w:sz w:val="16"/>
        </w:rPr>
      </w:pPr>
      <w:r>
        <w:rPr>
          <w:color w:val="231F20"/>
          <w:sz w:val="16"/>
        </w:rPr>
        <w:t>The chart shows the relative likelihood of possible outcomes. The central band, coloured deep red, includes the central projection: there is judged to be a 10% chance that inflation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880" w:h="16840"/>
          <w:pgMar w:top="1040" w:bottom="280" w:left="640" w:right="620"/>
        </w:sectPr>
      </w:pPr>
    </w:p>
    <w:p>
      <w:pPr>
        <w:pStyle w:val="BodyText"/>
        <w:rPr>
          <w:sz w:val="20"/>
        </w:rPr>
      </w:pPr>
    </w:p>
    <w:p>
      <w:pPr>
        <w:pStyle w:val="Heading9"/>
        <w:spacing w:before="0"/>
        <w:ind w:left="145"/>
      </w:pPr>
      <w:r>
        <w:rPr>
          <w:color w:val="0093C1"/>
        </w:rPr>
        <w:t>Chart 7.4</w:t>
      </w:r>
    </w:p>
    <w:p>
      <w:pPr>
        <w:spacing w:line="249" w:lineRule="auto" w:before="10"/>
        <w:ind w:left="145" w:right="21" w:firstLine="0"/>
        <w:jc w:val="left"/>
        <w:rPr>
          <w:b/>
          <w:sz w:val="20"/>
        </w:rPr>
      </w:pPr>
      <w:r>
        <w:rPr>
          <w:b/>
          <w:color w:val="0093C1"/>
          <w:sz w:val="20"/>
        </w:rPr>
        <w:t>Current projection for the percentage increase in RPIX in the year to 1999 Q4</w:t>
      </w:r>
    </w:p>
    <w:p>
      <w:pPr>
        <w:pStyle w:val="BodyText"/>
        <w:rPr>
          <w:b/>
          <w:sz w:val="20"/>
        </w:rPr>
      </w:pPr>
      <w:r>
        <w:rPr/>
        <w:br w:type="column"/>
      </w:r>
      <w:r>
        <w:rPr>
          <w:b/>
          <w:sz w:val="20"/>
        </w:rPr>
      </w:r>
    </w:p>
    <w:p>
      <w:pPr>
        <w:spacing w:before="0"/>
        <w:ind w:left="145" w:right="0" w:firstLine="0"/>
        <w:jc w:val="left"/>
        <w:rPr>
          <w:b/>
          <w:sz w:val="20"/>
        </w:rPr>
      </w:pPr>
      <w:r>
        <w:rPr>
          <w:b/>
          <w:color w:val="0093C1"/>
          <w:sz w:val="20"/>
        </w:rPr>
        <w:t>Chart 7.5</w:t>
      </w:r>
    </w:p>
    <w:p>
      <w:pPr>
        <w:spacing w:line="249" w:lineRule="auto" w:before="10"/>
        <w:ind w:left="145" w:right="1524" w:firstLine="0"/>
        <w:jc w:val="left"/>
        <w:rPr>
          <w:b/>
          <w:sz w:val="20"/>
        </w:rPr>
      </w:pPr>
      <w:r>
        <w:rPr>
          <w:b/>
          <w:color w:val="0093C1"/>
          <w:sz w:val="20"/>
        </w:rPr>
        <w:t>August projection for the percentage increase in RPIX in the year to 1999 Q3</w:t>
      </w:r>
    </w:p>
    <w:p>
      <w:pPr>
        <w:spacing w:after="0" w:line="249" w:lineRule="auto"/>
        <w:jc w:val="left"/>
        <w:rPr>
          <w:sz w:val="20"/>
        </w:rPr>
        <w:sectPr>
          <w:type w:val="continuous"/>
          <w:pgSz w:w="11880" w:h="16840"/>
          <w:pgMar w:top="1040" w:bottom="280" w:left="640" w:right="620"/>
          <w:cols w:num="2" w:equalWidth="0">
            <w:col w:w="4385" w:space="435"/>
            <w:col w:w="5800"/>
          </w:cols>
        </w:sectPr>
      </w:pPr>
    </w:p>
    <w:p>
      <w:pPr>
        <w:pStyle w:val="BodyText"/>
        <w:spacing w:before="4"/>
        <w:rPr>
          <w:b/>
          <w:sz w:val="14"/>
        </w:rPr>
      </w:pPr>
    </w:p>
    <w:p>
      <w:pPr>
        <w:spacing w:after="0"/>
        <w:rPr>
          <w:sz w:val="14"/>
        </w:rPr>
        <w:sectPr>
          <w:type w:val="continuous"/>
          <w:pgSz w:w="11880" w:h="16840"/>
          <w:pgMar w:top="1040" w:bottom="280" w:left="640" w:right="620"/>
        </w:sectPr>
      </w:pPr>
    </w:p>
    <w:p>
      <w:pPr>
        <w:spacing w:line="116" w:lineRule="exact" w:before="95"/>
        <w:ind w:left="3042" w:right="0" w:firstLine="0"/>
        <w:jc w:val="left"/>
        <w:rPr>
          <w:sz w:val="12"/>
        </w:rPr>
      </w:pPr>
      <w:r>
        <w:rPr>
          <w:sz w:val="12"/>
        </w:rPr>
        <w:t>Probability in per cent (a)</w:t>
      </w:r>
    </w:p>
    <w:p>
      <w:pPr>
        <w:spacing w:line="116" w:lineRule="exact" w:before="0"/>
        <w:ind w:left="4332" w:right="0" w:firstLine="0"/>
        <w:jc w:val="left"/>
        <w:rPr>
          <w:sz w:val="12"/>
        </w:rPr>
      </w:pPr>
      <w:r>
        <w:rPr/>
        <w:pict>
          <v:line style="position:absolute;mso-position-horizontal-relative:page;mso-position-vertical-relative:paragraph;z-index:16089088" from="41.612999pt,2.652359pt" to="45.612999pt,2.652359pt" stroked="true" strokeweight=".5pt" strokecolor="#000000">
            <v:stroke dashstyle="solid"/>
            <w10:wrap type="none"/>
          </v:line>
        </w:pict>
      </w:r>
      <w:r>
        <w:rPr/>
        <w:pict>
          <v:line style="position:absolute;mso-position-horizontal-relative:page;mso-position-vertical-relative:paragraph;z-index:16090624" from="240.279999pt,2.652359pt" to="245.279999pt,2.652359pt" stroked="true" strokeweight=".5pt" strokecolor="#000000">
            <v:stroke dashstyle="solid"/>
            <w10:wrap type="none"/>
          </v:line>
        </w:pict>
      </w:r>
      <w:r>
        <w:rPr>
          <w:sz w:val="12"/>
        </w:rPr>
        <w:t>5</w:t>
      </w:r>
    </w:p>
    <w:p>
      <w:pPr>
        <w:spacing w:line="114" w:lineRule="exact" w:before="102"/>
        <w:ind w:left="0" w:right="1529" w:firstLine="0"/>
        <w:jc w:val="right"/>
        <w:rPr>
          <w:sz w:val="12"/>
        </w:rPr>
      </w:pPr>
      <w:r>
        <w:rPr/>
        <w:br w:type="column"/>
      </w:r>
      <w:r>
        <w:rPr>
          <w:sz w:val="12"/>
        </w:rPr>
        <w:t>Probability in per cent (a)</w:t>
      </w:r>
    </w:p>
    <w:p>
      <w:pPr>
        <w:spacing w:line="114" w:lineRule="exact" w:before="0"/>
        <w:ind w:left="0" w:right="1442" w:firstLine="0"/>
        <w:jc w:val="right"/>
        <w:rPr>
          <w:sz w:val="12"/>
        </w:rPr>
      </w:pPr>
      <w:r>
        <w:rPr/>
        <w:pict>
          <v:line style="position:absolute;mso-position-horizontal-relative:page;mso-position-vertical-relative:paragraph;z-index:16092160" from="283.779999pt,2.901855pt" to="288.779999pt,2.901855pt" stroked="true" strokeweight=".5pt" strokecolor="#000000">
            <v:stroke dashstyle="solid"/>
            <w10:wrap type="none"/>
          </v:line>
        </w:pict>
      </w:r>
      <w:r>
        <w:rPr/>
        <w:pict>
          <v:line style="position:absolute;mso-position-horizontal-relative:page;mso-position-vertical-relative:paragraph;z-index:16093184" from="480.779999pt,2.901855pt" to="485.779999pt,2.901855pt" stroked="true" strokeweight=".5pt" strokecolor="#000000">
            <v:stroke dashstyle="solid"/>
            <w10:wrap type="none"/>
          </v:line>
        </w:pict>
      </w:r>
      <w:r>
        <w:rPr>
          <w:sz w:val="12"/>
        </w:rPr>
        <w:t>5</w:t>
      </w:r>
    </w:p>
    <w:p>
      <w:pPr>
        <w:spacing w:after="0" w:line="114" w:lineRule="exact"/>
        <w:jc w:val="right"/>
        <w:rPr>
          <w:sz w:val="12"/>
        </w:rPr>
        <w:sectPr>
          <w:type w:val="continuous"/>
          <w:pgSz w:w="11880" w:h="16840"/>
          <w:pgMar w:top="1040" w:bottom="280" w:left="640" w:right="620"/>
          <w:cols w:num="2" w:equalWidth="0">
            <w:col w:w="4433" w:space="381"/>
            <w:col w:w="5806"/>
          </w:cols>
        </w:sectPr>
      </w:pPr>
    </w:p>
    <w:p>
      <w:pPr>
        <w:pStyle w:val="BodyText"/>
        <w:rPr>
          <w:sz w:val="20"/>
        </w:rPr>
      </w:pPr>
    </w:p>
    <w:p>
      <w:pPr>
        <w:pStyle w:val="BodyText"/>
        <w:spacing w:before="2"/>
        <w:rPr>
          <w:sz w:val="20"/>
        </w:rPr>
      </w:pPr>
    </w:p>
    <w:p>
      <w:pPr>
        <w:tabs>
          <w:tab w:pos="9115" w:val="left" w:leader="none"/>
        </w:tabs>
        <w:spacing w:before="0"/>
        <w:ind w:left="4332" w:right="0" w:firstLine="0"/>
        <w:jc w:val="left"/>
        <w:rPr>
          <w:sz w:val="12"/>
        </w:rPr>
      </w:pPr>
      <w:r>
        <w:rPr/>
        <w:pict>
          <v:group style="position:absolute;margin-left:41.612999pt;margin-top:.101563pt;width:203.7pt;height:123.75pt;mso-position-horizontal-relative:page;mso-position-vertical-relative:paragraph;z-index:16090112" coordorigin="832,2" coordsize="4074,2475">
            <v:shape style="position:absolute;left:832;top:72;width:4074;height:2400" coordorigin="832,72" coordsize="4074,2400" path="m832,72l912,72m832,672l912,672m832,1272l912,1272m832,1872l912,1872m832,2472l912,2472m4806,72l4906,72m4806,672l4906,672m4806,1272l4906,1272m4806,1872l4906,1872m4806,2472l4906,2472e" filled="false" stroked="true" strokeweight=".5pt" strokecolor="#000000">
              <v:path arrowok="t"/>
              <v:stroke dashstyle="solid"/>
            </v:shape>
            <v:shape style="position:absolute;left:1615;top:22;width:2060;height:2440" coordorigin="1616,22" coordsize="2060,2440" path="m2536,22l2476,22,2416,42,2336,102,2276,182,2216,302,2096,582,2036,742,1976,922,1896,1082,1836,1262,1716,1582,1656,1722,1616,1782,1616,2462,3676,2462,3676,1922,3656,1902,3536,1702,3296,1222,3216,1082,3156,962,3036,682,2916,442,2856,342,2776,242,2716,162,2656,102,2536,22xe" filled="true" fillcolor="#eeefef" stroked="false">
              <v:path arrowok="t"/>
              <v:fill type="solid"/>
            </v:shape>
            <v:shape style="position:absolute;left:1615;top:22;width:2060;height:2440" coordorigin="1616,22" coordsize="2060,2440" path="m3656,1902l3536,1702,3296,1222,3216,1082,3156,962,3036,682,2916,442,2856,342,2776,242,2716,162,2656,102,2536,22,2476,22,2416,42,2336,102,2276,182,2216,302,2096,582,2036,742,1976,922,1896,1082,1836,1262,1716,1582,1656,1722,1616,1782,1616,2462,3676,2462,3676,1922,3656,1902xe" filled="false" stroked="true" strokeweight="1pt" strokecolor="#eeefef">
              <v:path arrowok="t"/>
              <v:stroke dashstyle="solid"/>
            </v:shape>
            <v:shape style="position:absolute;left:965;top:12;width:3788;height:2453" coordorigin="966,12" coordsize="3788,2453" path="m966,2432l1046,2412,1106,2392,1166,2357,1226,2317,1286,2272,1346,2212,1406,2137,1468,2055,1533,1960,1596,1842,1653,1705,1718,1570,1773,1420,1826,1272,1893,1080,1966,912,2031,737,2093,580,2151,452,2213,300,2273,180,2346,87,2426,27,2486,12,2571,32,2621,67,2671,107,2731,167,2796,252,2866,352,2926,452,3046,692,3166,972,3226,1092,3306,1245,3366,1352,3546,1712,3666,1912,3726,1992,3796,2075,3859,2132,3926,2192,4166,2352,4246,2382,4306,2404,4366,2419,4426,2432,4488,2445,4546,2452,4606,2452,4686,2462,4753,2465e" filled="false" stroked="true" strokeweight="1pt" strokecolor="#ed1b2d">
              <v:path arrowok="t"/>
              <v:stroke dashstyle="solid"/>
            </v:shape>
            <v:shape style="position:absolute;left:965;top:2432;width:3780;height:40" coordorigin="966,2432" coordsize="3780,40" path="m966,2472l966,2432m1606,2472l1606,2432m2226,2472l2226,2432m2866,2472l2866,2432m3486,2472l3486,2432m4106,2472l4106,2432m4746,2472l4746,2432m966,2472l4746,2472e" filled="false" stroked="true" strokeweight=".5pt" strokecolor="#000000">
              <v:path arrowok="t"/>
              <v:stroke dashstyle="solid"/>
            </v:shape>
            <v:line style="position:absolute" from="3676,1015" to="3122,1422" stroked="true" strokeweight=".5pt" strokecolor="#000000">
              <v:stroke dashstyle="solid"/>
            </v:line>
            <v:shape style="position:absolute;left:3067;top:1391;width:84;height:71" coordorigin="3068,1392" coordsize="84,71" path="m3121,1392l3081,1448,3068,1462,3076,1458,3151,1432,3121,1392xe" filled="true" fillcolor="#000000" stroked="false">
              <v:path arrowok="t"/>
              <v:fill type="solid"/>
            </v:shape>
            <v:shape style="position:absolute;left:3315;top:855;width:797;height:133" type="#_x0000_t202" filled="false" stroked="false">
              <v:textbox inset="0,0,0,0">
                <w:txbxContent>
                  <w:p>
                    <w:pPr>
                      <w:spacing w:line="133" w:lineRule="exact" w:before="0"/>
                      <w:ind w:left="0" w:right="0" w:firstLine="0"/>
                      <w:jc w:val="left"/>
                      <w:rPr>
                        <w:sz w:val="12"/>
                      </w:rPr>
                    </w:pPr>
                    <w:r>
                      <w:rPr>
                        <w:sz w:val="12"/>
                      </w:rPr>
                      <w:t>90% probability</w:t>
                    </w:r>
                  </w:p>
                </w:txbxContent>
              </v:textbox>
              <w10:wrap type="none"/>
            </v:shape>
            <w10:wrap type="none"/>
          </v:group>
        </w:pict>
      </w:r>
      <w:r>
        <w:rPr/>
        <w:pict>
          <v:line style="position:absolute;mso-position-horizontal-relative:page;mso-position-vertical-relative:paragraph;z-index:-20645376" from="283.779999pt,4.101563pt" to="288.779999pt,4.101563pt" stroked="true" strokeweight=".5pt" strokecolor="#000000">
            <v:stroke dashstyle="solid"/>
            <w10:wrap type="none"/>
          </v:line>
        </w:pict>
      </w:r>
      <w:r>
        <w:rPr/>
        <w:pict>
          <v:line style="position:absolute;mso-position-horizontal-relative:page;mso-position-vertical-relative:paragraph;z-index:-20644352" from="480.779999pt,4.101563pt" to="485.779999pt,4.101563pt" stroked="true" strokeweight=".5pt" strokecolor="#000000">
            <v:stroke dashstyle="solid"/>
            <w10:wrap type="none"/>
          </v:line>
        </w:pict>
      </w:r>
      <w:r>
        <w:rPr>
          <w:sz w:val="12"/>
        </w:rPr>
        <w:t>4</w:t>
        <w:tab/>
        <w:t>4</w:t>
      </w:r>
    </w:p>
    <w:p>
      <w:pPr>
        <w:pStyle w:val="BodyText"/>
        <w:rPr>
          <w:sz w:val="20"/>
        </w:rPr>
      </w:pPr>
    </w:p>
    <w:p>
      <w:pPr>
        <w:pStyle w:val="BodyText"/>
        <w:spacing w:before="2"/>
        <w:rPr>
          <w:sz w:val="20"/>
        </w:rPr>
      </w:pPr>
    </w:p>
    <w:p>
      <w:pPr>
        <w:tabs>
          <w:tab w:pos="9115" w:val="left" w:leader="none"/>
        </w:tabs>
        <w:spacing w:before="0"/>
        <w:ind w:left="4332" w:right="0" w:firstLine="0"/>
        <w:jc w:val="left"/>
        <w:rPr>
          <w:sz w:val="12"/>
        </w:rPr>
      </w:pPr>
      <w:r>
        <w:rPr/>
        <w:pict>
          <v:group style="position:absolute;margin-left:283.779999pt;margin-top:-4.398438pt;width:202pt;height:98.75pt;mso-position-horizontal-relative:page;mso-position-vertical-relative:paragraph;z-index:-20646400" coordorigin="5676,-88" coordsize="4040,1975">
            <v:shape style="position:absolute;left:6425;top:-83;width:2580;height:1960" coordorigin="6426,-83" coordsize="2580,1960" path="m7366,-83l7306,-63,7246,-23,7186,37,7126,117,7046,197,6866,557,6806,697,6746,817,6686,957,6606,1077,6546,1177,6486,1297,6426,1377,6426,1877,9006,1877,9006,1337,8946,1277,8866,1217,8686,1037,8626,957,8566,897,8506,817,8366,677,8306,597,8246,537,8186,457,8126,397,8066,317,8006,257,7926,197,7866,157,7806,97,7626,-23,7566,-43,7486,-63,7426,-63,7366,-83xe" filled="true" fillcolor="#eeefef" stroked="false">
              <v:path arrowok="t"/>
              <v:fill type="solid"/>
            </v:shape>
            <v:shape style="position:absolute;left:6425;top:-83;width:2580;height:1960" coordorigin="6426,-83" coordsize="2580,1960" path="m6486,1297l6546,1177,6606,1077,6686,957,6746,817,6806,697,6866,557,7046,197,7126,117,7186,37,7246,-23,7306,-63,7366,-83,7426,-63,7486,-63,7566,-43,7626,-23,7806,97,7866,157,7926,197,8006,257,8066,317,8126,397,8186,457,8246,537,8306,597,8366,677,8506,817,8566,897,8626,957,8686,1037,8866,1217,8946,1277,9006,1337,9006,1877,6426,1877,6426,1377,6486,1297xe" filled="false" stroked="true" strokeweight=".5pt" strokecolor="#eeefef">
              <v:path arrowok="t"/>
              <v:stroke dashstyle="solid"/>
            </v:shape>
            <v:shape style="position:absolute;left:5675;top:82;width:4040;height:1800" coordorigin="5676,82" coordsize="4040,1800" path="m6436,1882l6436,1842m7056,1882l7056,1842m7696,1882l7696,1842m8316,1882l8316,1842m8956,1882l8956,1842m5676,1882l5776,1882m5816,1882l5816,1842m9616,1882l9716,1882m9576,1882l9576,1842m5816,1882l9576,1882m5676,82l5776,82m5676,682l5776,682m5676,1282l5776,1282m9616,82l9716,82m9616,682l9716,682m9616,1282l9716,1282e" filled="false" stroked="true" strokeweight=".5pt" strokecolor="#000000">
              <v:path arrowok="t"/>
              <v:stroke dashstyle="solid"/>
            </v:shape>
            <v:shape style="position:absolute;left:5815;top:-73;width:3760;height:1915" coordorigin="5816,-73" coordsize="3760,1915" path="m5816,1842l5876,1842,5996,1802,6056,1772,6123,1730,6196,1682,6316,1562,6371,1497,6436,1387,6481,1307,6553,1190,6616,1072,6681,962,6741,842,6801,707,6863,570,6931,442,6988,335,7048,210,7116,122,7181,47,7241,-13,7301,-53,7376,-73,7443,-65,7516,-53,7576,-33,7642,-1,7709,39,7766,75,7826,119,7890,171,7952,219,8022,290,8078,345,8147,427,8196,482,8256,562,8316,627,8382,699,8461,787,8517,855,8576,922,8696,1062,8816,1182,8886,1242,8963,1305,9016,1362,9078,1405,9143,1455,9198,1500,9256,1542,9316,1582,9396,1622,9451,1652,9516,1682,9576,1702e" filled="false" stroked="true" strokeweight="1pt" strokecolor="#ed1b2d">
              <v:path arrowok="t"/>
              <v:stroke dashstyle="solid"/>
            </v:shape>
            <v:shape style="position:absolute;left:8164;top:948;width:72;height:83" coordorigin="8165,948" coordsize="72,83" path="m8196,948l8173,1014,8165,1031,8171,1025,8236,979,8196,948xe" filled="true" fillcolor="#000000" stroked="false">
              <v:path arrowok="t"/>
              <v:fill type="solid"/>
            </v:shape>
            <v:line style="position:absolute" from="8651,387" to="8206,977" stroked="true" strokeweight=".5pt" strokecolor="#000000">
              <v:stroke dashstyle="solid"/>
            </v:line>
            <v:shape style="position:absolute;left:8245;top:245;width:797;height:133" type="#_x0000_t202" filled="false" stroked="false">
              <v:textbox inset="0,0,0,0">
                <w:txbxContent>
                  <w:p>
                    <w:pPr>
                      <w:spacing w:line="133" w:lineRule="exact" w:before="0"/>
                      <w:ind w:left="0" w:right="0" w:firstLine="0"/>
                      <w:jc w:val="left"/>
                      <w:rPr>
                        <w:sz w:val="12"/>
                      </w:rPr>
                    </w:pPr>
                    <w:r>
                      <w:rPr>
                        <w:sz w:val="12"/>
                      </w:rPr>
                      <w:t>90% probability</w:t>
                    </w:r>
                  </w:p>
                </w:txbxContent>
              </v:textbox>
              <w10:wrap type="none"/>
            </v:shape>
            <w10:wrap type="none"/>
          </v:group>
        </w:pict>
      </w:r>
      <w:r>
        <w:rPr>
          <w:sz w:val="12"/>
        </w:rPr>
        <w:t>3</w:t>
        <w:tab/>
        <w:t>3</w:t>
      </w:r>
    </w:p>
    <w:p>
      <w:pPr>
        <w:pStyle w:val="BodyText"/>
        <w:rPr>
          <w:sz w:val="20"/>
        </w:rPr>
      </w:pPr>
    </w:p>
    <w:p>
      <w:pPr>
        <w:pStyle w:val="BodyText"/>
        <w:spacing w:before="2"/>
        <w:rPr>
          <w:sz w:val="20"/>
        </w:rPr>
      </w:pPr>
    </w:p>
    <w:p>
      <w:pPr>
        <w:tabs>
          <w:tab w:pos="9115" w:val="left" w:leader="none"/>
        </w:tabs>
        <w:spacing w:before="0"/>
        <w:ind w:left="4332" w:right="0" w:firstLine="0"/>
        <w:jc w:val="left"/>
        <w:rPr>
          <w:sz w:val="12"/>
        </w:rPr>
      </w:pPr>
      <w:r>
        <w:rPr>
          <w:sz w:val="12"/>
        </w:rPr>
        <w:t>2</w:t>
        <w:tab/>
        <w:t>2</w:t>
      </w:r>
    </w:p>
    <w:p>
      <w:pPr>
        <w:pStyle w:val="BodyText"/>
        <w:rPr>
          <w:sz w:val="20"/>
        </w:rPr>
      </w:pPr>
    </w:p>
    <w:p>
      <w:pPr>
        <w:pStyle w:val="BodyText"/>
        <w:spacing w:before="2"/>
        <w:rPr>
          <w:sz w:val="20"/>
        </w:rPr>
      </w:pPr>
    </w:p>
    <w:p>
      <w:pPr>
        <w:tabs>
          <w:tab w:pos="9115" w:val="left" w:leader="none"/>
        </w:tabs>
        <w:spacing w:before="0"/>
        <w:ind w:left="4332" w:right="0" w:firstLine="0"/>
        <w:jc w:val="left"/>
        <w:rPr>
          <w:sz w:val="12"/>
        </w:rPr>
      </w:pPr>
      <w:r>
        <w:rPr>
          <w:sz w:val="12"/>
        </w:rPr>
        <w:t>1</w:t>
        <w:tab/>
        <w:t>1</w:t>
      </w:r>
    </w:p>
    <w:p>
      <w:pPr>
        <w:pStyle w:val="BodyText"/>
        <w:rPr>
          <w:sz w:val="20"/>
        </w:rPr>
      </w:pPr>
    </w:p>
    <w:p>
      <w:pPr>
        <w:spacing w:after="0"/>
        <w:rPr>
          <w:sz w:val="20"/>
        </w:rPr>
        <w:sectPr>
          <w:type w:val="continuous"/>
          <w:pgSz w:w="11880" w:h="16840"/>
          <w:pgMar w:top="1040" w:bottom="280" w:left="640" w:right="620"/>
        </w:sectPr>
      </w:pPr>
    </w:p>
    <w:p>
      <w:pPr>
        <w:pStyle w:val="BodyText"/>
        <w:rPr>
          <w:sz w:val="12"/>
        </w:rPr>
      </w:pPr>
    </w:p>
    <w:p>
      <w:pPr>
        <w:spacing w:line="136" w:lineRule="exact" w:before="91"/>
        <w:ind w:left="4292" w:right="0" w:firstLine="0"/>
        <w:jc w:val="center"/>
        <w:rPr>
          <w:sz w:val="12"/>
        </w:rPr>
      </w:pPr>
      <w:r>
        <w:rPr>
          <w:sz w:val="12"/>
        </w:rPr>
        <w:t>0</w:t>
      </w:r>
    </w:p>
    <w:p>
      <w:pPr>
        <w:tabs>
          <w:tab w:pos="639" w:val="left" w:leader="none"/>
          <w:tab w:pos="1259" w:val="left" w:leader="none"/>
          <w:tab w:pos="1879" w:val="left" w:leader="none"/>
          <w:tab w:pos="2499" w:val="left" w:leader="none"/>
          <w:tab w:pos="3139" w:val="left" w:leader="none"/>
          <w:tab w:pos="3759" w:val="left" w:leader="none"/>
        </w:tabs>
        <w:spacing w:line="136" w:lineRule="exact" w:before="0"/>
        <w:ind w:left="0" w:right="18" w:firstLine="0"/>
        <w:jc w:val="center"/>
        <w:rPr>
          <w:sz w:val="12"/>
        </w:rPr>
      </w:pPr>
      <w:r>
        <w:rPr>
          <w:sz w:val="12"/>
        </w:rPr>
        <w:t>0</w:t>
        <w:tab/>
        <w:t>1</w:t>
        <w:tab/>
        <w:t>2</w:t>
        <w:tab/>
        <w:t>3</w:t>
        <w:tab/>
        <w:t>4</w:t>
        <w:tab/>
        <w:t>5</w:t>
        <w:tab/>
        <w:t>6</w:t>
      </w:r>
    </w:p>
    <w:p>
      <w:pPr>
        <w:spacing w:before="42"/>
        <w:ind w:left="30" w:right="18" w:firstLine="0"/>
        <w:jc w:val="center"/>
        <w:rPr>
          <w:sz w:val="12"/>
        </w:rPr>
      </w:pPr>
      <w:r>
        <w:rPr>
          <w:sz w:val="12"/>
        </w:rPr>
        <w:t>Inflation</w:t>
      </w:r>
    </w:p>
    <w:p>
      <w:pPr>
        <w:pStyle w:val="BodyText"/>
        <w:rPr>
          <w:sz w:val="12"/>
        </w:rPr>
      </w:pPr>
      <w:r>
        <w:rPr/>
        <w:br w:type="column"/>
      </w:r>
      <w:r>
        <w:rPr>
          <w:sz w:val="12"/>
        </w:rPr>
      </w:r>
    </w:p>
    <w:p>
      <w:pPr>
        <w:spacing w:before="94"/>
        <w:ind w:left="2841" w:right="0" w:firstLine="0"/>
        <w:jc w:val="center"/>
        <w:rPr>
          <w:sz w:val="12"/>
        </w:rPr>
      </w:pPr>
      <w:r>
        <w:rPr>
          <w:sz w:val="12"/>
        </w:rPr>
        <w:t>0</w:t>
      </w:r>
    </w:p>
    <w:p>
      <w:pPr>
        <w:tabs>
          <w:tab w:pos="639" w:val="left" w:leader="none"/>
          <w:tab w:pos="1259" w:val="left" w:leader="none"/>
          <w:tab w:pos="1879" w:val="left" w:leader="none"/>
          <w:tab w:pos="2519" w:val="left" w:leader="none"/>
          <w:tab w:pos="3139" w:val="left" w:leader="none"/>
          <w:tab w:pos="3779" w:val="left" w:leader="none"/>
        </w:tabs>
        <w:spacing w:before="2"/>
        <w:ind w:left="0" w:right="1356" w:firstLine="0"/>
        <w:jc w:val="center"/>
        <w:rPr>
          <w:sz w:val="12"/>
        </w:rPr>
      </w:pPr>
      <w:r>
        <w:rPr>
          <w:sz w:val="12"/>
        </w:rPr>
        <w:t>0</w:t>
        <w:tab/>
        <w:t>1</w:t>
        <w:tab/>
        <w:t>2</w:t>
        <w:tab/>
        <w:t>3</w:t>
        <w:tab/>
        <w:t>4</w:t>
        <w:tab/>
        <w:t>5</w:t>
        <w:tab/>
        <w:t>6</w:t>
      </w:r>
    </w:p>
    <w:p>
      <w:pPr>
        <w:spacing w:before="2"/>
        <w:ind w:left="0" w:right="1383" w:firstLine="0"/>
        <w:jc w:val="center"/>
        <w:rPr>
          <w:sz w:val="12"/>
        </w:rPr>
      </w:pPr>
      <w:r>
        <w:rPr>
          <w:sz w:val="12"/>
        </w:rPr>
        <w:t>Inflation</w:t>
      </w:r>
    </w:p>
    <w:p>
      <w:pPr>
        <w:spacing w:after="0"/>
        <w:jc w:val="center"/>
        <w:rPr>
          <w:sz w:val="12"/>
        </w:rPr>
        <w:sectPr>
          <w:type w:val="continuous"/>
          <w:pgSz w:w="11880" w:h="16840"/>
          <w:pgMar w:top="1040" w:bottom="280" w:left="640" w:right="620"/>
          <w:cols w:num="2" w:equalWidth="0">
            <w:col w:w="4433" w:space="397"/>
            <w:col w:w="5790"/>
          </w:cols>
        </w:sectPr>
      </w:pPr>
    </w:p>
    <w:p>
      <w:pPr>
        <w:pStyle w:val="BodyText"/>
        <w:rPr>
          <w:sz w:val="15"/>
        </w:rPr>
      </w:pPr>
    </w:p>
    <w:p>
      <w:pPr>
        <w:tabs>
          <w:tab w:pos="1125" w:val="left" w:leader="none"/>
        </w:tabs>
        <w:spacing w:before="94"/>
        <w:ind w:left="165" w:right="0" w:firstLine="0"/>
        <w:jc w:val="left"/>
        <w:rPr>
          <w:sz w:val="16"/>
        </w:rPr>
      </w:pPr>
      <w:r>
        <w:rPr>
          <w:color w:val="231F20"/>
          <w:sz w:val="16"/>
        </w:rPr>
        <w:t>Source:</w:t>
        <w:tab/>
        <w:t>Bank of England.</w:t>
      </w:r>
    </w:p>
    <w:p>
      <w:pPr>
        <w:spacing w:line="208" w:lineRule="auto" w:before="155"/>
        <w:ind w:left="405" w:right="936" w:hanging="240"/>
        <w:jc w:val="left"/>
        <w:rPr>
          <w:sz w:val="16"/>
        </w:rPr>
      </w:pPr>
      <w:r>
        <w:rPr>
          <w:color w:val="231F20"/>
          <w:sz w:val="16"/>
        </w:rPr>
        <w:t>(a) Probability of inflation being within ±0.5 percentage point of any given inflation rate, specified to one decimal place. For example, the probability of inflation being 2.5% (between 2.45% and 2.55%) in the current projection is around 4%.</w:t>
      </w:r>
    </w:p>
    <w:p>
      <w:pPr>
        <w:spacing w:after="0" w:line="208" w:lineRule="auto"/>
        <w:jc w:val="left"/>
        <w:rPr>
          <w:sz w:val="16"/>
        </w:rPr>
        <w:sectPr>
          <w:type w:val="continuous"/>
          <w:pgSz w:w="11880" w:h="16840"/>
          <w:pgMar w:top="1040" w:bottom="280" w:left="640" w:right="620"/>
        </w:sectPr>
      </w:pPr>
    </w:p>
    <w:p>
      <w:pPr>
        <w:pStyle w:val="BodyText"/>
        <w:rPr>
          <w:sz w:val="20"/>
        </w:rPr>
      </w:pPr>
    </w:p>
    <w:p>
      <w:pPr>
        <w:pStyle w:val="Heading5"/>
        <w:spacing w:line="242" w:lineRule="auto" w:before="227"/>
        <w:ind w:left="4979" w:right="122"/>
      </w:pPr>
      <w:r>
        <w:rPr>
          <w:color w:val="231F20"/>
        </w:rPr>
        <w:t>The central projection for inflation at the end of the forecasting horizon is similar to that in the August </w:t>
      </w:r>
      <w:r>
        <w:rPr>
          <w:i/>
          <w:color w:val="231F20"/>
        </w:rPr>
        <w:t>Report</w:t>
      </w:r>
      <w:r>
        <w:rPr>
          <w:color w:val="231F20"/>
        </w:rPr>
        <w:t>, at around 2</w:t>
      </w:r>
      <w:r>
        <w:rPr>
          <w:color w:val="231F20"/>
          <w:position w:val="8"/>
          <w:sz w:val="12"/>
        </w:rPr>
        <w:t>1</w:t>
      </w:r>
      <w:r>
        <w:rPr>
          <w:color w:val="231F20"/>
        </w:rPr>
        <w:t>/</w:t>
      </w:r>
      <w:r>
        <w:rPr>
          <w:color w:val="231F20"/>
          <w:sz w:val="12"/>
        </w:rPr>
        <w:t>2</w:t>
      </w:r>
      <w:r>
        <w:rPr>
          <w:color w:val="231F20"/>
        </w:rPr>
        <w:t>%. This reflects several broadly offsetting factors. The Committee’s decision to raise official interest rates by 0.25 percentage points in November lowered the central projection, as did the change in the exchange rate assumption since August. The recent Bank/M</w:t>
      </w:r>
      <w:r>
        <w:rPr>
          <w:color w:val="231F20"/>
          <w:sz w:val="20"/>
        </w:rPr>
        <w:t>ORI </w:t>
      </w:r>
      <w:r>
        <w:rPr>
          <w:color w:val="231F20"/>
        </w:rPr>
        <w:t>survey—which indicated that much of the boost to consumption growth from windfalls will have occurred by the end of this year—also suggests slightly lower inflation two years ahead than in August. These factors were offset by higher-than-expected initial levels of both activity and prices which, together with rapid money growth and a reassessment of the likely profile of net exports, have tended to raise the central projection.</w:t>
      </w:r>
    </w:p>
    <w:p>
      <w:pPr>
        <w:pStyle w:val="BodyText"/>
        <w:spacing w:before="7"/>
        <w:rPr>
          <w:sz w:val="29"/>
        </w:rPr>
      </w:pPr>
    </w:p>
    <w:p>
      <w:pPr>
        <w:spacing w:line="242" w:lineRule="auto" w:before="0"/>
        <w:ind w:left="4979" w:right="167" w:firstLine="0"/>
        <w:jc w:val="left"/>
        <w:rPr>
          <w:sz w:val="24"/>
        </w:rPr>
      </w:pPr>
      <w:r>
        <w:rPr>
          <w:color w:val="231F20"/>
          <w:sz w:val="24"/>
        </w:rPr>
        <w:t>As always, there is considerable uncertainty about the paths of both output and inflation, with a wide range of possible outcomes on both the upside and downside of the central projection. The risks around the central projection are more on the upside, but less so than in August. During the next year, there is a risk that retail profit margins could be stronger than assumed in the central case—a significantly bigger risk than in the August projection. Throughout the forecast period, an important upside risk stems from money, as in August. Overall, the outlook two years ahead is judged to be somewhat less uncertain than at the time of the August </w:t>
      </w:r>
      <w:r>
        <w:rPr>
          <w:i/>
          <w:color w:val="231F20"/>
          <w:sz w:val="24"/>
        </w:rPr>
        <w:t>Report</w:t>
      </w:r>
      <w:r>
        <w:rPr>
          <w:color w:val="231F20"/>
          <w:sz w:val="24"/>
        </w:rPr>
        <w:t>. In particular, more information is now available from the Bank/M</w:t>
      </w:r>
      <w:r>
        <w:rPr>
          <w:color w:val="231F20"/>
          <w:sz w:val="20"/>
        </w:rPr>
        <w:t>ORI </w:t>
      </w:r>
      <w:r>
        <w:rPr>
          <w:color w:val="231F20"/>
          <w:sz w:val="24"/>
        </w:rPr>
        <w:t>survey on how windfalls have been spent. Trade data continue to point to stronger net exports than might have been expected, and with the passage of time the downside risks are thought to have diminished.</w:t>
      </w:r>
    </w:p>
    <w:p>
      <w:pPr>
        <w:pStyle w:val="BodyText"/>
        <w:spacing w:before="9"/>
        <w:rPr>
          <w:sz w:val="29"/>
        </w:rPr>
      </w:pPr>
    </w:p>
    <w:p>
      <w:pPr>
        <w:spacing w:line="242" w:lineRule="auto" w:before="0"/>
        <w:ind w:left="4979" w:right="157" w:firstLine="0"/>
        <w:jc w:val="left"/>
        <w:rPr>
          <w:sz w:val="24"/>
        </w:rPr>
      </w:pPr>
      <w:r>
        <w:rPr>
          <w:color w:val="231F20"/>
          <w:sz w:val="24"/>
        </w:rPr>
        <w:t>In this </w:t>
      </w:r>
      <w:r>
        <w:rPr>
          <w:i/>
          <w:color w:val="231F20"/>
          <w:sz w:val="24"/>
        </w:rPr>
        <w:t>Report</w:t>
      </w:r>
      <w:r>
        <w:rPr>
          <w:color w:val="231F20"/>
          <w:sz w:val="24"/>
        </w:rPr>
        <w:t>, the inflation projection charts are complemented by two new charts (see Charts 7.4 and 7.5). These charts come from the same distributions as the inflation fan charts, and highlight the overall balance of risks at the end of the forecast period for both the November and August projections. They show that the November distribution has become narrower than in August, while there remains a substantial degree of skewness.</w:t>
      </w:r>
    </w:p>
    <w:p>
      <w:pPr>
        <w:pStyle w:val="BodyText"/>
        <w:spacing w:before="10"/>
        <w:rPr>
          <w:sz w:val="28"/>
        </w:rPr>
      </w:pPr>
    </w:p>
    <w:p>
      <w:pPr>
        <w:spacing w:line="242" w:lineRule="auto" w:before="0"/>
        <w:ind w:left="4979" w:right="157" w:firstLine="0"/>
        <w:jc w:val="left"/>
        <w:rPr>
          <w:sz w:val="24"/>
        </w:rPr>
      </w:pPr>
      <w:r>
        <w:rPr>
          <w:color w:val="231F20"/>
          <w:sz w:val="24"/>
        </w:rPr>
        <w:t>The inflation projections discussed above assume unchanged UK interest rates. An alternative projection could be derived by using the assumption that interest rates evolve according to market expectations. On this occasion, little extra is to be learned from such a</w:t>
      </w:r>
    </w:p>
    <w:p>
      <w:pPr>
        <w:spacing w:after="0" w:line="242" w:lineRule="auto"/>
        <w:jc w:val="left"/>
        <w:rPr>
          <w:sz w:val="24"/>
        </w:rPr>
        <w:sectPr>
          <w:pgSz w:w="11880" w:h="16840"/>
          <w:pgMar w:header="586" w:footer="597" w:top="780" w:bottom="780" w:left="640" w:right="620"/>
        </w:sectPr>
      </w:pPr>
    </w:p>
    <w:p>
      <w:pPr>
        <w:pStyle w:val="BodyText"/>
        <w:rPr>
          <w:sz w:val="20"/>
        </w:rPr>
      </w:pPr>
    </w:p>
    <w:p>
      <w:pPr>
        <w:spacing w:after="0"/>
        <w:rPr>
          <w:sz w:val="20"/>
        </w:rPr>
        <w:sectPr>
          <w:pgSz w:w="11880" w:h="16840"/>
          <w:pgMar w:header="586" w:footer="617" w:top="780" w:bottom="800" w:left="640" w:right="620"/>
        </w:sectPr>
      </w:pPr>
    </w:p>
    <w:p>
      <w:pPr>
        <w:pStyle w:val="BodyText"/>
        <w:spacing w:before="8"/>
        <w:rPr>
          <w:sz w:val="19"/>
        </w:rPr>
      </w:pPr>
    </w:p>
    <w:p>
      <w:pPr>
        <w:pStyle w:val="Heading9"/>
        <w:spacing w:before="0"/>
      </w:pPr>
      <w:bookmarkStart w:name="Other forecasters" w:id="93"/>
      <w:bookmarkEnd w:id="93"/>
      <w:r>
        <w:rPr>
          <w:b w:val="0"/>
        </w:rPr>
      </w:r>
      <w:bookmarkStart w:name="_bookmark42" w:id="94"/>
      <w:bookmarkEnd w:id="94"/>
      <w:r>
        <w:rPr>
          <w:b w:val="0"/>
        </w:rPr>
      </w:r>
      <w:r>
        <w:rPr>
          <w:color w:val="0093C1"/>
        </w:rPr>
        <w:t>Chart 7.6</w:t>
      </w:r>
    </w:p>
    <w:p>
      <w:pPr>
        <w:spacing w:line="249" w:lineRule="auto" w:before="10"/>
        <w:ind w:left="180" w:right="21" w:firstLine="0"/>
        <w:jc w:val="left"/>
        <w:rPr>
          <w:b/>
          <w:sz w:val="20"/>
        </w:rPr>
      </w:pPr>
      <w:r>
        <w:rPr>
          <w:b/>
          <w:color w:val="0093C1"/>
          <w:sz w:val="20"/>
        </w:rPr>
        <w:t>Distribution of RPIX inflation forecasts for 1997 Q4</w:t>
      </w:r>
    </w:p>
    <w:p>
      <w:pPr>
        <w:spacing w:before="126"/>
        <w:ind w:left="0" w:right="151" w:firstLine="0"/>
        <w:jc w:val="right"/>
        <w:rPr>
          <w:sz w:val="12"/>
        </w:rPr>
      </w:pPr>
      <w:r>
        <w:rPr/>
        <w:pict>
          <v:group style="position:absolute;margin-left:45pt;margin-top:3.218883pt;width:167.5pt;height:160.2pt;mso-position-horizontal-relative:page;mso-position-vertical-relative:paragraph;z-index:-20634624" coordorigin="900,64" coordsize="3350,3204">
            <v:line style="position:absolute" from="1000,3228" to="900,3228" stroked="true" strokeweight=".5pt" strokecolor="#000000">
              <v:stroke dashstyle="solid"/>
            </v:line>
            <v:rect style="position:absolute;left:1960;top:3128;width:120;height:100" filled="true" fillcolor="#008256" stroked="false">
              <v:fill type="solid"/>
            </v:rect>
            <v:rect style="position:absolute;left:1960;top:3128;width:120;height:100" filled="false" stroked="true" strokeweight=".5pt" strokecolor="#000000">
              <v:stroke dashstyle="solid"/>
            </v:rect>
            <v:rect style="position:absolute;left:2100;top:2448;width:140;height:780" filled="true" fillcolor="#008256" stroked="false">
              <v:fill type="solid"/>
            </v:rect>
            <v:rect style="position:absolute;left:2100;top:2448;width:140;height:780" filled="false" stroked="true" strokeweight=".5pt" strokecolor="#000000">
              <v:stroke dashstyle="solid"/>
            </v:rect>
            <v:rect style="position:absolute;left:2260;top:468;width:140;height:2760" filled="true" fillcolor="#faab54" stroked="false">
              <v:fill type="solid"/>
            </v:rect>
            <v:rect style="position:absolute;left:2260;top:468;width:140;height:2760" filled="false" stroked="true" strokeweight=".5pt" strokecolor="#000000">
              <v:stroke dashstyle="solid"/>
            </v:rect>
            <v:rect style="position:absolute;left:2413;top:2528;width:140;height:700" filled="true" fillcolor="#0066a5" stroked="false">
              <v:fill type="solid"/>
            </v:rect>
            <v:rect style="position:absolute;left:2413;top:2528;width:140;height:700" filled="false" stroked="true" strokeweight=".5pt" strokecolor="#000000">
              <v:stroke dashstyle="solid"/>
            </v:rect>
            <v:rect style="position:absolute;left:2560;top:3128;width:120;height:100" filled="true" fillcolor="#0066a5" stroked="false">
              <v:fill type="solid"/>
            </v:rect>
            <v:rect style="position:absolute;left:2560;top:3128;width:120;height:100" filled="false" stroked="true" strokeweight=".5pt" strokecolor="#000000">
              <v:stroke dashstyle="solid"/>
            </v:rect>
            <v:rect style="position:absolute;left:2700;top:3128;width:140;height:100" filled="true" fillcolor="#0066a5" stroked="false">
              <v:fill type="solid"/>
            </v:rect>
            <v:rect style="position:absolute;left:2700;top:3128;width:140;height:100" filled="false" stroked="true" strokeweight=".5pt" strokecolor="#000000">
              <v:stroke dashstyle="solid"/>
            </v:rect>
            <v:shape style="position:absolute;left:1060;top:3228;width:3160;height:2" coordorigin="1060,3228" coordsize="3160,0" path="m4220,3228l4120,3228m1060,3228l4060,3228m1060,3228l1060,3228e" filled="false" stroked="true" strokeweight=".5pt" strokecolor="#000000">
              <v:path arrowok="t"/>
              <v:stroke dashstyle="solid"/>
            </v:shape>
            <v:shape style="position:absolute;left:1160;top:3228;width:80;height:2" coordorigin="1160,3228" coordsize="80,0" path="m1160,3228l1240,3228,1160,3228e" filled="false" stroked="true" strokeweight=".5pt" strokecolor="#000000">
              <v:path arrowok="t"/>
              <v:stroke dashstyle="solid"/>
            </v:shape>
            <v:line style="position:absolute" from="1200,3228" to="1200,3228" stroked="true" strokeweight=".5pt" strokecolor="#000000">
              <v:stroke dashstyle="solid"/>
            </v:line>
            <v:shape style="position:absolute;left:1320;top:3228;width:80;height:2" coordorigin="1320,3228" coordsize="80,0" path="m1320,3228l1400,3228,1320,3228e" filled="false" stroked="true" strokeweight=".5pt" strokecolor="#000000">
              <v:path arrowok="t"/>
              <v:stroke dashstyle="solid"/>
            </v:shape>
            <v:line style="position:absolute" from="1360,3228" to="1360,3228" stroked="true" strokeweight=".5pt" strokecolor="#000000">
              <v:stroke dashstyle="solid"/>
            </v:line>
            <v:shape style="position:absolute;left:1460;top:3228;width:80;height:2" coordorigin="1460,3228" coordsize="80,0" path="m1460,3228l1540,3228,1460,3228e" filled="false" stroked="true" strokeweight=".5pt" strokecolor="#000000">
              <v:path arrowok="t"/>
              <v:stroke dashstyle="solid"/>
            </v:shape>
            <v:line style="position:absolute" from="1500,3228" to="1500,3228" stroked="true" strokeweight=".5pt" strokecolor="#000000">
              <v:stroke dashstyle="solid"/>
            </v:line>
            <v:shape style="position:absolute;left:1760;top:3228;width:80;height:2" coordorigin="1760,3228" coordsize="80,0" path="m1760,3228l1840,3228,1760,3228e" filled="false" stroked="true" strokeweight=".5pt" strokecolor="#000000">
              <v:path arrowok="t"/>
              <v:stroke dashstyle="solid"/>
            </v:shape>
            <v:line style="position:absolute" from="1800,3228" to="1800,3228" stroked="true" strokeweight=".5pt" strokecolor="#000000">
              <v:stroke dashstyle="solid"/>
            </v:line>
            <v:shape style="position:absolute;left:2220;top:3228;width:80;height:2" coordorigin="2220,3228" coordsize="80,0" path="m2220,3228l2300,3228,2220,3228e" filled="false" stroked="true" strokeweight=".5pt" strokecolor="#000000">
              <v:path arrowok="t"/>
              <v:stroke dashstyle="solid"/>
            </v:shape>
            <v:line style="position:absolute" from="2260,3228" to="2260,3228" stroked="true" strokeweight=".5pt" strokecolor="#000000">
              <v:stroke dashstyle="solid"/>
            </v:line>
            <v:shape style="position:absolute;left:3420;top:3228;width:80;height:2" coordorigin="3420,3228" coordsize="80,0" path="m3420,3228l3500,3228,3420,3228e" filled="false" stroked="true" strokeweight=".5pt" strokecolor="#000000">
              <v:path arrowok="t"/>
              <v:stroke dashstyle="solid"/>
            </v:shape>
            <v:line style="position:absolute" from="3460,3228" to="3460,3228" stroked="true" strokeweight=".5pt" strokecolor="#000000">
              <v:stroke dashstyle="solid"/>
            </v:line>
            <v:shape style="position:absolute;left:3580;top:3228;width:60;height:2" coordorigin="3580,3228" coordsize="60,0" path="m3580,3228l3640,3228,3580,3228e" filled="false" stroked="true" strokeweight=".5pt" strokecolor="#000000">
              <v:path arrowok="t"/>
              <v:stroke dashstyle="solid"/>
            </v:shape>
            <v:line style="position:absolute" from="3600,3228" to="3600,3228" stroked="true" strokeweight=".5pt" strokecolor="#000000">
              <v:stroke dashstyle="solid"/>
            </v:line>
            <v:shape style="position:absolute;left:3720;top:3228;width:80;height:2" coordorigin="3720,3228" coordsize="80,0" path="m3720,3228l3800,3228,3720,3228e" filled="false" stroked="true" strokeweight=".5pt" strokecolor="#000000">
              <v:path arrowok="t"/>
              <v:stroke dashstyle="solid"/>
            </v:shape>
            <v:line style="position:absolute" from="3760,3228" to="3760,3228" stroked="true" strokeweight=".5pt" strokecolor="#000000">
              <v:stroke dashstyle="solid"/>
            </v:line>
            <v:shape style="position:absolute;left:3880;top:3228;width:60;height:2" coordorigin="3880,3228" coordsize="60,0" path="m3880,3228l3940,3228,3880,3228e" filled="false" stroked="true" strokeweight=".5pt" strokecolor="#000000">
              <v:path arrowok="t"/>
              <v:stroke dashstyle="solid"/>
            </v:shape>
            <v:shape style="position:absolute;left:1060;top:3228;width:3000;height:40" coordorigin="1060,3228" coordsize="3000,40" path="m3920,3228l3920,3228m1060,3228l1060,3268m1200,3228l1200,3268m1360,3228l1360,3268m1500,3228l1500,3268m1660,3228l1660,3268m1800,3228l1800,3268m1960,3228l1960,3268m2100,3228l2100,3268m2260,3228l2260,3268m2400,3228l2400,3268m2560,3228l2560,3268m2700,3228l2700,3268m2860,3228l2860,3268m3000,3228l3000,3268m3160,3228l3160,3268m3300,3228l3300,3268m3460,3228l3460,3268m3600,3228l3600,3268m3760,3228l3760,3268m3920,3228l3920,3268m4060,3228l4060,3268e" filled="false" stroked="true" strokeweight=".5pt" strokecolor="#000000">
              <v:path arrowok="t"/>
              <v:stroke dashstyle="solid"/>
            </v:shape>
            <v:shape style="position:absolute;left:2360;top:216;width:40;height:3000" coordorigin="2360,217" coordsize="40,3000" path="m2360,217l2360,3217m2400,217l2400,3217e" filled="false" stroked="true" strokeweight="1pt" strokecolor="#0066a5">
              <v:path arrowok="t"/>
              <v:stroke dashstyle="dash"/>
            </v:shape>
            <v:rect style="position:absolute;left:2265;top:473;width:30;height:2750" filled="true" fillcolor="#008256" stroked="false">
              <v:fill type="solid"/>
            </v:rect>
            <v:line style="position:absolute" from="2300,217" to="2300,3217" stroked="true" strokeweight="1pt" strokecolor="#0066a5">
              <v:stroke dashstyle="dash"/>
            </v:line>
            <v:shape style="position:absolute;left:1870;top:71;width:974;height:373" type="#_x0000_t202" filled="false" stroked="false">
              <v:textbox inset="0,0,0,0">
                <w:txbxContent>
                  <w:p>
                    <w:pPr>
                      <w:spacing w:line="124" w:lineRule="exact" w:before="0"/>
                      <w:ind w:left="279" w:right="0" w:firstLine="0"/>
                      <w:jc w:val="left"/>
                      <w:rPr>
                        <w:sz w:val="12"/>
                      </w:rPr>
                    </w:pPr>
                    <w:r>
                      <w:rPr>
                        <w:sz w:val="12"/>
                      </w:rPr>
                      <w:t>Median</w:t>
                    </w:r>
                  </w:p>
                  <w:p>
                    <w:pPr>
                      <w:tabs>
                        <w:tab w:pos="559" w:val="left" w:leader="none"/>
                      </w:tabs>
                      <w:spacing w:line="208" w:lineRule="auto" w:before="5"/>
                      <w:ind w:left="0" w:right="18" w:firstLine="0"/>
                      <w:jc w:val="left"/>
                      <w:rPr>
                        <w:sz w:val="12"/>
                      </w:rPr>
                    </w:pPr>
                    <w:r>
                      <w:rPr>
                        <w:sz w:val="12"/>
                      </w:rPr>
                      <w:t>Lower</w:t>
                      <w:tab/>
                      <w:t>Upper Quartile</w:t>
                    </w:r>
                    <w:r>
                      <w:rPr>
                        <w:spacing w:val="21"/>
                        <w:sz w:val="12"/>
                      </w:rPr>
                      <w:t> </w:t>
                    </w:r>
                    <w:r>
                      <w:rPr>
                        <w:spacing w:val="-3"/>
                        <w:sz w:val="12"/>
                      </w:rPr>
                      <w:t>Quartile</w:t>
                    </w:r>
                  </w:p>
                </w:txbxContent>
              </v:textbox>
              <w10:wrap type="none"/>
            </v:shape>
            <v:shape style="position:absolute;left:3250;top:64;width:1000;height:133" type="#_x0000_t202" filled="false" stroked="false">
              <v:textbox inset="0,0,0,0">
                <w:txbxContent>
                  <w:p>
                    <w:pPr>
                      <w:spacing w:line="133" w:lineRule="exact" w:before="0"/>
                      <w:ind w:left="0" w:right="0" w:firstLine="0"/>
                      <w:jc w:val="left"/>
                      <w:rPr>
                        <w:sz w:val="12"/>
                      </w:rPr>
                    </w:pPr>
                    <w:r>
                      <w:rPr>
                        <w:sz w:val="12"/>
                      </w:rPr>
                      <w:t>Number of foreca</w:t>
                    </w:r>
                    <w:r>
                      <w:rPr>
                        <w:sz w:val="12"/>
                        <w:u w:val="single"/>
                      </w:rPr>
                      <w:t>st</w:t>
                    </w:r>
                    <w:r>
                      <w:rPr>
                        <w:sz w:val="12"/>
                      </w:rPr>
                      <w:t>s</w:t>
                    </w:r>
                  </w:p>
                </w:txbxContent>
              </v:textbox>
              <w10:wrap type="none"/>
            </v:shape>
            <w10:wrap type="none"/>
          </v:group>
        </w:pict>
      </w:r>
      <w:r>
        <w:rPr/>
        <w:pict>
          <v:line style="position:absolute;mso-position-horizontal-relative:page;mso-position-vertical-relative:paragraph;z-index:16105472" from="50pt,10.401563pt" to="45pt,10.401563pt" stroked="true" strokeweight=".5pt" strokecolor="#000000">
            <v:stroke dashstyle="solid"/>
            <w10:wrap type="none"/>
          </v:line>
        </w:pict>
      </w:r>
      <w:r>
        <w:rPr>
          <w:sz w:val="12"/>
        </w:rPr>
        <w:t>35</w:t>
      </w:r>
    </w:p>
    <w:p>
      <w:pPr>
        <w:pStyle w:val="BodyText"/>
        <w:rPr>
          <w:sz w:val="12"/>
        </w:rPr>
      </w:pPr>
    </w:p>
    <w:p>
      <w:pPr>
        <w:pStyle w:val="BodyText"/>
        <w:spacing w:before="3"/>
        <w:rPr>
          <w:sz w:val="14"/>
        </w:rPr>
      </w:pPr>
    </w:p>
    <w:p>
      <w:pPr>
        <w:spacing w:before="0"/>
        <w:ind w:left="0" w:right="151" w:firstLine="0"/>
        <w:jc w:val="right"/>
        <w:rPr>
          <w:sz w:val="12"/>
        </w:rPr>
      </w:pPr>
      <w:r>
        <w:rPr/>
        <w:pict>
          <v:line style="position:absolute;mso-position-horizontal-relative:page;mso-position-vertical-relative:paragraph;z-index:16104960" from="50pt,4.101563pt" to="45pt,4.101563pt" stroked="true" strokeweight=".5pt" strokecolor="#000000">
            <v:stroke dashstyle="solid"/>
            <w10:wrap type="none"/>
          </v:line>
        </w:pict>
      </w:r>
      <w:r>
        <w:rPr/>
        <w:pict>
          <v:line style="position:absolute;mso-position-horizontal-relative:page;mso-position-vertical-relative:paragraph;z-index:16108544" from="211pt,4.101563pt" to="206pt,4.101563pt" stroked="true" strokeweight=".5pt" strokecolor="#000000">
            <v:stroke dashstyle="solid"/>
            <w10:wrap type="none"/>
          </v:line>
        </w:pict>
      </w:r>
      <w:r>
        <w:rPr>
          <w:sz w:val="12"/>
        </w:rPr>
        <w:t>30</w:t>
      </w:r>
    </w:p>
    <w:p>
      <w:pPr>
        <w:pStyle w:val="BodyText"/>
        <w:rPr>
          <w:sz w:val="12"/>
        </w:rPr>
      </w:pPr>
    </w:p>
    <w:p>
      <w:pPr>
        <w:pStyle w:val="BodyText"/>
        <w:spacing w:before="6"/>
        <w:rPr>
          <w:sz w:val="12"/>
        </w:rPr>
      </w:pPr>
    </w:p>
    <w:p>
      <w:pPr>
        <w:spacing w:before="1"/>
        <w:ind w:left="0" w:right="151" w:firstLine="0"/>
        <w:jc w:val="right"/>
        <w:rPr>
          <w:sz w:val="12"/>
        </w:rPr>
      </w:pPr>
      <w:r>
        <w:rPr/>
        <w:pict>
          <v:line style="position:absolute;mso-position-horizontal-relative:page;mso-position-vertical-relative:paragraph;z-index:16104448" from="50pt,4.151563pt" to="45pt,4.151563pt" stroked="true" strokeweight=".5pt" strokecolor="#000000">
            <v:stroke dashstyle="solid"/>
            <w10:wrap type="none"/>
          </v:line>
        </w:pict>
      </w:r>
      <w:r>
        <w:rPr/>
        <w:pict>
          <v:line style="position:absolute;mso-position-horizontal-relative:page;mso-position-vertical-relative:paragraph;z-index:16108032" from="211pt,4.151563pt" to="206pt,4.151563pt" stroked="true" strokeweight=".5pt" strokecolor="#000000">
            <v:stroke dashstyle="solid"/>
            <w10:wrap type="none"/>
          </v:line>
        </w:pict>
      </w:r>
      <w:r>
        <w:rPr>
          <w:sz w:val="12"/>
        </w:rPr>
        <w:t>25</w:t>
      </w:r>
    </w:p>
    <w:p>
      <w:pPr>
        <w:pStyle w:val="BodyText"/>
        <w:rPr>
          <w:sz w:val="12"/>
        </w:rPr>
      </w:pPr>
    </w:p>
    <w:p>
      <w:pPr>
        <w:pStyle w:val="BodyText"/>
        <w:spacing w:before="2"/>
        <w:rPr>
          <w:sz w:val="14"/>
        </w:rPr>
      </w:pPr>
    </w:p>
    <w:p>
      <w:pPr>
        <w:spacing w:before="1"/>
        <w:ind w:left="0" w:right="151" w:firstLine="0"/>
        <w:jc w:val="right"/>
        <w:rPr>
          <w:sz w:val="12"/>
        </w:rPr>
      </w:pPr>
      <w:r>
        <w:rPr/>
        <w:pict>
          <v:line style="position:absolute;mso-position-horizontal-relative:page;mso-position-vertical-relative:paragraph;z-index:16103936" from="50pt,4.151563pt" to="45pt,4.151563pt" stroked="true" strokeweight=".5pt" strokecolor="#000000">
            <v:stroke dashstyle="solid"/>
            <w10:wrap type="none"/>
          </v:line>
        </w:pict>
      </w:r>
      <w:r>
        <w:rPr/>
        <w:pict>
          <v:line style="position:absolute;mso-position-horizontal-relative:page;mso-position-vertical-relative:paragraph;z-index:16107520" from="211pt,4.151563pt" to="206pt,4.151563pt" stroked="true" strokeweight=".5pt" strokecolor="#000000">
            <v:stroke dashstyle="solid"/>
            <w10:wrap type="none"/>
          </v:line>
        </w:pict>
      </w:r>
      <w:r>
        <w:rPr>
          <w:sz w:val="12"/>
        </w:rPr>
        <w:t>20</w:t>
      </w:r>
    </w:p>
    <w:p>
      <w:pPr>
        <w:pStyle w:val="Heading5"/>
        <w:spacing w:line="242" w:lineRule="auto" w:before="207"/>
        <w:ind w:right="181"/>
      </w:pPr>
      <w:r>
        <w:rPr/>
        <w:br w:type="column"/>
      </w:r>
      <w:r>
        <w:rPr>
          <w:color w:val="231F20"/>
        </w:rPr>
        <w:t>projection, because interest rates during the next two years implied by futures markets on 5 November were b</w:t>
      </w:r>
      <w:hyperlink w:history="true" w:anchor="_bookmark13">
        <w:r>
          <w:rPr>
            <w:color w:val="231F20"/>
          </w:rPr>
          <w:t>roadly constant (see Chart 2.10</w:t>
        </w:r>
      </w:hyperlink>
      <w:r>
        <w:rPr>
          <w:color w:val="231F20"/>
        </w:rPr>
        <w:t> on page 13). So the probability distributions for inflation and GDP growth would be very similar to those shown in Chart 7.2 and Chart 7.1.</w:t>
      </w:r>
    </w:p>
    <w:p>
      <w:pPr>
        <w:pStyle w:val="BodyText"/>
        <w:rPr>
          <w:sz w:val="27"/>
        </w:rPr>
      </w:pPr>
    </w:p>
    <w:p>
      <w:pPr>
        <w:pStyle w:val="ListParagraph"/>
        <w:numPr>
          <w:ilvl w:val="1"/>
          <w:numId w:val="36"/>
        </w:numPr>
        <w:tabs>
          <w:tab w:pos="3601" w:val="left" w:leader="none"/>
          <w:tab w:pos="3603" w:val="left" w:leader="none"/>
        </w:tabs>
        <w:spacing w:line="240" w:lineRule="auto" w:before="0" w:after="0"/>
        <w:ind w:left="3602" w:right="0" w:hanging="3423"/>
        <w:jc w:val="left"/>
        <w:rPr>
          <w:b/>
          <w:sz w:val="28"/>
        </w:rPr>
      </w:pPr>
      <w:r>
        <w:rPr>
          <w:b/>
          <w:color w:val="009483"/>
          <w:sz w:val="28"/>
          <w:u w:val="thick" w:color="0093C1"/>
        </w:rPr>
        <w:t>Other</w:t>
      </w:r>
      <w:r>
        <w:rPr>
          <w:b/>
          <w:color w:val="009483"/>
          <w:spacing w:val="-5"/>
          <w:sz w:val="28"/>
          <w:u w:val="thick" w:color="0093C1"/>
        </w:rPr>
        <w:t> </w:t>
      </w:r>
      <w:r>
        <w:rPr>
          <w:b/>
          <w:color w:val="009483"/>
          <w:sz w:val="28"/>
          <w:u w:val="thick" w:color="0093C1"/>
        </w:rPr>
        <w:t>forecasters</w:t>
      </w:r>
    </w:p>
    <w:p>
      <w:pPr>
        <w:spacing w:after="0" w:line="240" w:lineRule="auto"/>
        <w:jc w:val="left"/>
        <w:rPr>
          <w:sz w:val="28"/>
        </w:rPr>
        <w:sectPr>
          <w:type w:val="continuous"/>
          <w:pgSz w:w="11880" w:h="16840"/>
          <w:pgMar w:top="1040" w:bottom="280" w:left="640" w:right="620"/>
          <w:cols w:num="2" w:equalWidth="0">
            <w:col w:w="3904" w:space="876"/>
            <w:col w:w="5840"/>
          </w:cols>
        </w:sectPr>
      </w:pPr>
    </w:p>
    <w:p>
      <w:pPr>
        <w:pStyle w:val="BodyText"/>
        <w:spacing w:before="1"/>
        <w:rPr>
          <w:b/>
          <w:sz w:val="15"/>
        </w:rPr>
      </w:pPr>
    </w:p>
    <w:p>
      <w:pPr>
        <w:spacing w:after="0"/>
        <w:rPr>
          <w:sz w:val="15"/>
        </w:rPr>
        <w:sectPr>
          <w:type w:val="continuous"/>
          <w:pgSz w:w="11880" w:h="16840"/>
          <w:pgMar w:top="1040" w:bottom="280" w:left="640" w:right="620"/>
        </w:sectPr>
      </w:pPr>
    </w:p>
    <w:p>
      <w:pPr>
        <w:pStyle w:val="BodyText"/>
        <w:spacing w:before="10"/>
        <w:rPr>
          <w:b/>
          <w:sz w:val="15"/>
        </w:rPr>
      </w:pPr>
    </w:p>
    <w:p>
      <w:pPr>
        <w:pStyle w:val="BodyText"/>
        <w:spacing w:line="20" w:lineRule="exact"/>
        <w:ind w:left="2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spacing w:before="1"/>
        <w:rPr>
          <w:b/>
          <w:sz w:val="13"/>
        </w:rPr>
      </w:pPr>
      <w:r>
        <w:rPr/>
        <w:pict>
          <v:shape style="position:absolute;margin-left:45pt;margin-top:9.750977pt;width:5pt;height:.1pt;mso-position-horizontal-relative:page;mso-position-vertical-relative:paragraph;z-index:-15362560;mso-wrap-distance-left:0;mso-wrap-distance-right:0" coordorigin="900,195" coordsize="100,0" path="m1000,195l900,195e" filled="false" stroked="true" strokeweight=".5pt" strokecolor="#000000">
            <v:path arrowok="t"/>
            <v:stroke dashstyle="solid"/>
            <w10:wrap type="topAndBottom"/>
          </v:shape>
        </w:pict>
      </w:r>
      <w:r>
        <w:rPr/>
        <w:pict>
          <v:shape style="position:absolute;margin-left:45pt;margin-top:30.750977pt;width:5pt;height:.1pt;mso-position-horizontal-relative:page;mso-position-vertical-relative:paragraph;z-index:-15362048;mso-wrap-distance-left:0;mso-wrap-distance-right:0" coordorigin="900,615" coordsize="100,0" path="m1000,615l900,615e" filled="false" stroked="true" strokeweight=".5pt" strokecolor="#000000">
            <v:path arrowok="t"/>
            <v:stroke dashstyle="solid"/>
            <w10:wrap type="topAndBottom"/>
          </v:shape>
        </w:pict>
      </w:r>
    </w:p>
    <w:p>
      <w:pPr>
        <w:pStyle w:val="BodyText"/>
        <w:spacing w:before="8"/>
        <w:rPr>
          <w:b/>
          <w:sz w:val="29"/>
        </w:rPr>
      </w:pPr>
    </w:p>
    <w:p>
      <w:pPr>
        <w:pStyle w:val="BodyText"/>
        <w:rPr>
          <w:b/>
          <w:sz w:val="12"/>
        </w:rPr>
      </w:pPr>
    </w:p>
    <w:p>
      <w:pPr>
        <w:pStyle w:val="BodyText"/>
        <w:rPr>
          <w:b/>
          <w:sz w:val="12"/>
        </w:rPr>
      </w:pPr>
    </w:p>
    <w:p>
      <w:pPr>
        <w:pStyle w:val="BodyText"/>
        <w:spacing w:before="7"/>
        <w:rPr>
          <w:b/>
          <w:sz w:val="14"/>
        </w:rPr>
      </w:pPr>
    </w:p>
    <w:p>
      <w:pPr>
        <w:spacing w:line="135" w:lineRule="exact" w:before="0"/>
        <w:ind w:left="349" w:right="0" w:firstLine="0"/>
        <w:jc w:val="left"/>
        <w:rPr>
          <w:sz w:val="12"/>
        </w:rPr>
      </w:pPr>
      <w:r>
        <w:rPr>
          <w:sz w:val="12"/>
        </w:rPr>
        <w:t>0.0 0.6 1.2 1.8 2.4</w:t>
      </w:r>
    </w:p>
    <w:p>
      <w:pPr>
        <w:spacing w:before="106"/>
        <w:ind w:left="0" w:right="38" w:firstLine="0"/>
        <w:jc w:val="right"/>
        <w:rPr>
          <w:sz w:val="12"/>
        </w:rPr>
      </w:pPr>
      <w:r>
        <w:rPr/>
        <w:br w:type="column"/>
      </w:r>
      <w:r>
        <w:rPr>
          <w:sz w:val="12"/>
        </w:rPr>
        <w:t>15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106496" from="211pt,5.101563pt" to="206pt,5.101563pt" stroked="true" strokeweight=".5pt" strokecolor="#000000">
            <v:stroke dashstyle="solid"/>
            <w10:wrap type="none"/>
          </v:line>
        </w:pict>
      </w:r>
      <w:r>
        <w:rPr/>
        <w:pict>
          <v:line style="position:absolute;mso-position-horizontal-relative:page;mso-position-vertical-relative:paragraph;z-index:16107008" from="211pt,-16.898438pt" to="206pt,-16.898438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105984" from="211pt,4.101563pt" to="206pt,4.101563pt" stroked="true" strokeweight=".5pt" strokecolor="#000000">
            <v:stroke dashstyle="solid"/>
            <w10:wrap type="none"/>
          </v:line>
        </w:pict>
      </w:r>
      <w:r>
        <w:rPr>
          <w:sz w:val="12"/>
        </w:rPr>
        <w:t>5</w:t>
      </w:r>
    </w:p>
    <w:p>
      <w:pPr>
        <w:pStyle w:val="BodyText"/>
        <w:rPr>
          <w:sz w:val="12"/>
        </w:rPr>
      </w:pPr>
    </w:p>
    <w:p>
      <w:pPr>
        <w:pStyle w:val="BodyText"/>
        <w:spacing w:before="3"/>
        <w:rPr>
          <w:sz w:val="14"/>
        </w:rPr>
      </w:pPr>
    </w:p>
    <w:p>
      <w:pPr>
        <w:spacing w:line="129" w:lineRule="exact" w:before="0"/>
        <w:ind w:left="1930" w:right="0" w:firstLine="0"/>
        <w:jc w:val="left"/>
        <w:rPr>
          <w:sz w:val="12"/>
        </w:rPr>
      </w:pPr>
      <w:r>
        <w:rPr>
          <w:sz w:val="12"/>
        </w:rPr>
        <w:t>0</w:t>
      </w:r>
    </w:p>
    <w:p>
      <w:pPr>
        <w:spacing w:line="126" w:lineRule="exact" w:before="0"/>
        <w:ind w:left="89" w:right="0" w:firstLine="0"/>
        <w:jc w:val="left"/>
        <w:rPr>
          <w:sz w:val="12"/>
        </w:rPr>
      </w:pPr>
      <w:r>
        <w:rPr>
          <w:sz w:val="12"/>
        </w:rPr>
        <w:t>3.0 3.6 4.2 4.8 5.4 6.0</w:t>
      </w:r>
    </w:p>
    <w:p>
      <w:pPr>
        <w:pStyle w:val="Heading5"/>
        <w:spacing w:line="280" w:lineRule="atLeast" w:before="86"/>
        <w:ind w:left="349" w:right="155" w:firstLine="1"/>
      </w:pPr>
      <w:r>
        <w:rPr/>
        <w:br w:type="column"/>
      </w:r>
      <w:r>
        <w:rPr>
          <w:color w:val="231F20"/>
        </w:rPr>
        <w:t>Chart 7.6 shows the distribution of central forecasts for twelve-month RPIX inflation in 1997 Q4 among the 52 outside forecasters surveyed by the Bank. The median forecast was 2.6% in October, a little higher than in July. Chart 7.7 shows that the median forecast for inflation for 1998 Q4 was 2.8%. This is a little lower than in the</w:t>
      </w:r>
    </w:p>
    <w:p>
      <w:pPr>
        <w:spacing w:after="0" w:line="280" w:lineRule="atLeast"/>
        <w:sectPr>
          <w:type w:val="continuous"/>
          <w:pgSz w:w="11880" w:h="16840"/>
          <w:pgMar w:top="1040" w:bottom="280" w:left="640" w:right="620"/>
          <w:cols w:num="3" w:equalWidth="0">
            <w:col w:w="1720" w:space="40"/>
            <w:col w:w="2031" w:space="818"/>
            <w:col w:w="6011"/>
          </w:cols>
        </w:sectPr>
      </w:pPr>
    </w:p>
    <w:p>
      <w:pPr>
        <w:spacing w:line="28" w:lineRule="exact" w:before="0"/>
        <w:ind w:left="1406" w:right="1544" w:firstLine="0"/>
        <w:jc w:val="center"/>
        <w:rPr>
          <w:sz w:val="12"/>
        </w:rPr>
      </w:pPr>
      <w:r>
        <w:rPr>
          <w:sz w:val="12"/>
        </w:rPr>
        <w:t>Range of forecasts</w:t>
      </w:r>
    </w:p>
    <w:p>
      <w:pPr>
        <w:spacing w:before="56"/>
        <w:ind w:left="170" w:right="0" w:firstLine="0"/>
        <w:jc w:val="left"/>
        <w:rPr>
          <w:sz w:val="12"/>
        </w:rPr>
      </w:pPr>
      <w:r>
        <w:rPr>
          <w:color w:val="231F20"/>
          <w:sz w:val="12"/>
        </w:rPr>
        <w:t>Source: Forecasts of 52 outside forecasters as of October 1997.</w:t>
      </w:r>
    </w:p>
    <w:p>
      <w:pPr>
        <w:pStyle w:val="BodyText"/>
        <w:rPr>
          <w:sz w:val="12"/>
        </w:rPr>
      </w:pPr>
    </w:p>
    <w:p>
      <w:pPr>
        <w:pStyle w:val="BodyText"/>
        <w:rPr>
          <w:sz w:val="12"/>
        </w:rPr>
      </w:pPr>
    </w:p>
    <w:p>
      <w:pPr>
        <w:pStyle w:val="BodyText"/>
        <w:spacing w:before="1"/>
        <w:rPr>
          <w:sz w:val="17"/>
        </w:rPr>
      </w:pPr>
    </w:p>
    <w:p>
      <w:pPr>
        <w:pStyle w:val="Heading9"/>
        <w:spacing w:before="0"/>
        <w:ind w:left="160"/>
      </w:pPr>
      <w:r>
        <w:rPr>
          <w:color w:val="0093C1"/>
        </w:rPr>
        <w:t>Chart 7.7</w:t>
      </w:r>
    </w:p>
    <w:p>
      <w:pPr>
        <w:spacing w:line="249" w:lineRule="auto" w:before="10"/>
        <w:ind w:left="160" w:right="21" w:firstLine="0"/>
        <w:jc w:val="left"/>
        <w:rPr>
          <w:b/>
          <w:sz w:val="20"/>
        </w:rPr>
      </w:pPr>
      <w:r>
        <w:rPr>
          <w:b/>
          <w:color w:val="0093C1"/>
          <w:sz w:val="20"/>
        </w:rPr>
        <w:t>Distribution of RPIX inflation forecasts for 1998 Q4</w:t>
      </w:r>
    </w:p>
    <w:p>
      <w:pPr>
        <w:spacing w:line="242" w:lineRule="auto" w:before="5"/>
        <w:ind w:left="160" w:right="163" w:hanging="1"/>
        <w:jc w:val="left"/>
        <w:rPr>
          <w:sz w:val="24"/>
        </w:rPr>
      </w:pPr>
      <w:r>
        <w:rPr/>
        <w:br w:type="column"/>
      </w:r>
      <w:r>
        <w:rPr>
          <w:color w:val="231F20"/>
          <w:sz w:val="24"/>
        </w:rPr>
        <w:t>April or July surveys, when the median was close to 3%. The median forecast for inflation for Q4 1998 has fallen a little during the past three months, partly reflecting weaker projections for activity during the next two </w:t>
      </w:r>
      <w:r>
        <w:rPr>
          <w:color w:val="231F20"/>
          <w:spacing w:val="-3"/>
          <w:sz w:val="24"/>
        </w:rPr>
        <w:t>years. </w:t>
      </w:r>
      <w:r>
        <w:rPr>
          <w:color w:val="231F20"/>
          <w:sz w:val="24"/>
        </w:rPr>
        <w:t>The distribution remains slightly skewed to the upside.</w:t>
      </w:r>
    </w:p>
    <w:p>
      <w:pPr>
        <w:spacing w:after="0" w:line="242" w:lineRule="auto"/>
        <w:jc w:val="left"/>
        <w:rPr>
          <w:sz w:val="24"/>
        </w:rPr>
        <w:sectPr>
          <w:type w:val="continuous"/>
          <w:pgSz w:w="11880" w:h="16840"/>
          <w:pgMar w:top="1040" w:bottom="280" w:left="640" w:right="620"/>
          <w:cols w:num="2" w:equalWidth="0">
            <w:col w:w="3884" w:space="915"/>
            <w:col w:w="5821"/>
          </w:cols>
        </w:sectPr>
      </w:pPr>
    </w:p>
    <w:p>
      <w:pPr>
        <w:spacing w:before="64"/>
        <w:ind w:left="0" w:right="0" w:firstLine="0"/>
        <w:jc w:val="right"/>
        <w:rPr>
          <w:sz w:val="12"/>
        </w:rPr>
      </w:pPr>
      <w:r>
        <w:rPr>
          <w:sz w:val="12"/>
        </w:rPr>
        <w:t>Median</w:t>
      </w:r>
    </w:p>
    <w:p>
      <w:pPr>
        <w:pStyle w:val="BodyText"/>
        <w:spacing w:line="20" w:lineRule="exact"/>
        <w:ind w:left="281"/>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13"/>
        </w:rPr>
      </w:pPr>
      <w:r>
        <w:rPr/>
        <w:pict>
          <v:shape style="position:absolute;margin-left:46.333pt;margin-top:9.697307pt;width:5pt;height:.1pt;mso-position-horizontal-relative:page;mso-position-vertical-relative:paragraph;z-index:-15361024;mso-wrap-distance-left:0;mso-wrap-distance-right:0" coordorigin="927,194" coordsize="100,0" path="m1027,194l927,194e" filled="false" stroked="true" strokeweight=".5pt" strokecolor="#000000">
            <v:path arrowok="t"/>
            <v:stroke dashstyle="solid"/>
            <w10:wrap type="topAndBottom"/>
          </v:shape>
        </w:pict>
      </w:r>
    </w:p>
    <w:p>
      <w:pPr>
        <w:spacing w:before="84"/>
        <w:ind w:left="566" w:right="0" w:firstLine="0"/>
        <w:jc w:val="left"/>
        <w:rPr>
          <w:sz w:val="12"/>
        </w:rPr>
      </w:pPr>
      <w:r>
        <w:rPr/>
        <w:br w:type="column"/>
      </w:r>
      <w:r>
        <w:rPr>
          <w:sz w:val="12"/>
        </w:rPr>
        <w:t>Number of forecasts</w:t>
      </w:r>
      <w:r>
        <w:rPr>
          <w:spacing w:val="17"/>
          <w:sz w:val="12"/>
        </w:rPr>
        <w:t> </w:t>
      </w:r>
      <w:r>
        <w:rPr>
          <w:spacing w:val="-10"/>
          <w:position w:val="-5"/>
          <w:sz w:val="12"/>
        </w:rPr>
        <w:t>35</w:t>
      </w:r>
    </w:p>
    <w:p>
      <w:pPr>
        <w:pStyle w:val="BodyText"/>
        <w:spacing w:before="5"/>
        <w:rPr>
          <w:sz w:val="24"/>
        </w:rPr>
      </w:pPr>
    </w:p>
    <w:p>
      <w:pPr>
        <w:spacing w:before="1"/>
        <w:ind w:left="0" w:right="0" w:firstLine="0"/>
        <w:jc w:val="right"/>
        <w:rPr>
          <w:sz w:val="12"/>
        </w:rPr>
      </w:pPr>
      <w:r>
        <w:rPr/>
        <w:pict>
          <v:group style="position:absolute;margin-left:46.333pt;margin-top:-17.223446pt;width:164pt;height:153.4pt;mso-position-horizontal-relative:page;mso-position-vertical-relative:paragraph;z-index:-20640768" coordorigin="927,-344" coordsize="3280,3068">
            <v:line style="position:absolute" from="1027,2663" to="927,2663" stroked="true" strokeweight=".5pt" strokecolor="#000000">
              <v:stroke dashstyle="solid"/>
            </v:line>
            <v:shape style="position:absolute;left:1066;top:2660;width:3000;height:5" coordorigin="1067,2661" coordsize="3000,5" path="m1067,2661l2267,2661m2407,2661l2427,2661m2547,2661l2567,2661m2707,2661l2727,2661m2847,2661l2867,2661m3007,2661l4067,2661m1067,2666l4067,2666e" filled="false" stroked="true" strokeweight=".25pt" strokecolor="#000000">
              <v:path arrowok="t"/>
              <v:stroke dashstyle="solid"/>
            </v:shape>
            <v:line style="position:absolute" from="1067,2663" to="1067,2663" stroked="true" strokeweight=".5pt" strokecolor="#000000">
              <v:stroke dashstyle="solid"/>
            </v:line>
            <v:shape style="position:absolute;left:1166;top:2663;width:80;height:2" coordorigin="1167,2663" coordsize="80,0" path="m1167,2663l1247,2663,1167,2663e" filled="false" stroked="true" strokeweight=".5pt" strokecolor="#000000">
              <v:path arrowok="t"/>
              <v:stroke dashstyle="solid"/>
            </v:shape>
            <v:line style="position:absolute" from="1207,2663" to="1207,2663" stroked="true" strokeweight=".5pt" strokecolor="#000000">
              <v:stroke dashstyle="solid"/>
            </v:line>
            <v:shape style="position:absolute;left:1326;top:2663;width:80;height:2" coordorigin="1327,2663" coordsize="80,0" path="m1327,2663l1407,2663,1327,2663e" filled="false" stroked="true" strokeweight=".5pt" strokecolor="#000000">
              <v:path arrowok="t"/>
              <v:stroke dashstyle="solid"/>
            </v:shape>
            <v:line style="position:absolute" from="1367,2663" to="1367,2663" stroked="true" strokeweight=".5pt" strokecolor="#000000">
              <v:stroke dashstyle="solid"/>
            </v:line>
            <v:shape style="position:absolute;left:1486;top:2663;width:60;height:2" coordorigin="1487,2663" coordsize="60,0" path="m1487,2663l1547,2663,1487,2663e" filled="false" stroked="true" strokeweight=".5pt" strokecolor="#000000">
              <v:path arrowok="t"/>
              <v:stroke dashstyle="solid"/>
            </v:shape>
            <v:line style="position:absolute" from="1507,2663" to="1507,2663" stroked="true" strokeweight=".5pt" strokecolor="#000000">
              <v:stroke dashstyle="solid"/>
            </v:line>
            <v:shape style="position:absolute;left:1786;top:2663;width:60;height:2" coordorigin="1787,2663" coordsize="60,0" path="m1787,2663l1847,2663,1787,2663e" filled="false" stroked="true" strokeweight=".5pt" strokecolor="#000000">
              <v:path arrowok="t"/>
              <v:stroke dashstyle="solid"/>
            </v:shape>
            <v:line style="position:absolute" from="1827,2663" to="1827,2663" stroked="true" strokeweight=".5pt" strokecolor="#000000">
              <v:stroke dashstyle="solid"/>
            </v:line>
            <v:shape style="position:absolute;left:2226;top:2660;width:80;height:5" coordorigin="2227,2661" coordsize="80,5" path="m2227,2661l2267,2661m2227,2666l2307,2666e" filled="false" stroked="true" strokeweight=".25pt" strokecolor="#000000">
              <v:path arrowok="t"/>
              <v:stroke dashstyle="solid"/>
            </v:shape>
            <v:line style="position:absolute" from="2267,2663" to="2267,2668" stroked="true" strokeweight="0pt" strokecolor="#000000">
              <v:stroke dashstyle="solid"/>
            </v:line>
            <v:shape style="position:absolute;left:3426;top:2663;width:80;height:2" coordorigin="3427,2663" coordsize="80,0" path="m3427,2663l3507,2663,3427,2663e" filled="false" stroked="true" strokeweight=".5pt" strokecolor="#000000">
              <v:path arrowok="t"/>
              <v:stroke dashstyle="solid"/>
            </v:shape>
            <v:line style="position:absolute" from="3467,2663" to="3467,2663" stroked="true" strokeweight=".5pt" strokecolor="#000000">
              <v:stroke dashstyle="solid"/>
            </v:line>
            <v:shape style="position:absolute;left:3586;top:2663;width:80;height:2" coordorigin="3587,2663" coordsize="80,0" path="m3587,2663l3667,2663,3587,2663e" filled="false" stroked="true" strokeweight=".5pt" strokecolor="#000000">
              <v:path arrowok="t"/>
              <v:stroke dashstyle="solid"/>
            </v:shape>
            <v:line style="position:absolute" from="3627,2663" to="3627,2663" stroked="true" strokeweight=".5pt" strokecolor="#000000">
              <v:stroke dashstyle="solid"/>
            </v:line>
            <v:shape style="position:absolute;left:3726;top:2663;width:80;height:2" coordorigin="3727,2663" coordsize="80,0" path="m3727,2663l3807,2663,3727,2663e" filled="false" stroked="true" strokeweight=".5pt" strokecolor="#000000">
              <v:path arrowok="t"/>
              <v:stroke dashstyle="solid"/>
            </v:shape>
            <v:line style="position:absolute" from="3767,2663" to="3767,2663" stroked="true" strokeweight=".5pt" strokecolor="#000000">
              <v:stroke dashstyle="solid"/>
            </v:line>
            <v:shape style="position:absolute;left:3886;top:2663;width:80;height:2" coordorigin="3887,2663" coordsize="80,0" path="m3887,2663l3967,2663,3887,2663e" filled="false" stroked="true" strokeweight=".5pt" strokecolor="#000000">
              <v:path arrowok="t"/>
              <v:stroke dashstyle="solid"/>
            </v:shape>
            <v:shape style="position:absolute;left:1066;top:2663;width:3000;height:60" coordorigin="1067,2663" coordsize="3000,60" path="m3927,2663l3927,2663m1067,2663l1067,2723m1207,2663l1207,2723m1367,2663l1367,2723m1507,2663l1507,2723m1667,2663l1667,2723m1827,2663l1827,2723m1967,2663l1967,2723m2107,2663l2107,2723m2267,2663l2267,2723m2427,2663l2427,2723m2567,2663l2567,2723m2727,2663l2727,2723m2867,2663l2867,2723m3027,2663l3027,2723m3167,2663l3167,2723m3327,2663l3327,2723m3467,2663l3467,2723m3627,2663l3627,2723m3767,2663l3767,2723m3927,2663l3927,2723m4067,2663l4067,2723e" filled="false" stroked="true" strokeweight=".5pt" strokecolor="#000000">
              <v:path arrowok="t"/>
              <v:stroke dashstyle="solid"/>
            </v:shape>
            <v:rect style="position:absolute;left:1960;top:2583;width:127;height:80" filled="true" fillcolor="#008256" stroked="false">
              <v:fill type="solid"/>
            </v:rect>
            <v:rect style="position:absolute;left:1960;top:2583;width:127;height:80" filled="false" stroked="true" strokeweight=".5pt" strokecolor="#000000">
              <v:stroke dashstyle="solid"/>
            </v:rect>
            <v:rect style="position:absolute;left:2106;top:2243;width:140;height:420" filled="true" fillcolor="#008256" stroked="false">
              <v:fill type="solid"/>
            </v:rect>
            <v:rect style="position:absolute;left:2106;top:2243;width:140;height:420" filled="false" stroked="true" strokeweight=".5pt" strokecolor="#000000">
              <v:stroke dashstyle="solid"/>
            </v:rect>
            <v:rect style="position:absolute;left:2266;top:1303;width:140;height:1360" filled="true" fillcolor="#faab54" stroked="false">
              <v:fill type="solid"/>
            </v:rect>
            <v:rect style="position:absolute;left:2266;top:1303;width:140;height:1360" filled="false" stroked="true" strokeweight=".5pt" strokecolor="#000000">
              <v:stroke dashstyle="solid"/>
            </v:rect>
            <v:rect style="position:absolute;left:2426;top:1203;width:120;height:1460" filled="true" fillcolor="#faab54" stroked="false">
              <v:fill type="solid"/>
            </v:rect>
            <v:rect style="position:absolute;left:2426;top:1203;width:120;height:1460" filled="false" stroked="true" strokeweight=".5pt" strokecolor="#000000">
              <v:stroke dashstyle="solid"/>
            </v:rect>
            <v:rect style="position:absolute;left:2566;top:2063;width:140;height:600" filled="true" fillcolor="#0066a5" stroked="false">
              <v:fill type="solid"/>
            </v:rect>
            <v:rect style="position:absolute;left:2566;top:2063;width:140;height:600" filled="false" stroked="true" strokeweight=".5pt" strokecolor="#000000">
              <v:stroke dashstyle="solid"/>
            </v:rect>
            <v:rect style="position:absolute;left:2726;top:2503;width:120;height:160" filled="true" fillcolor="#0066a5" stroked="false">
              <v:fill type="solid"/>
            </v:rect>
            <v:rect style="position:absolute;left:2726;top:2503;width:120;height:160" filled="false" stroked="true" strokeweight=".5pt" strokecolor="#000000">
              <v:stroke dashstyle="solid"/>
            </v:rect>
            <v:rect style="position:absolute;left:2866;top:2403;width:140;height:260" filled="true" fillcolor="#0066a5" stroked="false">
              <v:fill type="solid"/>
            </v:rect>
            <v:rect style="position:absolute;left:2866;top:2403;width:140;height:260" filled="false" stroked="true" strokeweight=".5pt" strokecolor="#000000">
              <v:stroke dashstyle="solid"/>
            </v:rect>
            <v:rect style="position:absolute;left:3026;top:2583;width:140;height:80" filled="true" fillcolor="#0066a5" stroked="false">
              <v:fill type="solid"/>
            </v:rect>
            <v:rect style="position:absolute;left:3026;top:2583;width:140;height:80" filled="false" stroked="true" strokeweight=".5pt" strokecolor="#000000">
              <v:stroke dashstyle="solid"/>
            </v:rect>
            <v:shape style="position:absolute;left:4126;top:1383;width:80;height:1280" coordorigin="4127,1383" coordsize="80,1280" path="m4207,2663l4127,2663m4207,2243l4127,2243m4207,1803l4127,1803m4207,1383l4127,1383e" filled="false" stroked="true" strokeweight=".5pt" strokecolor="#000000">
              <v:path arrowok="t"/>
              <v:stroke dashstyle="solid"/>
            </v:shape>
            <v:rect style="position:absolute;left:2271;top:1308;width:55;height:1350" filled="true" fillcolor="#008256" stroked="false">
              <v:fill type="solid"/>
            </v:rect>
            <v:shape style="position:absolute;left:2326;top:-345;width:240;height:3000" coordorigin="2327,-344" coordsize="240,3000" path="m2487,-344l2487,2656m2567,-344l2567,2656m2327,-344l2327,2656e" filled="false" stroked="true" strokeweight="1pt" strokecolor="#0066a5">
              <v:path arrowok="t"/>
              <v:stroke dashstyle="dash"/>
            </v:shape>
            <v:shape style="position:absolute;left:1896;top:-294;width:1154;height:253" type="#_x0000_t202" filled="false" stroked="false">
              <v:textbox inset="0,0,0,0">
                <w:txbxContent>
                  <w:p>
                    <w:pPr>
                      <w:tabs>
                        <w:tab w:pos="739" w:val="left" w:leader="none"/>
                      </w:tabs>
                      <w:spacing w:line="124" w:lineRule="exact" w:before="0"/>
                      <w:ind w:left="0" w:right="0" w:firstLine="0"/>
                      <w:jc w:val="left"/>
                      <w:rPr>
                        <w:sz w:val="12"/>
                      </w:rPr>
                    </w:pPr>
                    <w:r>
                      <w:rPr>
                        <w:sz w:val="12"/>
                      </w:rPr>
                      <w:t>Lower</w:t>
                      <w:tab/>
                      <w:t>Upper</w:t>
                    </w:r>
                  </w:p>
                  <w:p>
                    <w:pPr>
                      <w:tabs>
                        <w:tab w:pos="739" w:val="left" w:leader="none"/>
                      </w:tabs>
                      <w:spacing w:line="129" w:lineRule="exact" w:before="0"/>
                      <w:ind w:left="0" w:right="0" w:firstLine="0"/>
                      <w:jc w:val="left"/>
                      <w:rPr>
                        <w:sz w:val="12"/>
                      </w:rPr>
                    </w:pPr>
                    <w:r>
                      <w:rPr>
                        <w:sz w:val="12"/>
                      </w:rPr>
                      <w:t>Quartile</w:t>
                      <w:tab/>
                      <w:t>Quartile</w:t>
                    </w:r>
                  </w:p>
                </w:txbxContent>
              </v:textbox>
              <w10:wrap type="none"/>
            </v:shape>
            <w10:wrap type="none"/>
          </v:group>
        </w:pict>
      </w:r>
      <w:r>
        <w:rPr/>
        <w:pict>
          <v:line style="position:absolute;mso-position-horizontal-relative:page;mso-position-vertical-relative:paragraph;z-index:16101376" from="210.332993pt,4.151555pt" to="206.332993pt,4.151555pt" stroked="true" strokeweight=".5pt" strokecolor="#000000">
            <v:stroke dashstyle="solid"/>
            <w10:wrap type="none"/>
          </v:line>
        </w:pict>
      </w:r>
      <w:r>
        <w:rPr/>
        <w:pict>
          <v:line style="position:absolute;mso-position-horizontal-relative:page;mso-position-vertical-relative:paragraph;z-index:-20636160" from="210.332993pt,-16.848446pt" to="206.332993pt,-16.848446pt" stroked="true" strokeweight=".5pt" strokecolor="#000000">
            <v:stroke dashstyle="solid"/>
            <w10:wrap type="none"/>
          </v:line>
        </w:pict>
      </w:r>
      <w:r>
        <w:rPr>
          <w:sz w:val="12"/>
        </w:rPr>
        <w:t>30</w:t>
      </w:r>
    </w:p>
    <w:p>
      <w:pPr>
        <w:pStyle w:val="Heading5"/>
        <w:spacing w:line="242" w:lineRule="auto"/>
        <w:ind w:left="1162" w:right="150" w:hanging="1"/>
      </w:pPr>
      <w:r>
        <w:rPr/>
        <w:br w:type="column"/>
      </w:r>
      <w:r>
        <w:rPr>
          <w:color w:val="231F20"/>
        </w:rPr>
        <w:t>Although the median of outside forecasts has fallen since the August </w:t>
      </w:r>
      <w:r>
        <w:rPr>
          <w:i/>
          <w:color w:val="231F20"/>
        </w:rPr>
        <w:t>Report</w:t>
      </w:r>
      <w:r>
        <w:rPr>
          <w:color w:val="231F20"/>
        </w:rPr>
        <w:t>, it remains above the Bank’s central projection.</w:t>
      </w:r>
    </w:p>
    <w:p>
      <w:pPr>
        <w:spacing w:after="0" w:line="242" w:lineRule="auto"/>
        <w:sectPr>
          <w:type w:val="continuous"/>
          <w:pgSz w:w="11880" w:h="16840"/>
          <w:pgMar w:top="1040" w:bottom="280" w:left="640" w:right="620"/>
          <w:cols w:num="3" w:equalWidth="0">
            <w:col w:w="2004" w:space="40"/>
            <w:col w:w="1714" w:space="39"/>
            <w:col w:w="6823"/>
          </w:cols>
        </w:sectPr>
      </w:pPr>
    </w:p>
    <w:p>
      <w:pPr>
        <w:pStyle w:val="BodyText"/>
        <w:spacing w:before="6"/>
        <w:rPr>
          <w:sz w:val="14"/>
        </w:rPr>
      </w:pPr>
    </w:p>
    <w:p>
      <w:pPr>
        <w:spacing w:before="0"/>
        <w:ind w:left="3636" w:right="0" w:firstLine="0"/>
        <w:jc w:val="left"/>
        <w:rPr>
          <w:sz w:val="12"/>
        </w:rPr>
      </w:pPr>
      <w:r>
        <w:rPr/>
        <w:pict>
          <v:line style="position:absolute;mso-position-horizontal-relative:page;mso-position-vertical-relative:paragraph;z-index:16099840" from="51.333pt,4.101555pt" to="46.333pt,4.101555pt" stroked="true" strokeweight=".5pt" strokecolor="#000000">
            <v:stroke dashstyle="solid"/>
            <w10:wrap type="none"/>
          </v:line>
        </w:pict>
      </w:r>
      <w:r>
        <w:rPr/>
        <w:pict>
          <v:line style="position:absolute;mso-position-horizontal-relative:page;mso-position-vertical-relative:paragraph;z-index:16100864" from="210.332993pt,4.101555pt" to="206.332993pt,4.101555pt" stroked="true" strokeweight=".5pt" strokecolor="#000000">
            <v:stroke dashstyle="solid"/>
            <w10:wrap type="none"/>
          </v:line>
        </w:pict>
      </w:r>
      <w:r>
        <w:rPr>
          <w:sz w:val="12"/>
        </w:rPr>
        <w:t>25</w:t>
      </w:r>
    </w:p>
    <w:p>
      <w:pPr>
        <w:pStyle w:val="BodyText"/>
        <w:rPr>
          <w:sz w:val="12"/>
        </w:rPr>
      </w:pPr>
    </w:p>
    <w:p>
      <w:pPr>
        <w:pStyle w:val="BodyText"/>
        <w:spacing w:before="6"/>
        <w:rPr>
          <w:sz w:val="12"/>
        </w:rPr>
      </w:pPr>
    </w:p>
    <w:p>
      <w:pPr>
        <w:spacing w:before="0"/>
        <w:ind w:left="3636" w:right="0" w:firstLine="0"/>
        <w:jc w:val="left"/>
        <w:rPr>
          <w:sz w:val="12"/>
        </w:rPr>
      </w:pPr>
      <w:r>
        <w:rPr/>
        <w:pict>
          <v:line style="position:absolute;mso-position-horizontal-relative:page;mso-position-vertical-relative:paragraph;z-index:16099328" from="51.333pt,4.101555pt" to="46.333pt,4.101555pt" stroked="true" strokeweight=".5pt" strokecolor="#000000">
            <v:stroke dashstyle="solid"/>
            <w10:wrap type="none"/>
          </v:line>
        </w:pict>
      </w:r>
      <w:r>
        <w:rPr/>
        <w:pict>
          <v:line style="position:absolute;mso-position-horizontal-relative:page;mso-position-vertical-relative:paragraph;z-index:16100352" from="210.332993pt,4.101555pt" to="206.332993pt,4.101555pt" stroked="true" strokeweight=".5pt" strokecolor="#000000">
            <v:stroke dashstyle="solid"/>
            <w10:wrap type="none"/>
          </v:line>
        </w:pict>
      </w:r>
      <w:r>
        <w:rPr>
          <w:sz w:val="12"/>
        </w:rPr>
        <w:t>20</w:t>
      </w:r>
    </w:p>
    <w:p>
      <w:pPr>
        <w:pStyle w:val="BodyText"/>
        <w:rPr>
          <w:sz w:val="12"/>
        </w:rPr>
      </w:pPr>
    </w:p>
    <w:p>
      <w:pPr>
        <w:pStyle w:val="BodyText"/>
        <w:spacing w:before="3"/>
        <w:rPr>
          <w:sz w:val="14"/>
        </w:rPr>
      </w:pPr>
    </w:p>
    <w:p>
      <w:pPr>
        <w:spacing w:before="0"/>
        <w:ind w:left="3636" w:right="0" w:firstLine="0"/>
        <w:jc w:val="left"/>
        <w:rPr>
          <w:sz w:val="12"/>
        </w:rPr>
      </w:pPr>
      <w:r>
        <w:rPr/>
        <w:pict>
          <v:line style="position:absolute;mso-position-horizontal-relative:page;mso-position-vertical-relative:paragraph;z-index:16098816" from="51.333pt,4.101555pt" to="46.333pt,4.101555pt" stroked="true" strokeweight=".5pt" strokecolor="#000000">
            <v:stroke dashstyle="solid"/>
            <w10:wrap type="none"/>
          </v:line>
        </w:pict>
      </w:r>
      <w:r>
        <w:rPr>
          <w:sz w:val="12"/>
        </w:rPr>
        <w:t>15</w:t>
      </w:r>
    </w:p>
    <w:p>
      <w:pPr>
        <w:pStyle w:val="BodyText"/>
        <w:rPr>
          <w:sz w:val="12"/>
        </w:rPr>
      </w:pPr>
    </w:p>
    <w:p>
      <w:pPr>
        <w:pStyle w:val="BodyText"/>
        <w:spacing w:before="6"/>
        <w:rPr>
          <w:sz w:val="12"/>
        </w:rPr>
      </w:pPr>
    </w:p>
    <w:p>
      <w:pPr>
        <w:spacing w:before="0"/>
        <w:ind w:left="3636" w:right="0" w:firstLine="0"/>
        <w:jc w:val="left"/>
        <w:rPr>
          <w:sz w:val="12"/>
        </w:rPr>
      </w:pPr>
      <w:r>
        <w:rPr/>
        <w:pict>
          <v:line style="position:absolute;mso-position-horizontal-relative:page;mso-position-vertical-relative:paragraph;z-index:16098304" from="51.333pt,4.101555pt" to="46.333pt,4.101555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1"/>
        <w:ind w:left="3696" w:right="0" w:firstLine="0"/>
        <w:jc w:val="left"/>
        <w:rPr>
          <w:sz w:val="12"/>
        </w:rPr>
      </w:pPr>
      <w:r>
        <w:rPr/>
        <w:pict>
          <v:line style="position:absolute;mso-position-horizontal-relative:page;mso-position-vertical-relative:paragraph;z-index:16097792" from="51.333pt,4.151555pt" to="46.333pt,4.151555pt" stroked="true" strokeweight=".5pt" strokecolor="#000000">
            <v:stroke dashstyle="solid"/>
            <w10:wrap type="none"/>
          </v:line>
        </w:pict>
      </w:r>
      <w:r>
        <w:rPr>
          <w:sz w:val="12"/>
        </w:rPr>
        <w:t>5</w:t>
      </w:r>
    </w:p>
    <w:p>
      <w:pPr>
        <w:pStyle w:val="BodyText"/>
        <w:rPr>
          <w:sz w:val="12"/>
        </w:rPr>
      </w:pPr>
    </w:p>
    <w:p>
      <w:pPr>
        <w:pStyle w:val="BodyText"/>
        <w:spacing w:before="5"/>
        <w:rPr>
          <w:sz w:val="12"/>
        </w:rPr>
      </w:pPr>
    </w:p>
    <w:p>
      <w:pPr>
        <w:spacing w:before="1"/>
        <w:ind w:left="3696" w:right="0" w:firstLine="0"/>
        <w:jc w:val="left"/>
        <w:rPr>
          <w:sz w:val="12"/>
        </w:rPr>
      </w:pPr>
      <w:r>
        <w:rPr>
          <w:sz w:val="12"/>
        </w:rPr>
        <w:t>0</w:t>
      </w:r>
    </w:p>
    <w:p>
      <w:pPr>
        <w:spacing w:before="2"/>
        <w:ind w:left="376" w:right="0" w:firstLine="0"/>
        <w:jc w:val="left"/>
        <w:rPr>
          <w:sz w:val="12"/>
        </w:rPr>
      </w:pPr>
      <w:r>
        <w:rPr>
          <w:sz w:val="12"/>
        </w:rPr>
        <w:t>0.0 0.6 1.2 1.8 2.4 3.0 3.6 4.2 4.8 5.4 6.0</w:t>
      </w:r>
    </w:p>
    <w:p>
      <w:pPr>
        <w:spacing w:before="42"/>
        <w:ind w:left="1416" w:right="0" w:firstLine="0"/>
        <w:jc w:val="left"/>
        <w:rPr>
          <w:sz w:val="12"/>
        </w:rPr>
      </w:pPr>
      <w:r>
        <w:rPr>
          <w:sz w:val="12"/>
        </w:rPr>
        <w:t>Range of forecasts</w:t>
      </w:r>
    </w:p>
    <w:p>
      <w:pPr>
        <w:spacing w:before="79"/>
        <w:ind w:left="160" w:right="0" w:firstLine="0"/>
        <w:jc w:val="left"/>
        <w:rPr>
          <w:sz w:val="12"/>
        </w:rPr>
      </w:pPr>
      <w:r>
        <w:rPr>
          <w:color w:val="231F20"/>
          <w:sz w:val="12"/>
        </w:rPr>
        <w:t>Source: Forecasts of 52 outside forecasters as of October 1997.</w:t>
      </w:r>
    </w:p>
    <w:p>
      <w:pPr>
        <w:pStyle w:val="BodyText"/>
        <w:rPr>
          <w:sz w:val="12"/>
        </w:rPr>
      </w:pPr>
    </w:p>
    <w:p>
      <w:pPr>
        <w:pStyle w:val="BodyText"/>
        <w:rPr>
          <w:sz w:val="12"/>
        </w:rPr>
      </w:pPr>
    </w:p>
    <w:p>
      <w:pPr>
        <w:pStyle w:val="BodyText"/>
        <w:rPr>
          <w:sz w:val="12"/>
        </w:rPr>
      </w:pPr>
    </w:p>
    <w:p>
      <w:pPr>
        <w:pStyle w:val="BodyText"/>
        <w:spacing w:before="5"/>
        <w:rPr>
          <w:sz w:val="9"/>
        </w:rPr>
      </w:pPr>
    </w:p>
    <w:p>
      <w:pPr>
        <w:pStyle w:val="Heading9"/>
        <w:spacing w:before="1"/>
        <w:ind w:left="165"/>
      </w:pPr>
      <w:r>
        <w:rPr>
          <w:color w:val="0093C1"/>
        </w:rPr>
        <w:t>Table 7.A</w:t>
      </w:r>
    </w:p>
    <w:p>
      <w:pPr>
        <w:spacing w:before="10"/>
        <w:ind w:left="165" w:right="0" w:firstLine="0"/>
        <w:jc w:val="left"/>
        <w:rPr>
          <w:sz w:val="12"/>
        </w:rPr>
      </w:pPr>
      <w:r>
        <w:rPr>
          <w:b/>
          <w:color w:val="0093C1"/>
          <w:sz w:val="20"/>
        </w:rPr>
        <w:t>Expected RPIX inflation</w:t>
      </w:r>
      <w:r>
        <w:rPr>
          <w:color w:val="231F20"/>
          <w:position w:val="4"/>
          <w:sz w:val="12"/>
        </w:rPr>
        <w:t>(a)</w:t>
      </w:r>
    </w:p>
    <w:p>
      <w:pPr>
        <w:spacing w:before="59"/>
        <w:ind w:left="165" w:right="0" w:firstLine="0"/>
        <w:jc w:val="left"/>
        <w:rPr>
          <w:sz w:val="14"/>
        </w:rPr>
      </w:pPr>
      <w:r>
        <w:rPr>
          <w:color w:val="231F20"/>
          <w:sz w:val="14"/>
        </w:rPr>
        <w:t>Probability, per cent</w:t>
      </w:r>
    </w:p>
    <w:p>
      <w:pPr>
        <w:tabs>
          <w:tab w:pos="3939" w:val="left" w:leader="none"/>
        </w:tabs>
        <w:spacing w:before="119"/>
        <w:ind w:left="1224" w:right="0" w:firstLine="0"/>
        <w:jc w:val="left"/>
        <w:rPr>
          <w:sz w:val="14"/>
        </w:rPr>
      </w:pPr>
      <w:r>
        <w:rPr>
          <w:color w:val="231F20"/>
          <w:sz w:val="14"/>
          <w:u w:val="single" w:color="231F20"/>
        </w:rPr>
        <w:t>Range:</w:t>
        <w:tab/>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743"/>
        <w:gridCol w:w="600"/>
        <w:gridCol w:w="600"/>
        <w:gridCol w:w="600"/>
        <w:gridCol w:w="497"/>
      </w:tblGrid>
      <w:tr>
        <w:trPr>
          <w:trHeight w:val="287" w:hRule="atLeast"/>
        </w:trPr>
        <w:tc>
          <w:tcPr>
            <w:tcW w:w="823" w:type="dxa"/>
            <w:vMerge w:val="restart"/>
          </w:tcPr>
          <w:p>
            <w:pPr>
              <w:pStyle w:val="TableParagraph"/>
              <w:rPr>
                <w:sz w:val="20"/>
              </w:rPr>
            </w:pPr>
          </w:p>
        </w:tc>
        <w:tc>
          <w:tcPr>
            <w:tcW w:w="743" w:type="dxa"/>
          </w:tcPr>
          <w:p>
            <w:pPr>
              <w:pStyle w:val="TableParagraph"/>
              <w:spacing w:line="140" w:lineRule="exact" w:before="12"/>
              <w:ind w:left="286" w:right="181" w:hanging="1"/>
              <w:rPr>
                <w:sz w:val="14"/>
              </w:rPr>
            </w:pPr>
            <w:r>
              <w:rPr>
                <w:color w:val="231F20"/>
                <w:sz w:val="14"/>
              </w:rPr>
              <w:t>Less than</w:t>
            </w:r>
          </w:p>
        </w:tc>
        <w:tc>
          <w:tcPr>
            <w:tcW w:w="600" w:type="dxa"/>
          </w:tcPr>
          <w:p>
            <w:pPr>
              <w:pStyle w:val="TableParagraph"/>
              <w:spacing w:line="145" w:lineRule="exact"/>
              <w:ind w:left="163"/>
              <w:rPr>
                <w:sz w:val="14"/>
              </w:rPr>
            </w:pPr>
            <w:r>
              <w:rPr>
                <w:color w:val="231F20"/>
                <w:sz w:val="14"/>
              </w:rPr>
              <w:t>1.0%</w:t>
            </w:r>
          </w:p>
          <w:p>
            <w:pPr>
              <w:pStyle w:val="TableParagraph"/>
              <w:spacing w:line="123" w:lineRule="exact"/>
              <w:ind w:left="163"/>
              <w:rPr>
                <w:sz w:val="14"/>
              </w:rPr>
            </w:pPr>
            <w:r>
              <w:rPr>
                <w:color w:val="231F20"/>
                <w:sz w:val="14"/>
              </w:rPr>
              <w:t>to</w:t>
            </w:r>
          </w:p>
        </w:tc>
        <w:tc>
          <w:tcPr>
            <w:tcW w:w="600" w:type="dxa"/>
          </w:tcPr>
          <w:p>
            <w:pPr>
              <w:pStyle w:val="TableParagraph"/>
              <w:spacing w:line="145" w:lineRule="exact"/>
              <w:ind w:left="143"/>
              <w:rPr>
                <w:sz w:val="14"/>
              </w:rPr>
            </w:pPr>
            <w:r>
              <w:rPr>
                <w:color w:val="231F20"/>
                <w:sz w:val="14"/>
              </w:rPr>
              <w:t>2.5%</w:t>
            </w:r>
          </w:p>
          <w:p>
            <w:pPr>
              <w:pStyle w:val="TableParagraph"/>
              <w:spacing w:line="123" w:lineRule="exact"/>
              <w:ind w:left="143"/>
              <w:rPr>
                <w:sz w:val="14"/>
              </w:rPr>
            </w:pPr>
            <w:r>
              <w:rPr>
                <w:color w:val="231F20"/>
                <w:sz w:val="14"/>
              </w:rPr>
              <w:t>to</w:t>
            </w:r>
          </w:p>
        </w:tc>
        <w:tc>
          <w:tcPr>
            <w:tcW w:w="600" w:type="dxa"/>
          </w:tcPr>
          <w:p>
            <w:pPr>
              <w:pStyle w:val="TableParagraph"/>
              <w:spacing w:line="145" w:lineRule="exact"/>
              <w:ind w:left="163"/>
              <w:rPr>
                <w:sz w:val="14"/>
              </w:rPr>
            </w:pPr>
            <w:r>
              <w:rPr>
                <w:color w:val="231F20"/>
                <w:sz w:val="14"/>
              </w:rPr>
              <w:t>4.0%</w:t>
            </w:r>
          </w:p>
          <w:p>
            <w:pPr>
              <w:pStyle w:val="TableParagraph"/>
              <w:spacing w:line="123" w:lineRule="exact"/>
              <w:ind w:left="163"/>
              <w:rPr>
                <w:sz w:val="14"/>
              </w:rPr>
            </w:pPr>
            <w:r>
              <w:rPr>
                <w:color w:val="231F20"/>
                <w:sz w:val="14"/>
              </w:rPr>
              <w:t>to</w:t>
            </w:r>
          </w:p>
        </w:tc>
        <w:tc>
          <w:tcPr>
            <w:tcW w:w="497" w:type="dxa"/>
          </w:tcPr>
          <w:p>
            <w:pPr>
              <w:pStyle w:val="TableParagraph"/>
              <w:spacing w:line="140" w:lineRule="exact" w:before="12"/>
              <w:ind w:left="143" w:right="31" w:hanging="1"/>
              <w:rPr>
                <w:sz w:val="14"/>
              </w:rPr>
            </w:pPr>
            <w:r>
              <w:rPr>
                <w:color w:val="231F20"/>
                <w:sz w:val="14"/>
              </w:rPr>
              <w:t>More than</w:t>
            </w:r>
          </w:p>
        </w:tc>
      </w:tr>
      <w:tr>
        <w:trPr>
          <w:trHeight w:val="206" w:hRule="atLeast"/>
        </w:trPr>
        <w:tc>
          <w:tcPr>
            <w:tcW w:w="823" w:type="dxa"/>
            <w:vMerge/>
            <w:tcBorders>
              <w:top w:val="nil"/>
            </w:tcBorders>
          </w:tcPr>
          <w:p>
            <w:pPr>
              <w:rPr>
                <w:sz w:val="2"/>
                <w:szCs w:val="2"/>
              </w:rPr>
            </w:pPr>
          </w:p>
        </w:tc>
        <w:tc>
          <w:tcPr>
            <w:tcW w:w="743" w:type="dxa"/>
          </w:tcPr>
          <w:p>
            <w:pPr>
              <w:pStyle w:val="TableParagraph"/>
              <w:spacing w:line="143" w:lineRule="exact"/>
              <w:ind w:left="266" w:right="144"/>
              <w:jc w:val="center"/>
              <w:rPr>
                <w:sz w:val="14"/>
              </w:rPr>
            </w:pPr>
            <w:r>
              <w:rPr>
                <w:color w:val="231F20"/>
                <w:sz w:val="14"/>
                <w:u w:val="single" w:color="231F20"/>
              </w:rPr>
              <w:t>1.0%</w:t>
            </w:r>
          </w:p>
        </w:tc>
        <w:tc>
          <w:tcPr>
            <w:tcW w:w="600" w:type="dxa"/>
          </w:tcPr>
          <w:p>
            <w:pPr>
              <w:pStyle w:val="TableParagraph"/>
              <w:spacing w:line="143" w:lineRule="exact"/>
              <w:ind w:left="143" w:right="124"/>
              <w:jc w:val="center"/>
              <w:rPr>
                <w:sz w:val="14"/>
              </w:rPr>
            </w:pPr>
            <w:r>
              <w:rPr>
                <w:color w:val="231F20"/>
                <w:sz w:val="14"/>
                <w:u w:val="single" w:color="231F20"/>
              </w:rPr>
              <w:t>2.5%</w:t>
            </w:r>
          </w:p>
        </w:tc>
        <w:tc>
          <w:tcPr>
            <w:tcW w:w="600" w:type="dxa"/>
          </w:tcPr>
          <w:p>
            <w:pPr>
              <w:pStyle w:val="TableParagraph"/>
              <w:spacing w:line="143" w:lineRule="exact"/>
              <w:ind w:left="143"/>
              <w:rPr>
                <w:sz w:val="14"/>
              </w:rPr>
            </w:pPr>
            <w:r>
              <w:rPr>
                <w:color w:val="231F20"/>
                <w:sz w:val="14"/>
                <w:u w:val="single" w:color="231F20"/>
              </w:rPr>
              <w:t>4.0%</w:t>
            </w:r>
          </w:p>
        </w:tc>
        <w:tc>
          <w:tcPr>
            <w:tcW w:w="600" w:type="dxa"/>
          </w:tcPr>
          <w:p>
            <w:pPr>
              <w:pStyle w:val="TableParagraph"/>
              <w:spacing w:line="143" w:lineRule="exact"/>
              <w:ind w:left="143" w:right="124"/>
              <w:jc w:val="center"/>
              <w:rPr>
                <w:sz w:val="14"/>
              </w:rPr>
            </w:pPr>
            <w:r>
              <w:rPr>
                <w:color w:val="231F20"/>
                <w:sz w:val="14"/>
                <w:u w:val="single" w:color="231F20"/>
              </w:rPr>
              <w:t>5.5%</w:t>
            </w:r>
          </w:p>
        </w:tc>
        <w:tc>
          <w:tcPr>
            <w:tcW w:w="497" w:type="dxa"/>
          </w:tcPr>
          <w:p>
            <w:pPr>
              <w:pStyle w:val="TableParagraph"/>
              <w:spacing w:line="143" w:lineRule="exact"/>
              <w:ind w:left="123" w:right="41"/>
              <w:jc w:val="center"/>
              <w:rPr>
                <w:sz w:val="14"/>
              </w:rPr>
            </w:pPr>
            <w:r>
              <w:rPr>
                <w:color w:val="231F20"/>
                <w:sz w:val="14"/>
                <w:u w:val="single" w:color="231F20"/>
              </w:rPr>
              <w:t>5.5%</w:t>
            </w:r>
          </w:p>
        </w:tc>
      </w:tr>
      <w:tr>
        <w:trPr>
          <w:trHeight w:val="210" w:hRule="atLeast"/>
        </w:trPr>
        <w:tc>
          <w:tcPr>
            <w:tcW w:w="823" w:type="dxa"/>
          </w:tcPr>
          <w:p>
            <w:pPr>
              <w:pStyle w:val="TableParagraph"/>
              <w:spacing w:line="133" w:lineRule="exact" w:before="56"/>
              <w:ind w:left="50"/>
              <w:rPr>
                <w:sz w:val="14"/>
              </w:rPr>
            </w:pPr>
            <w:r>
              <w:rPr>
                <w:color w:val="231F20"/>
                <w:sz w:val="14"/>
              </w:rPr>
              <w:t>1997 Q4</w:t>
            </w:r>
          </w:p>
        </w:tc>
        <w:tc>
          <w:tcPr>
            <w:tcW w:w="743" w:type="dxa"/>
          </w:tcPr>
          <w:p>
            <w:pPr>
              <w:pStyle w:val="TableParagraph"/>
              <w:spacing w:line="133" w:lineRule="exact" w:before="56"/>
              <w:ind w:left="220"/>
              <w:jc w:val="center"/>
              <w:rPr>
                <w:sz w:val="14"/>
              </w:rPr>
            </w:pPr>
            <w:r>
              <w:rPr>
                <w:color w:val="231F20"/>
                <w:sz w:val="14"/>
              </w:rPr>
              <w:t>1</w:t>
            </w:r>
          </w:p>
        </w:tc>
        <w:tc>
          <w:tcPr>
            <w:tcW w:w="600" w:type="dxa"/>
          </w:tcPr>
          <w:p>
            <w:pPr>
              <w:pStyle w:val="TableParagraph"/>
              <w:spacing w:line="133" w:lineRule="exact" w:before="56"/>
              <w:ind w:left="35" w:right="124"/>
              <w:jc w:val="center"/>
              <w:rPr>
                <w:sz w:val="14"/>
              </w:rPr>
            </w:pPr>
            <w:r>
              <w:rPr>
                <w:color w:val="231F20"/>
                <w:sz w:val="14"/>
              </w:rPr>
              <w:t>38</w:t>
            </w:r>
          </w:p>
        </w:tc>
        <w:tc>
          <w:tcPr>
            <w:tcW w:w="600" w:type="dxa"/>
          </w:tcPr>
          <w:p>
            <w:pPr>
              <w:pStyle w:val="TableParagraph"/>
              <w:spacing w:line="133" w:lineRule="exact" w:before="56"/>
              <w:ind w:left="193"/>
              <w:rPr>
                <w:sz w:val="14"/>
              </w:rPr>
            </w:pPr>
            <w:r>
              <w:rPr>
                <w:color w:val="231F20"/>
                <w:sz w:val="14"/>
              </w:rPr>
              <w:t>58</w:t>
            </w:r>
          </w:p>
        </w:tc>
        <w:tc>
          <w:tcPr>
            <w:tcW w:w="600" w:type="dxa"/>
          </w:tcPr>
          <w:p>
            <w:pPr>
              <w:pStyle w:val="TableParagraph"/>
              <w:spacing w:line="133" w:lineRule="exact" w:before="56"/>
              <w:ind w:left="38"/>
              <w:jc w:val="center"/>
              <w:rPr>
                <w:sz w:val="14"/>
              </w:rPr>
            </w:pPr>
            <w:r>
              <w:rPr>
                <w:color w:val="231F20"/>
                <w:sz w:val="14"/>
              </w:rPr>
              <w:t>2</w:t>
            </w:r>
          </w:p>
        </w:tc>
        <w:tc>
          <w:tcPr>
            <w:tcW w:w="497" w:type="dxa"/>
          </w:tcPr>
          <w:p>
            <w:pPr>
              <w:pStyle w:val="TableParagraph"/>
              <w:spacing w:line="133" w:lineRule="exact" w:before="56"/>
              <w:ind w:left="81"/>
              <w:jc w:val="center"/>
              <w:rPr>
                <w:sz w:val="14"/>
              </w:rPr>
            </w:pPr>
            <w:r>
              <w:rPr>
                <w:color w:val="231F20"/>
                <w:sz w:val="14"/>
              </w:rPr>
              <w:t>1</w:t>
            </w:r>
          </w:p>
        </w:tc>
      </w:tr>
      <w:tr>
        <w:trPr>
          <w:trHeight w:val="147" w:hRule="atLeast"/>
        </w:trPr>
        <w:tc>
          <w:tcPr>
            <w:tcW w:w="823" w:type="dxa"/>
          </w:tcPr>
          <w:p>
            <w:pPr>
              <w:pStyle w:val="TableParagraph"/>
              <w:spacing w:line="128" w:lineRule="exact"/>
              <w:ind w:left="50"/>
              <w:rPr>
                <w:sz w:val="14"/>
              </w:rPr>
            </w:pPr>
            <w:r>
              <w:rPr>
                <w:color w:val="231F20"/>
                <w:sz w:val="14"/>
              </w:rPr>
              <w:t>1998 Q4</w:t>
            </w:r>
          </w:p>
        </w:tc>
        <w:tc>
          <w:tcPr>
            <w:tcW w:w="743" w:type="dxa"/>
          </w:tcPr>
          <w:p>
            <w:pPr>
              <w:pStyle w:val="TableParagraph"/>
              <w:spacing w:line="128" w:lineRule="exact"/>
              <w:ind w:left="220"/>
              <w:jc w:val="center"/>
              <w:rPr>
                <w:sz w:val="14"/>
              </w:rPr>
            </w:pPr>
            <w:r>
              <w:rPr>
                <w:color w:val="231F20"/>
                <w:sz w:val="14"/>
              </w:rPr>
              <w:t>4</w:t>
            </w:r>
          </w:p>
        </w:tc>
        <w:tc>
          <w:tcPr>
            <w:tcW w:w="600" w:type="dxa"/>
          </w:tcPr>
          <w:p>
            <w:pPr>
              <w:pStyle w:val="TableParagraph"/>
              <w:spacing w:line="128" w:lineRule="exact"/>
              <w:ind w:left="35" w:right="124"/>
              <w:jc w:val="center"/>
              <w:rPr>
                <w:sz w:val="14"/>
              </w:rPr>
            </w:pPr>
            <w:r>
              <w:rPr>
                <w:color w:val="231F20"/>
                <w:sz w:val="14"/>
              </w:rPr>
              <w:t>32</w:t>
            </w:r>
          </w:p>
        </w:tc>
        <w:tc>
          <w:tcPr>
            <w:tcW w:w="600" w:type="dxa"/>
          </w:tcPr>
          <w:p>
            <w:pPr>
              <w:pStyle w:val="TableParagraph"/>
              <w:spacing w:line="128" w:lineRule="exact"/>
              <w:ind w:left="194"/>
              <w:rPr>
                <w:sz w:val="14"/>
              </w:rPr>
            </w:pPr>
            <w:r>
              <w:rPr>
                <w:color w:val="231F20"/>
                <w:sz w:val="14"/>
              </w:rPr>
              <w:t>50</w:t>
            </w:r>
          </w:p>
        </w:tc>
        <w:tc>
          <w:tcPr>
            <w:tcW w:w="600" w:type="dxa"/>
          </w:tcPr>
          <w:p>
            <w:pPr>
              <w:pStyle w:val="TableParagraph"/>
              <w:spacing w:line="128" w:lineRule="exact"/>
              <w:ind w:left="95" w:right="124"/>
              <w:jc w:val="center"/>
              <w:rPr>
                <w:sz w:val="14"/>
              </w:rPr>
            </w:pPr>
            <w:r>
              <w:rPr>
                <w:color w:val="231F20"/>
                <w:sz w:val="14"/>
              </w:rPr>
              <w:t>12</w:t>
            </w:r>
          </w:p>
        </w:tc>
        <w:tc>
          <w:tcPr>
            <w:tcW w:w="497" w:type="dxa"/>
          </w:tcPr>
          <w:p>
            <w:pPr>
              <w:pStyle w:val="TableParagraph"/>
              <w:spacing w:line="128" w:lineRule="exact"/>
              <w:ind w:left="81"/>
              <w:jc w:val="center"/>
              <w:rPr>
                <w:sz w:val="14"/>
              </w:rPr>
            </w:pPr>
            <w:r>
              <w:rPr>
                <w:color w:val="231F20"/>
                <w:sz w:val="14"/>
              </w:rPr>
              <w:t>2</w:t>
            </w:r>
          </w:p>
        </w:tc>
      </w:tr>
    </w:tbl>
    <w:p>
      <w:pPr>
        <w:spacing w:line="208" w:lineRule="auto" w:before="124"/>
        <w:ind w:left="405" w:right="38" w:hanging="240"/>
        <w:jc w:val="left"/>
        <w:rPr>
          <w:sz w:val="12"/>
        </w:rPr>
      </w:pPr>
      <w:r>
        <w:rPr>
          <w:color w:val="231F20"/>
          <w:sz w:val="12"/>
        </w:rPr>
        <w:t>(a)    36 outside forecasters provided the Bank with their assessments of the likelihood, at two time horizons, of expected twelve-month RPIX inflation falling in the </w:t>
      </w:r>
      <w:r>
        <w:rPr>
          <w:color w:val="231F20"/>
          <w:spacing w:val="-3"/>
          <w:sz w:val="12"/>
        </w:rPr>
        <w:t>ranges </w:t>
      </w:r>
      <w:r>
        <w:rPr>
          <w:color w:val="231F20"/>
          <w:sz w:val="12"/>
        </w:rPr>
        <w:t>shown above. This table presents the means of the responses of each range. For example, on average, forecasters assign a probability of 4% to inflation turning out to be less than 1% in 1998 Q4. Rows may not sum to 100, because of rounding.</w:t>
      </w:r>
    </w:p>
    <w:p>
      <w:pPr>
        <w:pStyle w:val="BodyText"/>
        <w:rPr>
          <w:sz w:val="24"/>
        </w:rPr>
      </w:pPr>
      <w:r>
        <w:rPr/>
        <w:br w:type="column"/>
      </w:r>
      <w:r>
        <w:rPr>
          <w:sz w:val="24"/>
        </w:rPr>
      </w:r>
    </w:p>
    <w:p>
      <w:pPr>
        <w:pStyle w:val="Heading5"/>
        <w:spacing w:line="242" w:lineRule="auto"/>
        <w:ind w:left="160" w:right="415"/>
      </w:pPr>
      <w:r>
        <w:rPr>
          <w:color w:val="231F20"/>
        </w:rPr>
        <w:t>Thirty-six outside forecasters have provided the Bank with their assessments of the probabilities that they attach to various possible inflation outcomes (see Table 7.A). Overall, outside forecasters now assign a</w:t>
      </w:r>
    </w:p>
    <w:p>
      <w:pPr>
        <w:spacing w:line="242" w:lineRule="auto" w:before="5"/>
        <w:ind w:left="160" w:right="211" w:firstLine="0"/>
        <w:jc w:val="left"/>
        <w:rPr>
          <w:sz w:val="24"/>
        </w:rPr>
      </w:pPr>
      <w:r>
        <w:rPr>
          <w:color w:val="231F20"/>
          <w:sz w:val="24"/>
        </w:rPr>
        <w:t>64% probability to inflation being above the target in </w:t>
      </w:r>
      <w:r>
        <w:rPr>
          <w:color w:val="231F20"/>
          <w:spacing w:val="-5"/>
          <w:sz w:val="24"/>
        </w:rPr>
        <w:t>the </w:t>
      </w:r>
      <w:r>
        <w:rPr>
          <w:color w:val="231F20"/>
          <w:sz w:val="24"/>
        </w:rPr>
        <w:t>fourth quarter of 1998, and a 36% probability to it being </w:t>
      </w:r>
      <w:r>
        <w:rPr>
          <w:color w:val="231F20"/>
          <w:spacing w:val="-4"/>
          <w:sz w:val="24"/>
        </w:rPr>
        <w:t>below.  </w:t>
      </w:r>
      <w:r>
        <w:rPr>
          <w:color w:val="231F20"/>
          <w:sz w:val="24"/>
        </w:rPr>
        <w:t>This is little changed since the time of the August </w:t>
      </w:r>
      <w:r>
        <w:rPr>
          <w:i/>
          <w:color w:val="231F20"/>
          <w:sz w:val="24"/>
        </w:rPr>
        <w:t>Report</w:t>
      </w:r>
      <w:r>
        <w:rPr>
          <w:color w:val="231F20"/>
          <w:sz w:val="24"/>
        </w:rPr>
        <w:t>. Chart 7.8 shows </w:t>
      </w:r>
      <w:r>
        <w:rPr>
          <w:color w:val="231F20"/>
          <w:spacing w:val="-3"/>
          <w:sz w:val="24"/>
        </w:rPr>
        <w:t>how </w:t>
      </w:r>
      <w:r>
        <w:rPr>
          <w:color w:val="231F20"/>
          <w:sz w:val="24"/>
        </w:rPr>
        <w:t>the outside forecasters’ distributions for inflation outcomes</w:t>
      </w:r>
      <w:r>
        <w:rPr>
          <w:color w:val="231F20"/>
          <w:spacing w:val="-4"/>
          <w:sz w:val="24"/>
        </w:rPr>
        <w:t> </w:t>
      </w:r>
      <w:r>
        <w:rPr>
          <w:color w:val="231F20"/>
          <w:sz w:val="24"/>
        </w:rPr>
        <w:t>in</w:t>
      </w:r>
    </w:p>
    <w:p>
      <w:pPr>
        <w:spacing w:line="242" w:lineRule="auto" w:before="7"/>
        <w:ind w:left="160" w:right="156" w:firstLine="0"/>
        <w:jc w:val="left"/>
        <w:rPr>
          <w:sz w:val="24"/>
        </w:rPr>
      </w:pPr>
      <w:r>
        <w:rPr>
          <w:color w:val="231F20"/>
          <w:sz w:val="24"/>
        </w:rPr>
        <w:t>1998 Q4 have evolved during the past year. Not surprisingly, the distribution has become slightly narrower as 1998 Q4 approaches, and shifted to the left as the outside forecasters’ central projections fell slightly through the first half of 1997.</w:t>
      </w:r>
    </w:p>
    <w:p>
      <w:pPr>
        <w:pStyle w:val="BodyText"/>
        <w:spacing w:before="10"/>
        <w:rPr>
          <w:sz w:val="24"/>
        </w:rPr>
      </w:pPr>
    </w:p>
    <w:p>
      <w:pPr>
        <w:spacing w:line="242" w:lineRule="auto" w:before="1"/>
        <w:ind w:left="160" w:right="164" w:firstLine="0"/>
        <w:jc w:val="left"/>
        <w:rPr>
          <w:sz w:val="24"/>
        </w:rPr>
      </w:pPr>
      <w:r>
        <w:rPr>
          <w:color w:val="231F20"/>
          <w:sz w:val="24"/>
        </w:rPr>
        <w:t>The Merrill Lynch-Gallup Survey of inflation expectations (see </w:t>
      </w:r>
      <w:r>
        <w:rPr>
          <w:color w:val="231F20"/>
          <w:spacing w:val="-4"/>
          <w:sz w:val="24"/>
        </w:rPr>
        <w:t>Table </w:t>
      </w:r>
      <w:r>
        <w:rPr>
          <w:color w:val="231F20"/>
          <w:sz w:val="24"/>
        </w:rPr>
        <w:t>7.B) shows slightly higher expectations for inflation at the end of 1997 than at the time of the August </w:t>
      </w:r>
      <w:r>
        <w:rPr>
          <w:i/>
          <w:color w:val="231F20"/>
          <w:sz w:val="24"/>
        </w:rPr>
        <w:t>Report, </w:t>
      </w:r>
      <w:r>
        <w:rPr>
          <w:color w:val="231F20"/>
          <w:sz w:val="24"/>
        </w:rPr>
        <w:t>and slightly lower expectations for inflation in December 1998. This </w:t>
      </w:r>
      <w:r>
        <w:rPr>
          <w:color w:val="231F20"/>
          <w:spacing w:val="-4"/>
          <w:sz w:val="24"/>
        </w:rPr>
        <w:t>seems </w:t>
      </w:r>
      <w:r>
        <w:rPr>
          <w:color w:val="231F20"/>
          <w:sz w:val="24"/>
        </w:rPr>
        <w:t>broadly consistent with the outside forecasts surveyed by the Bank. The evidence from the Barclays Basix Survey (see </w:t>
      </w:r>
      <w:r>
        <w:rPr>
          <w:color w:val="231F20"/>
          <w:spacing w:val="-4"/>
          <w:sz w:val="24"/>
        </w:rPr>
        <w:t>Table </w:t>
      </w:r>
      <w:r>
        <w:rPr>
          <w:color w:val="231F20"/>
          <w:sz w:val="24"/>
        </w:rPr>
        <w:t>7.C) suggests slightly higher inflation both one and two years</w:t>
      </w:r>
      <w:r>
        <w:rPr>
          <w:color w:val="231F20"/>
          <w:spacing w:val="-1"/>
          <w:sz w:val="24"/>
        </w:rPr>
        <w:t> </w:t>
      </w:r>
      <w:r>
        <w:rPr>
          <w:color w:val="231F20"/>
          <w:sz w:val="24"/>
        </w:rPr>
        <w:t>ahead.</w:t>
      </w:r>
    </w:p>
    <w:p>
      <w:pPr>
        <w:pStyle w:val="BodyText"/>
        <w:spacing w:before="4"/>
        <w:rPr>
          <w:sz w:val="25"/>
        </w:rPr>
      </w:pPr>
    </w:p>
    <w:p>
      <w:pPr>
        <w:spacing w:line="242" w:lineRule="auto" w:before="0"/>
        <w:ind w:left="160" w:right="0" w:hanging="1"/>
        <w:jc w:val="left"/>
        <w:rPr>
          <w:sz w:val="24"/>
        </w:rPr>
      </w:pPr>
      <w:hyperlink w:history="true" w:anchor="_bookmark4">
        <w:r>
          <w:rPr>
            <w:color w:val="231F20"/>
            <w:sz w:val="24"/>
          </w:rPr>
          <w:t>As discussed in Section 2,</w:t>
        </w:r>
      </w:hyperlink>
      <w:r>
        <w:rPr>
          <w:color w:val="231F20"/>
          <w:sz w:val="24"/>
        </w:rPr>
        <w:t> longer-term market inflation expectations, derived by comparing conventional and</w:t>
      </w:r>
    </w:p>
    <w:p>
      <w:pPr>
        <w:spacing w:after="0" w:line="242" w:lineRule="auto"/>
        <w:jc w:val="left"/>
        <w:rPr>
          <w:sz w:val="24"/>
        </w:rPr>
        <w:sectPr>
          <w:type w:val="continuous"/>
          <w:pgSz w:w="11880" w:h="16840"/>
          <w:pgMar w:top="1040" w:bottom="280" w:left="640" w:right="620"/>
          <w:cols w:num="2" w:equalWidth="0">
            <w:col w:w="4468" w:space="331"/>
            <w:col w:w="5821"/>
          </w:cols>
        </w:sectPr>
      </w:pPr>
    </w:p>
    <w:p>
      <w:pPr>
        <w:pStyle w:val="BodyText"/>
        <w:rPr>
          <w:sz w:val="20"/>
        </w:rPr>
      </w:pPr>
    </w:p>
    <w:p>
      <w:pPr>
        <w:spacing w:after="0"/>
        <w:rPr>
          <w:sz w:val="20"/>
        </w:rPr>
        <w:sectPr>
          <w:pgSz w:w="11880" w:h="16840"/>
          <w:pgMar w:header="586" w:footer="597" w:top="780" w:bottom="780" w:left="640" w:right="620"/>
        </w:sectPr>
      </w:pPr>
    </w:p>
    <w:p>
      <w:pPr>
        <w:pStyle w:val="BodyText"/>
        <w:spacing w:before="6"/>
        <w:rPr>
          <w:sz w:val="20"/>
        </w:rPr>
      </w:pPr>
    </w:p>
    <w:p>
      <w:pPr>
        <w:pStyle w:val="Heading9"/>
        <w:spacing w:before="0"/>
      </w:pPr>
      <w:bookmarkStart w:name="Conclusions" w:id="95"/>
      <w:bookmarkEnd w:id="95"/>
      <w:r>
        <w:rPr>
          <w:b w:val="0"/>
        </w:rPr>
      </w:r>
      <w:bookmarkStart w:name="_bookmark43" w:id="96"/>
      <w:bookmarkEnd w:id="96"/>
      <w:r>
        <w:rPr>
          <w:b w:val="0"/>
        </w:rPr>
      </w:r>
      <w:r>
        <w:rPr>
          <w:color w:val="0093C1"/>
        </w:rPr>
        <w:t>Chart 7.8</w:t>
      </w:r>
    </w:p>
    <w:p>
      <w:pPr>
        <w:spacing w:before="10"/>
        <w:ind w:left="180" w:right="0" w:firstLine="0"/>
        <w:jc w:val="left"/>
        <w:rPr>
          <w:b/>
          <w:sz w:val="20"/>
        </w:rPr>
      </w:pPr>
      <w:r>
        <w:rPr>
          <w:b/>
          <w:color w:val="0093C1"/>
          <w:sz w:val="20"/>
        </w:rPr>
        <w:t>Expected RPIX inflation for 1998 Q4</w:t>
      </w:r>
    </w:p>
    <w:p>
      <w:pPr>
        <w:spacing w:line="204" w:lineRule="auto" w:before="113"/>
        <w:ind w:left="2610" w:right="0" w:firstLine="0"/>
        <w:jc w:val="left"/>
        <w:rPr>
          <w:sz w:val="12"/>
        </w:rPr>
      </w:pPr>
      <w:r>
        <w:rPr/>
        <w:pict>
          <v:line style="position:absolute;mso-position-horizontal-relative:page;mso-position-vertical-relative:paragraph;z-index:16121856" from="50.5pt,13.361328pt" to="45.5pt,13.361328pt" stroked="true" strokeweight=".5pt" strokecolor="#000000">
            <v:stroke dashstyle="solid"/>
            <w10:wrap type="none"/>
          </v:line>
        </w:pict>
      </w:r>
      <w:r>
        <w:rPr/>
        <w:pict>
          <v:line style="position:absolute;mso-position-horizontal-relative:page;mso-position-vertical-relative:paragraph;z-index:16122368" from="210.5pt,13.361328pt" to="205.5pt,13.361328pt" stroked="true" strokeweight=".5pt" strokecolor="#000000">
            <v:stroke dashstyle="solid"/>
            <w10:wrap type="none"/>
          </v:line>
        </w:pict>
      </w:r>
      <w:r>
        <w:rPr>
          <w:sz w:val="12"/>
        </w:rPr>
        <w:t>Probability, per cent </w:t>
      </w:r>
      <w:r>
        <w:rPr>
          <w:position w:val="-5"/>
          <w:sz w:val="12"/>
        </w:rPr>
        <w:t>60</w:t>
      </w:r>
    </w:p>
    <w:p>
      <w:pPr>
        <w:pStyle w:val="Heading5"/>
        <w:spacing w:line="242" w:lineRule="auto" w:before="207"/>
        <w:ind w:hanging="1"/>
      </w:pPr>
      <w:r>
        <w:rPr/>
        <w:br w:type="column"/>
      </w:r>
      <w:r>
        <w:rPr>
          <w:color w:val="231F20"/>
        </w:rPr>
        <w:t>index-linked government bond prices, have fallen at maturities of three, five and ten years since the August </w:t>
      </w:r>
      <w:r>
        <w:rPr>
          <w:i/>
          <w:color w:val="231F20"/>
        </w:rPr>
        <w:t>Report </w:t>
      </w:r>
      <w:r>
        <w:rPr>
          <w:color w:val="231F20"/>
        </w:rPr>
        <w:t>(see Chart 7.9). Nonetheless, these expectations</w:t>
      </w:r>
    </w:p>
    <w:p>
      <w:pPr>
        <w:spacing w:after="0" w:line="242" w:lineRule="auto"/>
        <w:sectPr>
          <w:type w:val="continuous"/>
          <w:pgSz w:w="11880" w:h="16840"/>
          <w:pgMar w:top="1040" w:bottom="280" w:left="640" w:right="620"/>
          <w:cols w:num="2" w:equalWidth="0">
            <w:col w:w="3781" w:space="1009"/>
            <w:col w:w="5830"/>
          </w:cols>
        </w:sectPr>
      </w:pPr>
    </w:p>
    <w:p>
      <w:pPr>
        <w:spacing w:line="86" w:lineRule="exact" w:before="0"/>
        <w:ind w:left="440" w:right="0" w:firstLine="0"/>
        <w:jc w:val="left"/>
        <w:rPr>
          <w:sz w:val="12"/>
        </w:rPr>
      </w:pPr>
      <w:r>
        <w:rPr/>
        <w:pict>
          <v:group style="position:absolute;margin-left:45.5pt;margin-top:8.270059pt;width:165pt;height:63.5pt;mso-position-horizontal-relative:page;mso-position-vertical-relative:paragraph;z-index:-20616704" coordorigin="910,165" coordsize="3300,1270">
            <v:line style="position:absolute" from="1010,1430" to="910,1430" stroked="true" strokeweight=".5pt" strokecolor="#000000">
              <v:stroke dashstyle="solid"/>
            </v:line>
            <v:shape style="position:absolute;left:1050;top:1427;width:3020;height:5" coordorigin="1050,1428" coordsize="3020,5" path="m1050,1428l2410,1428m2710,1428l3010,1428m3310,1428l3610,1428m3910,1428l4070,1428m1050,1433l4070,1433e" filled="false" stroked="true" strokeweight=".25pt" strokecolor="#000000">
              <v:path arrowok="t"/>
              <v:stroke dashstyle="solid"/>
            </v:shape>
            <v:rect style="position:absolute;left:1210;top:1350;width:300;height:80" filled="true" fillcolor="#0099d8" stroked="false">
              <v:fill type="solid"/>
            </v:rect>
            <v:rect style="position:absolute;left:1210;top:1350;width:300;height:80" filled="false" stroked="true" strokeweight=".5pt" strokecolor="#000000">
              <v:stroke dashstyle="solid"/>
            </v:rect>
            <v:rect style="position:absolute;left:1810;top:830;width:300;height:600" filled="true" fillcolor="#0099d8" stroked="false">
              <v:fill type="solid"/>
            </v:rect>
            <v:rect style="position:absolute;left:1810;top:830;width:300;height:600" filled="false" stroked="true" strokeweight=".5pt" strokecolor="#000000">
              <v:stroke dashstyle="solid"/>
            </v:rect>
            <v:rect style="position:absolute;left:2410;top:250;width:300;height:1180" filled="true" fillcolor="#0099d8" stroked="false">
              <v:fill type="solid"/>
            </v:rect>
            <v:rect style="position:absolute;left:2410;top:250;width:300;height:1180" filled="false" stroked="true" strokeweight=".5pt" strokecolor="#000000">
              <v:stroke dashstyle="solid"/>
            </v:rect>
            <v:rect style="position:absolute;left:3010;top:930;width:300;height:500" filled="true" fillcolor="#0099d8" stroked="false">
              <v:fill type="solid"/>
            </v:rect>
            <v:rect style="position:absolute;left:3010;top:930;width:300;height:500" filled="false" stroked="true" strokeweight=".5pt" strokecolor="#000000">
              <v:stroke dashstyle="solid"/>
            </v:rect>
            <v:rect style="position:absolute;left:3610;top:1310;width:300;height:120" filled="true" fillcolor="#0099d8" stroked="false">
              <v:fill type="solid"/>
            </v:rect>
            <v:rect style="position:absolute;left:3610;top:1310;width:300;height:120" filled="false" stroked="true" strokeweight=".5pt" strokecolor="#000000">
              <v:stroke dashstyle="solid"/>
            </v:rect>
            <v:shape style="position:absolute;left:4110;top:170;width:100;height:1260" coordorigin="4110,170" coordsize="100,1260" path="m4210,1430l4110,1430m4210,1170l4110,1170m4210,930l4110,930m4210,670l4110,670m4210,430l4110,430m4210,170l4110,170e" filled="false" stroked="true" strokeweight=".5pt" strokecolor="#000000">
              <v:path arrowok="t"/>
              <v:stroke dashstyle="solid"/>
            </v:shape>
            <w10:wrap type="none"/>
          </v:group>
        </w:pict>
      </w:r>
      <w:r>
        <w:rPr/>
        <w:pict>
          <v:group style="position:absolute;margin-left:45.5pt;margin-top:94.270058pt;width:165pt;height:63.5pt;mso-position-horizontal-relative:page;mso-position-vertical-relative:paragraph;z-index:-20615168" coordorigin="910,1885" coordsize="3300,1270">
            <v:line style="position:absolute" from="1010,3150" to="910,3150" stroked="true" strokeweight=".5pt" strokecolor="#000000">
              <v:stroke dashstyle="solid"/>
            </v:line>
            <v:shape style="position:absolute;left:1050;top:3147;width:3020;height:5" coordorigin="1050,3148" coordsize="3020,5" path="m1050,3148l1810,3148m2110,3148l2410,3148m2710,3148l3010,3148m3310,3148l3610,3148m3910,3148l4070,3148m1050,3153l4070,3153e" filled="false" stroked="true" strokeweight=".25pt" strokecolor="#000000">
              <v:path arrowok="t"/>
              <v:stroke dashstyle="solid"/>
            </v:shape>
            <v:rect style="position:absolute;left:1210;top:3050;width:300;height:100" filled="true" fillcolor="#faab54" stroked="false">
              <v:fill type="solid"/>
            </v:rect>
            <v:rect style="position:absolute;left:1210;top:3050;width:300;height:100" filled="false" stroked="true" strokeweight=".5pt" strokecolor="#000000">
              <v:stroke dashstyle="solid"/>
            </v:rect>
            <v:rect style="position:absolute;left:1810;top:2510;width:300;height:640" filled="true" fillcolor="#faab54" stroked="false">
              <v:fill type="solid"/>
            </v:rect>
            <v:rect style="position:absolute;left:1810;top:2510;width:300;height:640" filled="false" stroked="true" strokeweight=".5pt" strokecolor="#000000">
              <v:stroke dashstyle="solid"/>
            </v:rect>
            <v:rect style="position:absolute;left:2410;top:1890;width:300;height:1260" filled="true" fillcolor="#faab54" stroked="false">
              <v:fill type="solid"/>
            </v:rect>
            <v:rect style="position:absolute;left:2410;top:1890;width:300;height:1260" filled="false" stroked="true" strokeweight=".5pt" strokecolor="#000000">
              <v:stroke dashstyle="solid"/>
            </v:rect>
            <v:rect style="position:absolute;left:3010;top:2710;width:300;height:440" filled="true" fillcolor="#faab54" stroked="false">
              <v:fill type="solid"/>
            </v:rect>
            <v:rect style="position:absolute;left:3010;top:2710;width:300;height:440" filled="false" stroked="true" strokeweight=".5pt" strokecolor="#000000">
              <v:stroke dashstyle="solid"/>
            </v:rect>
            <v:rect style="position:absolute;left:3610;top:3010;width:300;height:140" filled="true" fillcolor="#faab54" stroked="false">
              <v:fill type="solid"/>
            </v:rect>
            <v:rect style="position:absolute;left:3610;top:3010;width:300;height:140" filled="false" stroked="true" strokeweight=".5pt" strokecolor="#000000">
              <v:stroke dashstyle="solid"/>
            </v:rect>
            <v:shape style="position:absolute;left:4110;top:1890;width:100;height:1260" coordorigin="4110,1890" coordsize="100,1260" path="m4210,3150l4110,3150m4210,2890l4110,2890m4210,2650l4110,2650m4210,2390l4110,2390m4210,2150l4110,2150m4210,1890l4110,1890e" filled="false" stroked="true" strokeweight=".5pt" strokecolor="#000000">
              <v:path arrowok="t"/>
              <v:stroke dashstyle="solid"/>
            </v:shape>
            <w10:wrap type="none"/>
          </v:group>
        </w:pict>
      </w:r>
      <w:r>
        <w:rPr/>
        <w:pict>
          <v:group style="position:absolute;margin-left:45.5pt;margin-top:179.270065pt;width:165pt;height:62.5pt;mso-position-horizontal-relative:page;mso-position-vertical-relative:paragraph;z-index:-20614144" coordorigin="910,3585" coordsize="3300,1250">
            <v:line style="position:absolute" from="1010,4830" to="910,4830" stroked="true" strokeweight=".5pt" strokecolor="#000000">
              <v:stroke dashstyle="solid"/>
            </v:line>
            <v:shape style="position:absolute;left:1050;top:4827;width:3020;height:5" coordorigin="1050,4828" coordsize="3020,5" path="m1050,4828l1810,4828m2110,4828l2410,4828m2710,4828l3010,4828m3310,4828l3610,4828m3910,4828l4070,4828m1050,4833l4070,4833e" filled="false" stroked="true" strokeweight=".25pt" strokecolor="#000000">
              <v:path arrowok="t"/>
              <v:stroke dashstyle="solid"/>
            </v:shape>
            <v:rect style="position:absolute;left:1210;top:4710;width:300;height:120" filled="true" fillcolor="#0066a5" stroked="false">
              <v:fill type="solid"/>
            </v:rect>
            <v:rect style="position:absolute;left:1210;top:4710;width:300;height:120" filled="false" stroked="true" strokeweight=".5pt" strokecolor="#000000">
              <v:stroke dashstyle="solid"/>
            </v:rect>
            <v:rect style="position:absolute;left:1810;top:4090;width:300;height:740" filled="true" fillcolor="#0066a5" stroked="false">
              <v:fill type="solid"/>
            </v:rect>
            <v:rect style="position:absolute;left:1810;top:4090;width:300;height:740" filled="false" stroked="true" strokeweight=".5pt" strokecolor="#000000">
              <v:stroke dashstyle="solid"/>
            </v:rect>
            <v:rect style="position:absolute;left:2410;top:3630;width:300;height:1200" filled="true" fillcolor="#0066a5" stroked="false">
              <v:fill type="solid"/>
            </v:rect>
            <v:rect style="position:absolute;left:2410;top:3630;width:300;height:1200" filled="false" stroked="true" strokeweight=".5pt" strokecolor="#000000">
              <v:stroke dashstyle="solid"/>
            </v:rect>
            <v:rect style="position:absolute;left:3010;top:4490;width:300;height:340" filled="true" fillcolor="#0066a5" stroked="false">
              <v:fill type="solid"/>
            </v:rect>
            <v:rect style="position:absolute;left:3010;top:4490;width:300;height:340" filled="false" stroked="true" strokeweight=".5pt" strokecolor="#000000">
              <v:stroke dashstyle="solid"/>
            </v:rect>
            <v:rect style="position:absolute;left:3610;top:4730;width:300;height:100" filled="true" fillcolor="#0066a5" stroked="false">
              <v:fill type="solid"/>
            </v:rect>
            <v:rect style="position:absolute;left:3610;top:4730;width:300;height:100" filled="false" stroked="true" strokeweight=".5pt" strokecolor="#000000">
              <v:stroke dashstyle="solid"/>
            </v:rect>
            <v:shape style="position:absolute;left:4110;top:3590;width:100;height:1240" coordorigin="4110,3590" coordsize="100,1240" path="m4210,4830l4110,4830m4210,4590l4110,4590m4210,4330l4110,4330m4210,4090l4110,4090m4210,3830l4110,3830m4210,3590l4110,3590e" filled="false" stroked="true" strokeweight=".5pt" strokecolor="#000000">
              <v:path arrowok="t"/>
              <v:stroke dashstyle="solid"/>
            </v:shape>
            <w10:wrap type="none"/>
          </v:group>
        </w:pict>
      </w:r>
      <w:r>
        <w:rPr>
          <w:sz w:val="12"/>
        </w:rPr>
        <w:t>Feb. 97 (a)</w:t>
      </w:r>
    </w:p>
    <w:p>
      <w:pPr>
        <w:pStyle w:val="BodyText"/>
        <w:spacing w:before="10"/>
        <w:rPr>
          <w:sz w:val="6"/>
        </w:rPr>
      </w:pPr>
    </w:p>
    <w:p>
      <w:pPr>
        <w:pStyle w:val="BodyText"/>
        <w:spacing w:line="20" w:lineRule="exact"/>
        <w:ind w:left="2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sz w:val="17"/>
        </w:rPr>
      </w:pPr>
      <w:r>
        <w:rPr/>
        <w:pict>
          <v:shape style="position:absolute;margin-left:45.5pt;margin-top:12.252441pt;width:5pt;height:.1pt;mso-position-horizontal-relative:page;mso-position-vertical-relative:paragraph;z-index:-15347712;mso-wrap-distance-left:0;mso-wrap-distance-right:0" coordorigin="910,245" coordsize="100,0" path="m1010,245l910,245e" filled="false" stroked="true" strokeweight=".5pt" strokecolor="#000000">
            <v:path arrowok="t"/>
            <v:stroke dashstyle="solid"/>
            <w10:wrap type="topAndBottom"/>
          </v:shape>
        </w:pict>
      </w:r>
      <w:r>
        <w:rPr/>
        <w:pict>
          <v:shape style="position:absolute;margin-left:45.5pt;margin-top:24.252441pt;width:5pt;height:.1pt;mso-position-horizontal-relative:page;mso-position-vertical-relative:paragraph;z-index:-15347200;mso-wrap-distance-left:0;mso-wrap-distance-right:0" coordorigin="910,485" coordsize="100,0" path="m1010,485l910,485e" filled="false" stroked="true" strokeweight=".5pt" strokecolor="#000000">
            <v:path arrowok="t"/>
            <v:stroke dashstyle="solid"/>
            <w10:wrap type="topAndBottom"/>
          </v:shape>
        </w:pict>
      </w:r>
      <w:r>
        <w:rPr/>
        <w:pict>
          <v:shape style="position:absolute;margin-left:45.5pt;margin-top:37.252441pt;width:5pt;height:.1pt;mso-position-horizontal-relative:page;mso-position-vertical-relative:paragraph;z-index:-15346688;mso-wrap-distance-left:0;mso-wrap-distance-right:0" coordorigin="910,745" coordsize="100,0" path="m1010,745l910,745e" filled="false" stroked="true" strokeweight=".5pt" strokecolor="#000000">
            <v:path arrowok="t"/>
            <v:stroke dashstyle="solid"/>
            <w10:wrap type="topAndBottom"/>
          </v:shape>
        </w:pict>
      </w:r>
      <w:r>
        <w:rPr/>
        <w:pict>
          <v:shape style="position:absolute;margin-left:45.5pt;margin-top:49.252441pt;width:5pt;height:.1pt;mso-position-horizontal-relative:page;mso-position-vertical-relative:paragraph;z-index:-15346176;mso-wrap-distance-left:0;mso-wrap-distance-right:0" coordorigin="910,985" coordsize="100,0" path="m1010,985l910,985e" filled="false" stroked="true" strokeweight=".5pt" strokecolor="#000000">
            <v:path arrowok="t"/>
            <v:stroke dashstyle="solid"/>
            <w10:wrap type="topAndBottom"/>
          </v:shape>
        </w:pict>
      </w:r>
    </w:p>
    <w:p>
      <w:pPr>
        <w:pStyle w:val="BodyText"/>
        <w:spacing w:before="1"/>
        <w:rPr>
          <w:sz w:val="14"/>
        </w:rPr>
      </w:pPr>
    </w:p>
    <w:p>
      <w:pPr>
        <w:pStyle w:val="BodyText"/>
        <w:spacing w:before="9"/>
        <w:rPr>
          <w:sz w:val="15"/>
        </w:rPr>
      </w:pPr>
    </w:p>
    <w:p>
      <w:pPr>
        <w:pStyle w:val="BodyText"/>
        <w:spacing w:before="1"/>
        <w:rPr>
          <w:sz w:val="14"/>
        </w:rPr>
      </w:pPr>
    </w:p>
    <w:p>
      <w:pPr>
        <w:pStyle w:val="BodyText"/>
        <w:rPr>
          <w:sz w:val="20"/>
        </w:rPr>
      </w:pPr>
    </w:p>
    <w:p>
      <w:pPr>
        <w:pStyle w:val="BodyText"/>
        <w:spacing w:before="11"/>
        <w:rPr>
          <w:sz w:val="14"/>
        </w:rPr>
      </w:pPr>
      <w:r>
        <w:rPr/>
        <w:pict>
          <v:shape style="position:absolute;margin-left:45.5pt;margin-top:10.800977pt;width:5pt;height:.1pt;mso-position-horizontal-relative:page;mso-position-vertical-relative:paragraph;z-index:-15345664;mso-wrap-distance-left:0;mso-wrap-distance-right:0" coordorigin="910,216" coordsize="100,0" path="m1010,216l910,216e" filled="false" stroked="true" strokeweight=".5pt" strokecolor="#000000">
            <v:path arrowok="t"/>
            <v:stroke dashstyle="solid"/>
            <w10:wrap type="topAndBottom"/>
          </v:shape>
        </w:pict>
      </w:r>
    </w:p>
    <w:p>
      <w:pPr>
        <w:spacing w:before="0"/>
        <w:ind w:left="440" w:right="0" w:firstLine="0"/>
        <w:jc w:val="left"/>
        <w:rPr>
          <w:sz w:val="12"/>
        </w:rPr>
      </w:pPr>
      <w:r>
        <w:rPr>
          <w:sz w:val="12"/>
        </w:rPr>
        <w:t>May 97 (a)</w:t>
      </w:r>
    </w:p>
    <w:p>
      <w:pPr>
        <w:pStyle w:val="BodyText"/>
        <w:spacing w:before="10"/>
        <w:rPr>
          <w:sz w:val="6"/>
        </w:rPr>
      </w:pPr>
    </w:p>
    <w:p>
      <w:pPr>
        <w:pStyle w:val="BodyText"/>
        <w:spacing w:line="20" w:lineRule="exact"/>
        <w:ind w:left="2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sz w:val="17"/>
        </w:rPr>
      </w:pPr>
      <w:r>
        <w:rPr/>
        <w:pict>
          <v:shape style="position:absolute;margin-left:45.5pt;margin-top:12.252441pt;width:5pt;height:.1pt;mso-position-horizontal-relative:page;mso-position-vertical-relative:paragraph;z-index:-15344640;mso-wrap-distance-left:0;mso-wrap-distance-right:0" coordorigin="910,245" coordsize="100,0" path="m1010,245l910,245e" filled="false" stroked="true" strokeweight=".5pt" strokecolor="#000000">
            <v:path arrowok="t"/>
            <v:stroke dashstyle="solid"/>
            <w10:wrap type="topAndBottom"/>
          </v:shape>
        </w:pict>
      </w:r>
      <w:r>
        <w:rPr/>
        <w:pict>
          <v:shape style="position:absolute;margin-left:45.5pt;margin-top:24.252441pt;width:5pt;height:.1pt;mso-position-horizontal-relative:page;mso-position-vertical-relative:paragraph;z-index:-15344128;mso-wrap-distance-left:0;mso-wrap-distance-right:0" coordorigin="910,485" coordsize="100,0" path="m1010,485l910,485e" filled="false" stroked="true" strokeweight=".5pt" strokecolor="#000000">
            <v:path arrowok="t"/>
            <v:stroke dashstyle="solid"/>
            <w10:wrap type="topAndBottom"/>
          </v:shape>
        </w:pict>
      </w:r>
      <w:r>
        <w:rPr/>
        <w:pict>
          <v:shape style="position:absolute;margin-left:45.5pt;margin-top:37.252441pt;width:5pt;height:.1pt;mso-position-horizontal-relative:page;mso-position-vertical-relative:paragraph;z-index:-15343616;mso-wrap-distance-left:0;mso-wrap-distance-right:0" coordorigin="910,745" coordsize="100,0" path="m1010,745l910,745e" filled="false" stroked="true" strokeweight=".5pt" strokecolor="#000000">
            <v:path arrowok="t"/>
            <v:stroke dashstyle="solid"/>
            <w10:wrap type="topAndBottom"/>
          </v:shape>
        </w:pict>
      </w:r>
      <w:r>
        <w:rPr/>
        <w:pict>
          <v:shape style="position:absolute;margin-left:45.5pt;margin-top:49.252441pt;width:5pt;height:.1pt;mso-position-horizontal-relative:page;mso-position-vertical-relative:paragraph;z-index:-15343104;mso-wrap-distance-left:0;mso-wrap-distance-right:0" coordorigin="910,985" coordsize="100,0" path="m1010,985l910,985e" filled="false" stroked="true" strokeweight=".5pt" strokecolor="#000000">
            <v:path arrowok="t"/>
            <v:stroke dashstyle="solid"/>
            <w10:wrap type="topAndBottom"/>
          </v:shape>
        </w:pict>
      </w:r>
    </w:p>
    <w:p>
      <w:pPr>
        <w:pStyle w:val="BodyText"/>
        <w:spacing w:before="1"/>
        <w:rPr>
          <w:sz w:val="14"/>
        </w:rPr>
      </w:pPr>
    </w:p>
    <w:p>
      <w:pPr>
        <w:pStyle w:val="BodyText"/>
        <w:spacing w:before="9"/>
        <w:rPr>
          <w:sz w:val="15"/>
        </w:rPr>
      </w:pPr>
    </w:p>
    <w:p>
      <w:pPr>
        <w:pStyle w:val="BodyText"/>
        <w:spacing w:before="1"/>
        <w:rPr>
          <w:sz w:val="14"/>
        </w:rPr>
      </w:pPr>
    </w:p>
    <w:p>
      <w:pPr>
        <w:pStyle w:val="BodyText"/>
        <w:rPr>
          <w:sz w:val="20"/>
        </w:rPr>
      </w:pPr>
    </w:p>
    <w:p>
      <w:pPr>
        <w:pStyle w:val="BodyText"/>
        <w:spacing w:before="5"/>
        <w:rPr>
          <w:sz w:val="11"/>
        </w:rPr>
      </w:pPr>
      <w:r>
        <w:rPr/>
        <w:pict>
          <v:shape style="position:absolute;margin-left:45.5pt;margin-top:8.800977pt;width:5pt;height:.1pt;mso-position-horizontal-relative:page;mso-position-vertical-relative:paragraph;z-index:-15342592;mso-wrap-distance-left:0;mso-wrap-distance-right:0" coordorigin="910,176" coordsize="100,0" path="m1010,176l910,176e" filled="false" stroked="true" strokeweight=".5pt" strokecolor="#000000">
            <v:path arrowok="t"/>
            <v:stroke dashstyle="solid"/>
            <w10:wrap type="topAndBottom"/>
          </v:shape>
        </w:pict>
      </w:r>
    </w:p>
    <w:p>
      <w:pPr>
        <w:spacing w:before="4"/>
        <w:ind w:left="440" w:right="0" w:firstLine="0"/>
        <w:jc w:val="left"/>
        <w:rPr>
          <w:sz w:val="12"/>
        </w:rPr>
      </w:pPr>
      <w:r>
        <w:rPr>
          <w:sz w:val="12"/>
        </w:rPr>
        <w:t>Aug. 97 (a)</w:t>
      </w:r>
    </w:p>
    <w:p>
      <w:pPr>
        <w:pStyle w:val="BodyText"/>
        <w:spacing w:before="10"/>
        <w:rPr>
          <w:sz w:val="6"/>
        </w:rPr>
      </w:pPr>
    </w:p>
    <w:p>
      <w:pPr>
        <w:pStyle w:val="BodyText"/>
        <w:spacing w:line="20" w:lineRule="exact"/>
        <w:ind w:left="2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15"/>
        </w:rPr>
      </w:pPr>
      <w:r>
        <w:rPr/>
        <w:pict>
          <v:shape style="position:absolute;margin-left:45.5pt;margin-top:11.250879pt;width:5pt;height:.1pt;mso-position-horizontal-relative:page;mso-position-vertical-relative:paragraph;z-index:-15341568;mso-wrap-distance-left:0;mso-wrap-distance-right:0" coordorigin="910,225" coordsize="100,0" path="m1010,225l910,225e" filled="false" stroked="true" strokeweight=".5pt" strokecolor="#000000">
            <v:path arrowok="t"/>
            <v:stroke dashstyle="solid"/>
            <w10:wrap type="topAndBottom"/>
          </v:shape>
        </w:pict>
      </w:r>
      <w:r>
        <w:rPr/>
        <w:pict>
          <v:shape style="position:absolute;margin-left:45.5pt;margin-top:24.250879pt;width:5pt;height:.1pt;mso-position-horizontal-relative:page;mso-position-vertical-relative:paragraph;z-index:-15341056;mso-wrap-distance-left:0;mso-wrap-distance-right:0" coordorigin="910,485" coordsize="100,0" path="m1010,485l910,485e" filled="false" stroked="true" strokeweight=".5pt" strokecolor="#000000">
            <v:path arrowok="t"/>
            <v:stroke dashstyle="solid"/>
            <w10:wrap type="topAndBottom"/>
          </v:shape>
        </w:pict>
      </w:r>
      <w:r>
        <w:rPr/>
        <w:pict>
          <v:shape style="position:absolute;margin-left:45.5pt;margin-top:36.250877pt;width:5pt;height:.1pt;mso-position-horizontal-relative:page;mso-position-vertical-relative:paragraph;z-index:-15340544;mso-wrap-distance-left:0;mso-wrap-distance-right:0" coordorigin="910,725" coordsize="100,0" path="m1010,725l910,725e" filled="false" stroked="true" strokeweight=".5pt" strokecolor="#000000">
            <v:path arrowok="t"/>
            <v:stroke dashstyle="solid"/>
            <w10:wrap type="topAndBottom"/>
          </v:shape>
        </w:pict>
      </w:r>
      <w:r>
        <w:rPr/>
        <w:pict>
          <v:shape style="position:absolute;margin-left:45.5pt;margin-top:49.250877pt;width:5pt;height:.1pt;mso-position-horizontal-relative:page;mso-position-vertical-relative:paragraph;z-index:-15340032;mso-wrap-distance-left:0;mso-wrap-distance-right:0" coordorigin="910,985" coordsize="100,0" path="m1010,985l910,985e" filled="false" stroked="true" strokeweight=".5pt" strokecolor="#000000">
            <v:path arrowok="t"/>
            <v:stroke dashstyle="solid"/>
            <w10:wrap type="topAndBottom"/>
          </v:shape>
        </w:pict>
      </w:r>
    </w:p>
    <w:p>
      <w:pPr>
        <w:pStyle w:val="BodyText"/>
        <w:spacing w:before="9"/>
        <w:rPr>
          <w:sz w:val="15"/>
        </w:rPr>
      </w:pPr>
    </w:p>
    <w:p>
      <w:pPr>
        <w:pStyle w:val="BodyText"/>
        <w:spacing w:before="1"/>
        <w:rPr>
          <w:sz w:val="14"/>
        </w:rPr>
      </w:pPr>
    </w:p>
    <w:p>
      <w:pPr>
        <w:pStyle w:val="BodyText"/>
        <w:spacing w:before="9"/>
        <w:rPr>
          <w:sz w:val="15"/>
        </w:rPr>
      </w:pPr>
    </w:p>
    <w:p>
      <w:pPr>
        <w:pStyle w:val="BodyText"/>
        <w:rPr>
          <w:sz w:val="20"/>
        </w:rPr>
      </w:pPr>
    </w:p>
    <w:p>
      <w:pPr>
        <w:pStyle w:val="BodyText"/>
        <w:spacing w:before="2"/>
        <w:rPr>
          <w:sz w:val="13"/>
        </w:rPr>
      </w:pPr>
      <w:r>
        <w:rPr/>
        <w:pict>
          <v:shape style="position:absolute;margin-left:45.5pt;margin-top:9.800977pt;width:5pt;height:.1pt;mso-position-horizontal-relative:page;mso-position-vertical-relative:paragraph;z-index:-15339520;mso-wrap-distance-left:0;mso-wrap-distance-right:0" coordorigin="910,196" coordsize="100,0" path="m1010,196l910,196e" filled="false" stroked="true" strokeweight=".5pt" strokecolor="#000000">
            <v:path arrowok="t"/>
            <v:stroke dashstyle="solid"/>
            <w10:wrap type="topAndBottom"/>
          </v:shape>
        </w:pict>
      </w:r>
    </w:p>
    <w:p>
      <w:pPr>
        <w:spacing w:before="0"/>
        <w:ind w:left="450" w:right="0" w:firstLine="0"/>
        <w:jc w:val="left"/>
        <w:rPr>
          <w:sz w:val="12"/>
        </w:rPr>
      </w:pPr>
      <w:r>
        <w:rPr>
          <w:sz w:val="12"/>
        </w:rPr>
        <w:t>Nov. 97 (a)</w:t>
      </w:r>
    </w:p>
    <w:p>
      <w:pPr>
        <w:pStyle w:val="BodyText"/>
        <w:spacing w:before="10"/>
        <w:rPr>
          <w:sz w:val="6"/>
        </w:rPr>
      </w:pPr>
    </w:p>
    <w:p>
      <w:pPr>
        <w:pStyle w:val="BodyText"/>
        <w:spacing w:line="20" w:lineRule="exact"/>
        <w:ind w:left="2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sz w:val="17"/>
        </w:rPr>
      </w:pPr>
      <w:r>
        <w:rPr/>
        <w:pict>
          <v:shape style="position:absolute;margin-left:45.5pt;margin-top:12.252441pt;width:5pt;height:.1pt;mso-position-horizontal-relative:page;mso-position-vertical-relative:paragraph;z-index:-15338496;mso-wrap-distance-left:0;mso-wrap-distance-right:0" coordorigin="910,245" coordsize="100,0" path="m1010,245l910,245e" filled="false" stroked="true" strokeweight=".5pt" strokecolor="#000000">
            <v:path arrowok="t"/>
            <v:stroke dashstyle="solid"/>
            <w10:wrap type="topAndBottom"/>
          </v:shape>
        </w:pict>
      </w:r>
      <w:r>
        <w:rPr/>
        <w:pict>
          <v:shape style="position:absolute;margin-left:45.5pt;margin-top:24.252441pt;width:5pt;height:.1pt;mso-position-horizontal-relative:page;mso-position-vertical-relative:paragraph;z-index:-15337984;mso-wrap-distance-left:0;mso-wrap-distance-right:0" coordorigin="910,485" coordsize="100,0" path="m1010,485l910,485e" filled="false" stroked="true" strokeweight=".5pt" strokecolor="#000000">
            <v:path arrowok="t"/>
            <v:stroke dashstyle="solid"/>
            <w10:wrap type="topAndBottom"/>
          </v:shape>
        </w:pict>
      </w:r>
      <w:r>
        <w:rPr/>
        <w:pict>
          <v:shape style="position:absolute;margin-left:45.5pt;margin-top:37.252441pt;width:5pt;height:.1pt;mso-position-horizontal-relative:page;mso-position-vertical-relative:paragraph;z-index:-15337472;mso-wrap-distance-left:0;mso-wrap-distance-right:0" coordorigin="910,745" coordsize="100,0" path="m1010,745l910,745e" filled="false" stroked="true" strokeweight=".5pt" strokecolor="#000000">
            <v:path arrowok="t"/>
            <v:stroke dashstyle="solid"/>
            <w10:wrap type="topAndBottom"/>
          </v:shape>
        </w:pict>
      </w:r>
      <w:r>
        <w:rPr/>
        <w:pict>
          <v:shape style="position:absolute;margin-left:45.5pt;margin-top:50.252441pt;width:5pt;height:.1pt;mso-position-horizontal-relative:page;mso-position-vertical-relative:paragraph;z-index:-15336960;mso-wrap-distance-left:0;mso-wrap-distance-right:0" coordorigin="910,1005" coordsize="100,0" path="m1010,1005l910,1005e" filled="false" stroked="true" strokeweight=".5pt" strokecolor="#000000">
            <v:path arrowok="t"/>
            <v:stroke dashstyle="solid"/>
            <w10:wrap type="topAndBottom"/>
          </v:shape>
        </w:pict>
      </w:r>
    </w:p>
    <w:p>
      <w:pPr>
        <w:pStyle w:val="BodyText"/>
        <w:spacing w:before="1"/>
        <w:rPr>
          <w:sz w:val="14"/>
        </w:rPr>
      </w:pPr>
    </w:p>
    <w:p>
      <w:pPr>
        <w:pStyle w:val="BodyText"/>
        <w:spacing w:before="9"/>
        <w:rPr>
          <w:sz w:val="15"/>
        </w:rPr>
      </w:pPr>
    </w:p>
    <w:p>
      <w:pPr>
        <w:pStyle w:val="BodyText"/>
        <w:spacing w:before="9"/>
        <w:rPr>
          <w:sz w:val="15"/>
        </w:rPr>
      </w:pPr>
    </w:p>
    <w:p>
      <w:pPr>
        <w:spacing w:before="88"/>
        <w:ind w:left="0" w:right="38" w:firstLine="0"/>
        <w:jc w:val="right"/>
        <w:rPr>
          <w:sz w:val="12"/>
        </w:rPr>
      </w:pPr>
      <w:r>
        <w:rPr/>
        <w:br w:type="column"/>
      </w:r>
      <w:r>
        <w:rPr>
          <w:sz w:val="12"/>
        </w:rPr>
        <w:t>50</w:t>
      </w:r>
    </w:p>
    <w:p>
      <w:pPr>
        <w:spacing w:before="102"/>
        <w:ind w:left="0" w:right="38" w:firstLine="0"/>
        <w:jc w:val="right"/>
        <w:rPr>
          <w:sz w:val="12"/>
        </w:rPr>
      </w:pPr>
      <w:r>
        <w:rPr>
          <w:sz w:val="12"/>
        </w:rPr>
        <w:t>40</w:t>
      </w:r>
    </w:p>
    <w:p>
      <w:pPr>
        <w:pStyle w:val="BodyText"/>
        <w:spacing w:before="7"/>
        <w:rPr>
          <w:sz w:val="10"/>
        </w:rPr>
      </w:pPr>
    </w:p>
    <w:p>
      <w:pPr>
        <w:spacing w:before="0"/>
        <w:ind w:left="0" w:right="38" w:firstLine="0"/>
        <w:jc w:val="right"/>
        <w:rPr>
          <w:sz w:val="12"/>
        </w:rPr>
      </w:pPr>
      <w:r>
        <w:rPr>
          <w:sz w:val="12"/>
        </w:rPr>
        <w:t>30</w:t>
      </w:r>
    </w:p>
    <w:p>
      <w:pPr>
        <w:spacing w:before="102"/>
        <w:ind w:left="0" w:right="38" w:firstLine="0"/>
        <w:jc w:val="right"/>
        <w:rPr>
          <w:sz w:val="12"/>
        </w:rPr>
      </w:pPr>
      <w:r>
        <w:rPr>
          <w:sz w:val="12"/>
        </w:rPr>
        <w:t>20</w:t>
      </w:r>
    </w:p>
    <w:p>
      <w:pPr>
        <w:pStyle w:val="BodyText"/>
        <w:spacing w:before="7"/>
        <w:rPr>
          <w:sz w:val="10"/>
        </w:rPr>
      </w:pPr>
    </w:p>
    <w:p>
      <w:pPr>
        <w:spacing w:before="0"/>
        <w:ind w:left="0" w:right="38" w:firstLine="0"/>
        <w:jc w:val="right"/>
        <w:rPr>
          <w:sz w:val="12"/>
        </w:rPr>
      </w:pPr>
      <w:r>
        <w:rPr>
          <w:sz w:val="12"/>
        </w:rPr>
        <w:t>10</w:t>
      </w:r>
    </w:p>
    <w:p>
      <w:pPr>
        <w:spacing w:before="102"/>
        <w:ind w:left="0" w:right="38" w:firstLine="0"/>
        <w:jc w:val="right"/>
        <w:rPr>
          <w:sz w:val="12"/>
        </w:rPr>
      </w:pPr>
      <w:r>
        <w:rPr>
          <w:sz w:val="12"/>
        </w:rPr>
        <w:t>0</w:t>
      </w:r>
    </w:p>
    <w:p>
      <w:pPr>
        <w:spacing w:before="22"/>
        <w:ind w:left="440" w:right="0" w:firstLine="0"/>
        <w:jc w:val="left"/>
        <w:rPr>
          <w:sz w:val="12"/>
        </w:rPr>
      </w:pPr>
      <w:r>
        <w:rPr/>
        <w:pict>
          <v:line style="position:absolute;mso-position-horizontal-relative:page;mso-position-vertical-relative:paragraph;z-index:16123392" from="210.5pt,9.195581pt" to="205.5pt,9.195581pt" stroked="true" strokeweight=".5pt" strokecolor="#000000">
            <v:stroke dashstyle="solid"/>
            <w10:wrap type="none"/>
          </v:line>
        </w:pict>
      </w:r>
      <w:r>
        <w:rPr>
          <w:sz w:val="12"/>
        </w:rPr>
        <w:t>Probability, per cent</w:t>
      </w:r>
      <w:r>
        <w:rPr>
          <w:spacing w:val="3"/>
          <w:sz w:val="12"/>
        </w:rPr>
        <w:t> </w:t>
      </w:r>
      <w:r>
        <w:rPr>
          <w:position w:val="-5"/>
          <w:sz w:val="12"/>
        </w:rPr>
        <w:t>60</w:t>
      </w:r>
    </w:p>
    <w:p>
      <w:pPr>
        <w:spacing w:before="122"/>
        <w:ind w:left="0" w:right="38" w:firstLine="0"/>
        <w:jc w:val="right"/>
        <w:rPr>
          <w:sz w:val="12"/>
        </w:rPr>
      </w:pPr>
      <w:r>
        <w:rPr>
          <w:sz w:val="12"/>
        </w:rPr>
        <w:t>50</w:t>
      </w:r>
    </w:p>
    <w:p>
      <w:pPr>
        <w:spacing w:before="102"/>
        <w:ind w:left="0" w:right="38" w:firstLine="0"/>
        <w:jc w:val="right"/>
        <w:rPr>
          <w:sz w:val="12"/>
        </w:rPr>
      </w:pPr>
      <w:r>
        <w:rPr>
          <w:sz w:val="12"/>
        </w:rPr>
        <w:t>40</w:t>
      </w:r>
    </w:p>
    <w:p>
      <w:pPr>
        <w:pStyle w:val="BodyText"/>
        <w:spacing w:before="7"/>
        <w:rPr>
          <w:sz w:val="10"/>
        </w:rPr>
      </w:pPr>
    </w:p>
    <w:p>
      <w:pPr>
        <w:spacing w:before="0"/>
        <w:ind w:left="0" w:right="38" w:firstLine="0"/>
        <w:jc w:val="right"/>
        <w:rPr>
          <w:sz w:val="12"/>
        </w:rPr>
      </w:pPr>
      <w:r>
        <w:rPr>
          <w:sz w:val="12"/>
        </w:rPr>
        <w:t>30</w:t>
      </w:r>
    </w:p>
    <w:p>
      <w:pPr>
        <w:pStyle w:val="BodyText"/>
        <w:spacing w:before="7"/>
        <w:rPr>
          <w:sz w:val="10"/>
        </w:rPr>
      </w:pPr>
    </w:p>
    <w:p>
      <w:pPr>
        <w:spacing w:before="0"/>
        <w:ind w:left="0" w:right="38" w:firstLine="0"/>
        <w:jc w:val="right"/>
        <w:rPr>
          <w:sz w:val="12"/>
        </w:rPr>
      </w:pPr>
      <w:r>
        <w:rPr>
          <w:sz w:val="12"/>
        </w:rPr>
        <w:t>20</w:t>
      </w:r>
    </w:p>
    <w:p>
      <w:pPr>
        <w:spacing w:before="102"/>
        <w:ind w:left="0" w:right="38" w:firstLine="0"/>
        <w:jc w:val="right"/>
        <w:rPr>
          <w:sz w:val="12"/>
        </w:rPr>
      </w:pPr>
      <w:r>
        <w:rPr>
          <w:sz w:val="12"/>
        </w:rPr>
        <w:t>10</w:t>
      </w:r>
    </w:p>
    <w:p>
      <w:pPr>
        <w:pStyle w:val="BodyText"/>
        <w:spacing w:before="7"/>
        <w:rPr>
          <w:sz w:val="10"/>
        </w:rPr>
      </w:pPr>
    </w:p>
    <w:p>
      <w:pPr>
        <w:spacing w:line="129" w:lineRule="exact" w:before="0"/>
        <w:ind w:left="1510" w:right="0" w:firstLine="0"/>
        <w:jc w:val="left"/>
        <w:rPr>
          <w:sz w:val="12"/>
        </w:rPr>
      </w:pPr>
      <w:r>
        <w:rPr>
          <w:sz w:val="12"/>
        </w:rPr>
        <w:t>0</w:t>
      </w:r>
    </w:p>
    <w:p>
      <w:pPr>
        <w:spacing w:line="220" w:lineRule="auto" w:before="0"/>
        <w:ind w:left="440" w:right="0" w:firstLine="0"/>
        <w:jc w:val="left"/>
        <w:rPr>
          <w:sz w:val="12"/>
        </w:rPr>
      </w:pPr>
      <w:r>
        <w:rPr>
          <w:sz w:val="12"/>
        </w:rPr>
        <w:t>Probability, per c</w:t>
      </w:r>
      <w:r>
        <w:rPr>
          <w:sz w:val="12"/>
          <w:u w:val="single"/>
        </w:rPr>
        <w:t>en</w:t>
      </w:r>
      <w:r>
        <w:rPr>
          <w:sz w:val="12"/>
        </w:rPr>
        <w:t>t</w:t>
      </w:r>
      <w:r>
        <w:rPr>
          <w:spacing w:val="3"/>
          <w:sz w:val="12"/>
        </w:rPr>
        <w:t> </w:t>
      </w:r>
      <w:r>
        <w:rPr>
          <w:position w:val="-5"/>
          <w:sz w:val="12"/>
        </w:rPr>
        <w:t>60</w:t>
      </w:r>
    </w:p>
    <w:p>
      <w:pPr>
        <w:spacing w:before="104"/>
        <w:ind w:left="0" w:right="38" w:firstLine="0"/>
        <w:jc w:val="right"/>
        <w:rPr>
          <w:sz w:val="12"/>
        </w:rPr>
      </w:pPr>
      <w:r>
        <w:rPr>
          <w:sz w:val="12"/>
        </w:rPr>
        <w:t>50</w:t>
      </w:r>
    </w:p>
    <w:p>
      <w:pPr>
        <w:pStyle w:val="BodyText"/>
        <w:spacing w:before="7"/>
        <w:rPr>
          <w:sz w:val="10"/>
        </w:rPr>
      </w:pPr>
    </w:p>
    <w:p>
      <w:pPr>
        <w:spacing w:before="0"/>
        <w:ind w:left="0" w:right="38" w:firstLine="0"/>
        <w:jc w:val="right"/>
        <w:rPr>
          <w:sz w:val="12"/>
        </w:rPr>
      </w:pPr>
      <w:r>
        <w:rPr>
          <w:sz w:val="12"/>
        </w:rPr>
        <w:t>40</w:t>
      </w:r>
    </w:p>
    <w:p>
      <w:pPr>
        <w:spacing w:before="102"/>
        <w:ind w:left="0" w:right="38" w:firstLine="0"/>
        <w:jc w:val="right"/>
        <w:rPr>
          <w:sz w:val="12"/>
        </w:rPr>
      </w:pPr>
      <w:r>
        <w:rPr>
          <w:sz w:val="12"/>
        </w:rPr>
        <w:t>30</w:t>
      </w:r>
    </w:p>
    <w:p>
      <w:pPr>
        <w:pStyle w:val="BodyText"/>
        <w:spacing w:before="7"/>
        <w:rPr>
          <w:sz w:val="10"/>
        </w:rPr>
      </w:pPr>
    </w:p>
    <w:p>
      <w:pPr>
        <w:spacing w:before="0"/>
        <w:ind w:left="0" w:right="38" w:firstLine="0"/>
        <w:jc w:val="right"/>
        <w:rPr>
          <w:sz w:val="12"/>
        </w:rPr>
      </w:pPr>
      <w:r>
        <w:rPr>
          <w:sz w:val="12"/>
        </w:rPr>
        <w:t>20</w:t>
      </w:r>
    </w:p>
    <w:p>
      <w:pPr>
        <w:spacing w:before="102"/>
        <w:ind w:left="0" w:right="38" w:firstLine="0"/>
        <w:jc w:val="right"/>
        <w:rPr>
          <w:sz w:val="12"/>
        </w:rPr>
      </w:pPr>
      <w:r>
        <w:rPr>
          <w:sz w:val="12"/>
        </w:rPr>
        <w:t>10</w:t>
      </w:r>
    </w:p>
    <w:p>
      <w:pPr>
        <w:pStyle w:val="BodyText"/>
        <w:spacing w:before="7"/>
        <w:rPr>
          <w:sz w:val="10"/>
        </w:rPr>
      </w:pPr>
    </w:p>
    <w:p>
      <w:pPr>
        <w:spacing w:before="0"/>
        <w:ind w:left="0" w:right="38" w:firstLine="0"/>
        <w:jc w:val="right"/>
        <w:rPr>
          <w:sz w:val="12"/>
        </w:rPr>
      </w:pPr>
      <w:r>
        <w:rPr>
          <w:sz w:val="12"/>
        </w:rPr>
        <w:t>0</w:t>
      </w:r>
    </w:p>
    <w:p>
      <w:pPr>
        <w:spacing w:before="22"/>
        <w:ind w:left="440" w:right="0" w:firstLine="0"/>
        <w:jc w:val="left"/>
        <w:rPr>
          <w:sz w:val="12"/>
        </w:rPr>
      </w:pPr>
      <w:r>
        <w:rPr>
          <w:sz w:val="12"/>
        </w:rPr>
        <w:t>Probability, per c</w:t>
      </w:r>
      <w:r>
        <w:rPr>
          <w:sz w:val="12"/>
          <w:u w:val="single"/>
        </w:rPr>
        <w:t>en</w:t>
      </w:r>
      <w:r>
        <w:rPr>
          <w:sz w:val="12"/>
        </w:rPr>
        <w:t>t</w:t>
      </w:r>
      <w:r>
        <w:rPr>
          <w:spacing w:val="3"/>
          <w:sz w:val="12"/>
        </w:rPr>
        <w:t> </w:t>
      </w:r>
      <w:r>
        <w:rPr>
          <w:position w:val="-3"/>
          <w:sz w:val="12"/>
        </w:rPr>
        <w:t>60</w:t>
      </w:r>
    </w:p>
    <w:p>
      <w:pPr>
        <w:spacing w:before="122"/>
        <w:ind w:left="0" w:right="38" w:firstLine="0"/>
        <w:jc w:val="right"/>
        <w:rPr>
          <w:sz w:val="12"/>
        </w:rPr>
      </w:pPr>
      <w:r>
        <w:rPr/>
        <w:pict>
          <v:group style="position:absolute;margin-left:45.5pt;margin-top:9.955561pt;width:165pt;height:65.25pt;mso-position-horizontal-relative:page;mso-position-vertical-relative:paragraph;z-index:-20613632" coordorigin="910,199" coordsize="3300,1305">
            <v:line style="position:absolute" from="1010,1464" to="910,1464" stroked="true" strokeweight=".5pt" strokecolor="#000000">
              <v:stroke dashstyle="solid"/>
            </v:line>
            <v:line style="position:absolute" from="1050,1462" to="1810,1462" stroked="true" strokeweight=".25pt" strokecolor="#000000">
              <v:stroke dashstyle="solid"/>
            </v:line>
            <v:line style="position:absolute" from="4210,1464" to="4110,1464" stroked="true" strokeweight=".5pt" strokecolor="#000000">
              <v:stroke dashstyle="solid"/>
            </v:line>
            <v:shape style="position:absolute;left:1050;top:1461;width:3020;height:5" coordorigin="1050,1462" coordsize="3020,5" path="m3310,1462l4070,1462m2110,1462l2410,1462m2710,1462l3010,1462m1050,1467l4070,1467e" filled="false" stroked="true" strokeweight=".25pt" strokecolor="#000000">
              <v:path arrowok="t"/>
              <v:stroke dashstyle="solid"/>
            </v:shape>
            <v:shape style="position:absolute;left:1350;top:1464;width:2420;height:40" coordorigin="1350,1464" coordsize="2420,40" path="m1350,1464l1350,1504m1950,1464l1950,1504m2570,1464l2570,1504m3170,1464l3170,1504m3770,1464l3770,1504e" filled="false" stroked="true" strokeweight=".5pt" strokecolor="#000000">
              <v:path arrowok="t"/>
              <v:stroke dashstyle="solid"/>
            </v:shape>
            <v:rect style="position:absolute;left:1210;top:1364;width:300;height:100" filled="true" fillcolor="#ed1b2d" stroked="false">
              <v:fill type="solid"/>
            </v:rect>
            <v:rect style="position:absolute;left:1210;top:1364;width:300;height:100" filled="false" stroked="true" strokeweight=".5pt" strokecolor="#000000">
              <v:stroke dashstyle="solid"/>
            </v:rect>
            <v:rect style="position:absolute;left:1810;top:664;width:300;height:800" filled="true" fillcolor="#ed1b2d" stroked="false">
              <v:fill type="solid"/>
            </v:rect>
            <v:rect style="position:absolute;left:1810;top:664;width:300;height:800" filled="false" stroked="true" strokeweight=".5pt" strokecolor="#000000">
              <v:stroke dashstyle="solid"/>
            </v:rect>
            <v:rect style="position:absolute;left:2410;top:204;width:300;height:1260" filled="true" fillcolor="#ed1b2d" stroked="false">
              <v:fill type="solid"/>
            </v:rect>
            <v:rect style="position:absolute;left:2410;top:204;width:300;height:1260" filled="false" stroked="true" strokeweight=".5pt" strokecolor="#000000">
              <v:stroke dashstyle="solid"/>
            </v:rect>
            <v:rect style="position:absolute;left:3010;top:1164;width:300;height:300" filled="true" fillcolor="#ed1b2d" stroked="false">
              <v:fill type="solid"/>
            </v:rect>
            <v:rect style="position:absolute;left:3010;top:1164;width:300;height:300" filled="false" stroked="true" strokeweight=".5pt" strokecolor="#000000">
              <v:stroke dashstyle="solid"/>
            </v:rect>
            <v:rect style="position:absolute;left:3610;top:1424;width:300;height:40" filled="true" fillcolor="#ed1b2d" stroked="false">
              <v:fill type="solid"/>
            </v:rect>
            <v:rect style="position:absolute;left:3610;top:1424;width:300;height:40" filled="false" stroked="true" strokeweight=".5pt" strokecolor="#000000">
              <v:stroke dashstyle="solid"/>
            </v:rect>
            <w10:wrap type="none"/>
          </v:group>
        </w:pict>
      </w:r>
      <w:r>
        <w:rPr/>
        <w:pict>
          <v:line style="position:absolute;mso-position-horizontal-relative:page;mso-position-vertical-relative:paragraph;z-index:16126976" from="210.5pt,10.205561pt" to="205.5pt,10.205561pt" stroked="true" strokeweight=".5pt" strokecolor="#000000">
            <v:stroke dashstyle="solid"/>
            <w10:wrap type="none"/>
          </v:line>
        </w:pict>
      </w:r>
      <w:r>
        <w:rPr>
          <w:sz w:val="12"/>
        </w:rPr>
        <w:t>50</w:t>
      </w:r>
    </w:p>
    <w:p>
      <w:pPr>
        <w:spacing w:before="102"/>
        <w:ind w:left="0" w:right="38" w:firstLine="0"/>
        <w:jc w:val="right"/>
        <w:rPr>
          <w:sz w:val="12"/>
        </w:rPr>
      </w:pPr>
      <w:r>
        <w:rPr/>
        <w:pict>
          <v:line style="position:absolute;mso-position-horizontal-relative:page;mso-position-vertical-relative:paragraph;z-index:16126464" from="210.5pt,10.205561pt" to="205.5pt,10.205561pt" stroked="true" strokeweight=".5pt" strokecolor="#000000">
            <v:stroke dashstyle="solid"/>
            <w10:wrap type="none"/>
          </v:line>
        </w:pict>
      </w:r>
      <w:r>
        <w:rPr>
          <w:sz w:val="12"/>
        </w:rPr>
        <w:t>40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125952" from="210.5pt,4.103577pt" to="205.5pt,4.103577pt" stroked="true" strokeweight=".5pt" strokecolor="#000000">
            <v:stroke dashstyle="solid"/>
            <w10:wrap type="none"/>
          </v:line>
        </w:pict>
      </w:r>
      <w:r>
        <w:rPr>
          <w:sz w:val="12"/>
        </w:rPr>
        <w:t>30</w:t>
      </w:r>
    </w:p>
    <w:p>
      <w:pPr>
        <w:spacing w:before="102"/>
        <w:ind w:left="0" w:right="38" w:firstLine="0"/>
        <w:jc w:val="right"/>
        <w:rPr>
          <w:sz w:val="12"/>
        </w:rPr>
      </w:pPr>
      <w:r>
        <w:rPr/>
        <w:pict>
          <v:line style="position:absolute;mso-position-horizontal-relative:page;mso-position-vertical-relative:paragraph;z-index:16125440" from="210.5pt,10.203577pt" to="205.5pt,10.203577pt" stroked="true" strokeweight=".5pt" strokecolor="#000000">
            <v:stroke dashstyle="solid"/>
            <w10:wrap type="none"/>
          </v:line>
        </w:pict>
      </w:r>
      <w:r>
        <w:rPr>
          <w:sz w:val="12"/>
        </w:rPr>
        <w:t>20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124928" from="210.5pt,5.101563pt" to="205.5pt,5.101563pt" stroked="true" strokeweight=".5pt" strokecolor="#000000">
            <v:stroke dashstyle="solid"/>
            <w10:wrap type="none"/>
          </v:line>
        </w:pict>
      </w:r>
      <w:r>
        <w:rPr>
          <w:sz w:val="12"/>
        </w:rPr>
        <w:t>10</w:t>
      </w:r>
    </w:p>
    <w:p>
      <w:pPr>
        <w:spacing w:line="116" w:lineRule="exact" w:before="102"/>
        <w:ind w:left="1510" w:right="0" w:firstLine="0"/>
        <w:jc w:val="left"/>
        <w:rPr>
          <w:sz w:val="12"/>
        </w:rPr>
      </w:pPr>
      <w:r>
        <w:rPr>
          <w:sz w:val="12"/>
        </w:rPr>
        <w:t>0</w:t>
      </w:r>
    </w:p>
    <w:p>
      <w:pPr>
        <w:pStyle w:val="Heading5"/>
        <w:spacing w:before="4"/>
        <w:ind w:left="440"/>
        <w:rPr>
          <w:sz w:val="16"/>
        </w:rPr>
      </w:pPr>
      <w:r>
        <w:rPr/>
        <w:br w:type="column"/>
      </w:r>
      <w:r>
        <w:rPr>
          <w:color w:val="231F20"/>
        </w:rPr>
        <w:t>remain above the inflation target.</w:t>
      </w:r>
      <w:r>
        <w:rPr>
          <w:color w:val="231F20"/>
          <w:position w:val="5"/>
          <w:sz w:val="16"/>
        </w:rPr>
        <w:t>(1)</w:t>
      </w:r>
    </w:p>
    <w:p>
      <w:pPr>
        <w:pStyle w:val="BodyText"/>
        <w:spacing w:before="4"/>
        <w:rPr>
          <w:sz w:val="28"/>
        </w:rPr>
      </w:pPr>
    </w:p>
    <w:p>
      <w:pPr>
        <w:pStyle w:val="ListParagraph"/>
        <w:numPr>
          <w:ilvl w:val="1"/>
          <w:numId w:val="36"/>
        </w:numPr>
        <w:tabs>
          <w:tab w:pos="4483" w:val="left" w:leader="none"/>
          <w:tab w:pos="4484" w:val="left" w:leader="none"/>
        </w:tabs>
        <w:spacing w:line="240" w:lineRule="auto" w:before="1" w:after="0"/>
        <w:ind w:left="4483" w:right="0" w:hanging="4044"/>
        <w:jc w:val="left"/>
        <w:rPr>
          <w:b/>
          <w:sz w:val="28"/>
        </w:rPr>
      </w:pPr>
      <w:r>
        <w:rPr>
          <w:b/>
          <w:color w:val="009483"/>
          <w:sz w:val="28"/>
          <w:u w:val="thick" w:color="0093C1"/>
        </w:rPr>
        <w:t>Conclusions</w:t>
      </w:r>
    </w:p>
    <w:p>
      <w:pPr>
        <w:spacing w:line="242" w:lineRule="auto" w:before="263"/>
        <w:ind w:left="440" w:right="188" w:firstLine="0"/>
        <w:jc w:val="left"/>
        <w:rPr>
          <w:sz w:val="24"/>
        </w:rPr>
      </w:pPr>
      <w:r>
        <w:rPr>
          <w:color w:val="231F20"/>
          <w:sz w:val="24"/>
        </w:rPr>
        <w:t>There are three factors complicating monetary policy at present. First, there is considerable uncertainty as to how close activity is to the point at which the pressure </w:t>
      </w:r>
      <w:r>
        <w:rPr>
          <w:color w:val="231F20"/>
          <w:spacing w:val="-8"/>
          <w:sz w:val="24"/>
        </w:rPr>
        <w:t>of </w:t>
      </w:r>
      <w:r>
        <w:rPr>
          <w:color w:val="231F20"/>
          <w:sz w:val="24"/>
        </w:rPr>
        <w:t>demand relative to supply would lead to a pick-up in inflation. Second, although output growth is likely to slow in 1998, the timing and degree of the slowdown is uncertain. Third, the imbalance between continuing buoyant domestic demand and prospective weak net exports, described in previous </w:t>
      </w:r>
      <w:r>
        <w:rPr>
          <w:i/>
          <w:color w:val="231F20"/>
          <w:sz w:val="24"/>
        </w:rPr>
        <w:t>Reports</w:t>
      </w:r>
      <w:r>
        <w:rPr>
          <w:color w:val="231F20"/>
          <w:sz w:val="24"/>
        </w:rPr>
        <w:t>,</w:t>
      </w:r>
      <w:r>
        <w:rPr>
          <w:color w:val="231F20"/>
          <w:spacing w:val="-4"/>
          <w:sz w:val="24"/>
        </w:rPr>
        <w:t> </w:t>
      </w:r>
      <w:r>
        <w:rPr>
          <w:color w:val="231F20"/>
          <w:sz w:val="24"/>
        </w:rPr>
        <w:t>remains.</w:t>
      </w:r>
    </w:p>
    <w:p>
      <w:pPr>
        <w:pStyle w:val="BodyText"/>
        <w:spacing w:before="10"/>
        <w:rPr>
          <w:sz w:val="28"/>
        </w:rPr>
      </w:pPr>
    </w:p>
    <w:p>
      <w:pPr>
        <w:spacing w:line="242" w:lineRule="auto" w:before="0"/>
        <w:ind w:left="440" w:right="217" w:firstLine="0"/>
        <w:jc w:val="left"/>
        <w:rPr>
          <w:sz w:val="24"/>
        </w:rPr>
      </w:pPr>
      <w:r>
        <w:rPr>
          <w:color w:val="231F20"/>
          <w:sz w:val="24"/>
        </w:rPr>
        <w:t>Output has grown at an annual rate of about 4% for some time, driven by the strength of domestic demand, and most measures of the labour market suggest considerable tightening. Nevertheless, earnings growth has been broadly flat during 1997. The issue is whether, in the tighter labour market, there will be upward pressure on earnings during the course of next year.</w:t>
      </w:r>
    </w:p>
    <w:p>
      <w:pPr>
        <w:spacing w:line="242" w:lineRule="auto" w:before="10"/>
        <w:ind w:left="442" w:right="0" w:hanging="1"/>
        <w:jc w:val="left"/>
        <w:rPr>
          <w:sz w:val="24"/>
        </w:rPr>
      </w:pPr>
      <w:r>
        <w:rPr>
          <w:color w:val="231F20"/>
          <w:sz w:val="24"/>
        </w:rPr>
        <w:t>There is survey evidence of growing skill shortages, and the Bank’s regional Agencies report concern about the</w:t>
      </w:r>
    </w:p>
    <w:p>
      <w:pPr>
        <w:spacing w:after="0" w:line="242" w:lineRule="auto"/>
        <w:jc w:val="left"/>
        <w:rPr>
          <w:sz w:val="24"/>
        </w:rPr>
        <w:sectPr>
          <w:type w:val="continuous"/>
          <w:pgSz w:w="11880" w:h="16840"/>
          <w:pgMar w:top="1040" w:bottom="280" w:left="640" w:right="620"/>
          <w:cols w:num="3" w:equalWidth="0">
            <w:col w:w="1040" w:space="1130"/>
            <w:col w:w="1611" w:space="749"/>
            <w:col w:w="6090"/>
          </w:cols>
        </w:sectPr>
      </w:pPr>
    </w:p>
    <w:p>
      <w:pPr>
        <w:spacing w:line="225" w:lineRule="auto" w:before="51"/>
        <w:ind w:left="600" w:right="0" w:firstLine="0"/>
        <w:jc w:val="both"/>
        <w:rPr>
          <w:sz w:val="12"/>
        </w:rPr>
      </w:pPr>
      <w:r>
        <w:rPr>
          <w:sz w:val="12"/>
        </w:rPr>
        <w:t>Less than 1.0%</w:t>
      </w:r>
    </w:p>
    <w:p>
      <w:pPr>
        <w:spacing w:line="129" w:lineRule="exact" w:before="45"/>
        <w:ind w:left="310" w:right="0" w:firstLine="0"/>
        <w:jc w:val="left"/>
        <w:rPr>
          <w:sz w:val="12"/>
        </w:rPr>
      </w:pPr>
      <w:r>
        <w:rPr/>
        <w:br w:type="column"/>
      </w:r>
      <w:r>
        <w:rPr>
          <w:sz w:val="12"/>
        </w:rPr>
        <w:t>1.0%</w:t>
      </w:r>
    </w:p>
    <w:p>
      <w:pPr>
        <w:spacing w:line="129" w:lineRule="exact" w:before="0"/>
        <w:ind w:left="310" w:right="0" w:firstLine="0"/>
        <w:jc w:val="left"/>
        <w:rPr>
          <w:sz w:val="12"/>
        </w:rPr>
      </w:pPr>
      <w:r>
        <w:rPr>
          <w:sz w:val="12"/>
        </w:rPr>
        <w:t>to</w:t>
      </w:r>
    </w:p>
    <w:p>
      <w:pPr>
        <w:spacing w:before="2"/>
        <w:ind w:left="310" w:right="0" w:firstLine="0"/>
        <w:jc w:val="left"/>
        <w:rPr>
          <w:sz w:val="12"/>
        </w:rPr>
      </w:pPr>
      <w:r>
        <w:rPr>
          <w:sz w:val="12"/>
        </w:rPr>
        <w:t>2.5%</w:t>
      </w:r>
    </w:p>
    <w:p>
      <w:pPr>
        <w:spacing w:line="129" w:lineRule="exact" w:before="45"/>
        <w:ind w:left="330" w:right="0" w:firstLine="0"/>
        <w:jc w:val="left"/>
        <w:rPr>
          <w:sz w:val="12"/>
        </w:rPr>
      </w:pPr>
      <w:r>
        <w:rPr/>
        <w:br w:type="column"/>
      </w:r>
      <w:r>
        <w:rPr>
          <w:sz w:val="12"/>
        </w:rPr>
        <w:t>2.5%</w:t>
      </w:r>
    </w:p>
    <w:p>
      <w:pPr>
        <w:spacing w:line="129" w:lineRule="exact" w:before="0"/>
        <w:ind w:left="330" w:right="0" w:firstLine="0"/>
        <w:jc w:val="left"/>
        <w:rPr>
          <w:sz w:val="12"/>
        </w:rPr>
      </w:pPr>
      <w:r>
        <w:rPr>
          <w:sz w:val="12"/>
        </w:rPr>
        <w:t>to</w:t>
      </w:r>
    </w:p>
    <w:p>
      <w:pPr>
        <w:spacing w:before="2"/>
        <w:ind w:left="330" w:right="0" w:firstLine="0"/>
        <w:jc w:val="left"/>
        <w:rPr>
          <w:sz w:val="12"/>
        </w:rPr>
      </w:pPr>
      <w:r>
        <w:rPr>
          <w:sz w:val="12"/>
        </w:rPr>
        <w:t>4.0%</w:t>
      </w:r>
    </w:p>
    <w:p>
      <w:pPr>
        <w:spacing w:line="129" w:lineRule="exact" w:before="45"/>
        <w:ind w:left="310" w:right="0" w:firstLine="0"/>
        <w:jc w:val="left"/>
        <w:rPr>
          <w:sz w:val="12"/>
        </w:rPr>
      </w:pPr>
      <w:r>
        <w:rPr/>
        <w:br w:type="column"/>
      </w:r>
      <w:r>
        <w:rPr>
          <w:sz w:val="12"/>
        </w:rPr>
        <w:t>4.0%</w:t>
      </w:r>
    </w:p>
    <w:p>
      <w:pPr>
        <w:spacing w:line="129" w:lineRule="exact" w:before="0"/>
        <w:ind w:left="310" w:right="0" w:firstLine="0"/>
        <w:jc w:val="left"/>
        <w:rPr>
          <w:sz w:val="12"/>
        </w:rPr>
      </w:pPr>
      <w:r>
        <w:rPr>
          <w:sz w:val="12"/>
        </w:rPr>
        <w:t>to</w:t>
      </w:r>
    </w:p>
    <w:p>
      <w:pPr>
        <w:spacing w:before="2"/>
        <w:ind w:left="310" w:right="0" w:firstLine="0"/>
        <w:jc w:val="left"/>
        <w:rPr>
          <w:sz w:val="12"/>
        </w:rPr>
      </w:pPr>
      <w:r>
        <w:rPr>
          <w:sz w:val="12"/>
        </w:rPr>
        <w:t>5.5%</w:t>
      </w:r>
    </w:p>
    <w:p>
      <w:pPr>
        <w:spacing w:line="225" w:lineRule="auto" w:before="51"/>
        <w:ind w:left="310" w:right="20" w:firstLine="0"/>
        <w:jc w:val="left"/>
        <w:rPr>
          <w:sz w:val="12"/>
        </w:rPr>
      </w:pPr>
      <w:r>
        <w:rPr/>
        <w:br w:type="column"/>
      </w:r>
      <w:r>
        <w:rPr>
          <w:sz w:val="12"/>
        </w:rPr>
        <w:t>More than 5.5%</w:t>
      </w:r>
    </w:p>
    <w:p>
      <w:pPr>
        <w:pStyle w:val="Heading5"/>
        <w:spacing w:line="242" w:lineRule="auto"/>
        <w:ind w:left="600" w:hanging="1"/>
      </w:pPr>
      <w:r>
        <w:rPr/>
        <w:br w:type="column"/>
      </w:r>
      <w:r>
        <w:rPr>
          <w:color w:val="231F20"/>
        </w:rPr>
        <w:t>effect of this on the prospects for pay settlements in the coming pay round. As yet, however, that concern has</w:t>
      </w:r>
    </w:p>
    <w:p>
      <w:pPr>
        <w:spacing w:after="0" w:line="242" w:lineRule="auto"/>
        <w:sectPr>
          <w:type w:val="continuous"/>
          <w:pgSz w:w="11880" w:h="16840"/>
          <w:pgMar w:top="1040" w:bottom="280" w:left="640" w:right="620"/>
          <w:cols w:num="6" w:equalWidth="0">
            <w:col w:w="850" w:space="40"/>
            <w:col w:w="560" w:space="39"/>
            <w:col w:w="581" w:space="40"/>
            <w:col w:w="560" w:space="40"/>
            <w:col w:w="610" w:space="1052"/>
            <w:col w:w="6248"/>
          </w:cols>
        </w:sectPr>
      </w:pPr>
    </w:p>
    <w:p>
      <w:pPr>
        <w:spacing w:line="66" w:lineRule="exact" w:before="0"/>
        <w:ind w:left="1280" w:right="0" w:firstLine="0"/>
        <w:jc w:val="left"/>
        <w:rPr>
          <w:sz w:val="12"/>
        </w:rPr>
      </w:pPr>
      <w:r>
        <w:rPr>
          <w:sz w:val="12"/>
        </w:rPr>
        <w:t>Range of outcomes for RPIX</w:t>
      </w:r>
    </w:p>
    <w:p>
      <w:pPr>
        <w:pStyle w:val="BodyText"/>
        <w:spacing w:before="10"/>
        <w:rPr>
          <w:sz w:val="10"/>
        </w:rPr>
      </w:pPr>
    </w:p>
    <w:p>
      <w:pPr>
        <w:spacing w:before="0"/>
        <w:ind w:left="170" w:right="0" w:firstLine="0"/>
        <w:jc w:val="left"/>
        <w:rPr>
          <w:sz w:val="12"/>
        </w:rPr>
      </w:pPr>
      <w:r>
        <w:rPr>
          <w:color w:val="231F20"/>
          <w:sz w:val="12"/>
        </w:rPr>
        <w:t>(a) Date of </w:t>
      </w:r>
      <w:r>
        <w:rPr>
          <w:i/>
          <w:color w:val="231F20"/>
          <w:sz w:val="12"/>
        </w:rPr>
        <w:t>Inflation Report </w:t>
      </w:r>
      <w:r>
        <w:rPr>
          <w:color w:val="231F20"/>
          <w:sz w:val="12"/>
        </w:rPr>
        <w:t>survey.</w:t>
      </w:r>
    </w:p>
    <w:p>
      <w:pPr>
        <w:pStyle w:val="BodyText"/>
        <w:rPr>
          <w:sz w:val="12"/>
        </w:rPr>
      </w:pPr>
    </w:p>
    <w:p>
      <w:pPr>
        <w:pStyle w:val="BodyText"/>
        <w:rPr>
          <w:sz w:val="12"/>
        </w:rPr>
      </w:pPr>
    </w:p>
    <w:p>
      <w:pPr>
        <w:pStyle w:val="BodyText"/>
        <w:rPr>
          <w:sz w:val="12"/>
        </w:rPr>
      </w:pPr>
    </w:p>
    <w:p>
      <w:pPr>
        <w:pStyle w:val="BodyText"/>
        <w:spacing w:before="9"/>
        <w:rPr>
          <w:sz w:val="14"/>
        </w:rPr>
      </w:pPr>
    </w:p>
    <w:p>
      <w:pPr>
        <w:pStyle w:val="Heading9"/>
        <w:spacing w:before="0"/>
        <w:ind w:left="170"/>
      </w:pPr>
      <w:r>
        <w:rPr>
          <w:color w:val="0093C1"/>
        </w:rPr>
        <w:t>Table 7.B</w:t>
      </w:r>
    </w:p>
    <w:p>
      <w:pPr>
        <w:spacing w:line="249" w:lineRule="auto" w:before="10"/>
        <w:ind w:left="170" w:right="95" w:firstLine="0"/>
        <w:jc w:val="left"/>
        <w:rPr>
          <w:b/>
          <w:sz w:val="20"/>
        </w:rPr>
      </w:pPr>
      <w:r>
        <w:rPr>
          <w:b/>
          <w:color w:val="0093C1"/>
          <w:sz w:val="20"/>
        </w:rPr>
        <w:t>Merrill Lynch-Gallup Survey of UK fund managers’ inflation expectations</w:t>
      </w:r>
    </w:p>
    <w:p>
      <w:pPr>
        <w:spacing w:before="97"/>
        <w:ind w:left="170" w:right="0" w:firstLine="0"/>
        <w:jc w:val="left"/>
        <w:rPr>
          <w:sz w:val="14"/>
        </w:rPr>
      </w:pPr>
      <w:r>
        <w:rPr>
          <w:color w:val="231F20"/>
          <w:sz w:val="14"/>
        </w:rPr>
        <w:t>Percentage increases in prices</w:t>
      </w:r>
    </w:p>
    <w:p>
      <w:pPr>
        <w:tabs>
          <w:tab w:pos="3784" w:val="left" w:leader="none"/>
        </w:tabs>
        <w:spacing w:before="120"/>
        <w:ind w:left="170" w:right="38" w:firstLine="1440"/>
        <w:jc w:val="left"/>
        <w:rPr>
          <w:sz w:val="14"/>
        </w:rPr>
      </w:pPr>
      <w:r>
        <w:rPr>
          <w:color w:val="231F20"/>
          <w:sz w:val="14"/>
          <w:u w:val="single" w:color="231F20"/>
        </w:rPr>
        <w:t>Month of survey</w:t>
        <w:tab/>
      </w:r>
      <w:r>
        <w:rPr>
          <w:color w:val="231F20"/>
          <w:sz w:val="14"/>
        </w:rPr>
        <w:t> Twelve-month RPI</w:t>
        <w:tab/>
      </w:r>
      <w:r>
        <w:rPr>
          <w:color w:val="231F20"/>
          <w:spacing w:val="-70"/>
          <w:sz w:val="14"/>
          <w:u w:val="single" w:color="231F20"/>
        </w:rPr>
        <w:t>1997</w:t>
      </w:r>
      <w:r>
        <w:rPr>
          <w:color w:val="231F20"/>
          <w:sz w:val="14"/>
          <w:u w:val="single" w:color="231F20"/>
        </w:rPr>
        <w:tab/>
      </w:r>
    </w:p>
    <w:p>
      <w:pPr>
        <w:tabs>
          <w:tab w:pos="1609" w:val="left" w:leader="none"/>
          <w:tab w:pos="2090" w:val="left" w:leader="none"/>
          <w:tab w:pos="2570" w:val="left" w:leader="none"/>
          <w:tab w:pos="3050" w:val="left" w:leader="none"/>
        </w:tabs>
        <w:spacing w:line="159" w:lineRule="exact" w:before="0"/>
        <w:ind w:left="240" w:right="0" w:firstLine="0"/>
        <w:jc w:val="left"/>
        <w:rPr>
          <w:sz w:val="14"/>
        </w:rPr>
      </w:pPr>
      <w:r>
        <w:rPr/>
        <w:pict>
          <v:shape style="position:absolute;margin-left:38.014pt;margin-top:14.20074pt;width:181.8pt;height:14.8pt;mso-position-horizontal-relative:page;mso-position-vertical-relative:paragraph;z-index:161274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602"/>
                    <w:gridCol w:w="480"/>
                    <w:gridCol w:w="480"/>
                    <w:gridCol w:w="480"/>
                    <w:gridCol w:w="378"/>
                  </w:tblGrid>
                  <w:tr>
                    <w:trPr>
                      <w:trHeight w:val="147" w:hRule="atLeast"/>
                    </w:trPr>
                    <w:tc>
                      <w:tcPr>
                        <w:tcW w:w="1215" w:type="dxa"/>
                      </w:tcPr>
                      <w:p>
                        <w:pPr>
                          <w:pStyle w:val="TableParagraph"/>
                          <w:spacing w:line="128" w:lineRule="exact"/>
                          <w:ind w:left="50"/>
                          <w:rPr>
                            <w:sz w:val="14"/>
                          </w:rPr>
                        </w:pPr>
                        <w:r>
                          <w:rPr>
                            <w:color w:val="231F20"/>
                            <w:sz w:val="14"/>
                          </w:rPr>
                          <w:t>December 1997</w:t>
                        </w:r>
                      </w:p>
                    </w:tc>
                    <w:tc>
                      <w:tcPr>
                        <w:tcW w:w="602" w:type="dxa"/>
                      </w:tcPr>
                      <w:p>
                        <w:pPr>
                          <w:pStyle w:val="TableParagraph"/>
                          <w:spacing w:line="128" w:lineRule="exact"/>
                          <w:ind w:right="149"/>
                          <w:jc w:val="right"/>
                          <w:rPr>
                            <w:sz w:val="14"/>
                          </w:rPr>
                        </w:pPr>
                        <w:r>
                          <w:rPr>
                            <w:color w:val="231F20"/>
                            <w:sz w:val="14"/>
                          </w:rPr>
                          <w:t>3.0</w:t>
                        </w:r>
                      </w:p>
                    </w:tc>
                    <w:tc>
                      <w:tcPr>
                        <w:tcW w:w="480" w:type="dxa"/>
                      </w:tcPr>
                      <w:p>
                        <w:pPr>
                          <w:pStyle w:val="TableParagraph"/>
                          <w:spacing w:line="128" w:lineRule="exact"/>
                          <w:ind w:left="132" w:right="131"/>
                          <w:jc w:val="center"/>
                          <w:rPr>
                            <w:sz w:val="14"/>
                          </w:rPr>
                        </w:pPr>
                        <w:r>
                          <w:rPr>
                            <w:color w:val="231F20"/>
                            <w:sz w:val="14"/>
                          </w:rPr>
                          <w:t>2.9</w:t>
                        </w:r>
                      </w:p>
                    </w:tc>
                    <w:tc>
                      <w:tcPr>
                        <w:tcW w:w="480" w:type="dxa"/>
                      </w:tcPr>
                      <w:p>
                        <w:pPr>
                          <w:pStyle w:val="TableParagraph"/>
                          <w:spacing w:line="128" w:lineRule="exact"/>
                          <w:ind w:left="132" w:right="131"/>
                          <w:jc w:val="center"/>
                          <w:rPr>
                            <w:sz w:val="14"/>
                          </w:rPr>
                        </w:pPr>
                        <w:r>
                          <w:rPr>
                            <w:color w:val="231F20"/>
                            <w:sz w:val="14"/>
                          </w:rPr>
                          <w:t>3.0</w:t>
                        </w:r>
                      </w:p>
                    </w:tc>
                    <w:tc>
                      <w:tcPr>
                        <w:tcW w:w="480" w:type="dxa"/>
                      </w:tcPr>
                      <w:p>
                        <w:pPr>
                          <w:pStyle w:val="TableParagraph"/>
                          <w:spacing w:line="128" w:lineRule="exact"/>
                          <w:ind w:left="132" w:right="131"/>
                          <w:jc w:val="center"/>
                          <w:rPr>
                            <w:sz w:val="14"/>
                          </w:rPr>
                        </w:pPr>
                        <w:r>
                          <w:rPr>
                            <w:color w:val="231F20"/>
                            <w:sz w:val="14"/>
                          </w:rPr>
                          <w:t>3.0</w:t>
                        </w:r>
                      </w:p>
                    </w:tc>
                    <w:tc>
                      <w:tcPr>
                        <w:tcW w:w="378" w:type="dxa"/>
                      </w:tcPr>
                      <w:p>
                        <w:pPr>
                          <w:pStyle w:val="TableParagraph"/>
                          <w:spacing w:line="128" w:lineRule="exact"/>
                          <w:ind w:right="47"/>
                          <w:jc w:val="right"/>
                          <w:rPr>
                            <w:sz w:val="14"/>
                          </w:rPr>
                        </w:pPr>
                        <w:r>
                          <w:rPr>
                            <w:color w:val="231F20"/>
                            <w:sz w:val="14"/>
                          </w:rPr>
                          <w:t>3.1</w:t>
                        </w:r>
                      </w:p>
                    </w:tc>
                  </w:tr>
                  <w:tr>
                    <w:trPr>
                      <w:trHeight w:val="147" w:hRule="atLeast"/>
                    </w:trPr>
                    <w:tc>
                      <w:tcPr>
                        <w:tcW w:w="1215" w:type="dxa"/>
                      </w:tcPr>
                      <w:p>
                        <w:pPr>
                          <w:pStyle w:val="TableParagraph"/>
                          <w:spacing w:line="128" w:lineRule="exact"/>
                          <w:ind w:left="50"/>
                          <w:rPr>
                            <w:sz w:val="14"/>
                          </w:rPr>
                        </w:pPr>
                        <w:r>
                          <w:rPr>
                            <w:color w:val="231F20"/>
                            <w:sz w:val="14"/>
                          </w:rPr>
                          <w:t>December 1998</w:t>
                        </w:r>
                      </w:p>
                    </w:tc>
                    <w:tc>
                      <w:tcPr>
                        <w:tcW w:w="602" w:type="dxa"/>
                      </w:tcPr>
                      <w:p>
                        <w:pPr>
                          <w:pStyle w:val="TableParagraph"/>
                          <w:spacing w:line="128" w:lineRule="exact"/>
                          <w:ind w:right="149"/>
                          <w:jc w:val="right"/>
                          <w:rPr>
                            <w:sz w:val="14"/>
                          </w:rPr>
                        </w:pPr>
                        <w:r>
                          <w:rPr>
                            <w:color w:val="231F20"/>
                            <w:sz w:val="14"/>
                          </w:rPr>
                          <w:t>3.3</w:t>
                        </w:r>
                      </w:p>
                    </w:tc>
                    <w:tc>
                      <w:tcPr>
                        <w:tcW w:w="480" w:type="dxa"/>
                      </w:tcPr>
                      <w:p>
                        <w:pPr>
                          <w:pStyle w:val="TableParagraph"/>
                          <w:spacing w:line="128" w:lineRule="exact"/>
                          <w:ind w:left="132" w:right="131"/>
                          <w:jc w:val="center"/>
                          <w:rPr>
                            <w:sz w:val="14"/>
                          </w:rPr>
                        </w:pPr>
                        <w:r>
                          <w:rPr>
                            <w:color w:val="231F20"/>
                            <w:sz w:val="14"/>
                          </w:rPr>
                          <w:t>3.3</w:t>
                        </w:r>
                      </w:p>
                    </w:tc>
                    <w:tc>
                      <w:tcPr>
                        <w:tcW w:w="480" w:type="dxa"/>
                      </w:tcPr>
                      <w:p>
                        <w:pPr>
                          <w:pStyle w:val="TableParagraph"/>
                          <w:spacing w:line="128" w:lineRule="exact"/>
                          <w:ind w:left="132" w:right="131"/>
                          <w:jc w:val="center"/>
                          <w:rPr>
                            <w:sz w:val="14"/>
                          </w:rPr>
                        </w:pPr>
                        <w:r>
                          <w:rPr>
                            <w:color w:val="231F20"/>
                            <w:sz w:val="14"/>
                          </w:rPr>
                          <w:t>3.3</w:t>
                        </w:r>
                      </w:p>
                    </w:tc>
                    <w:tc>
                      <w:tcPr>
                        <w:tcW w:w="480" w:type="dxa"/>
                      </w:tcPr>
                      <w:p>
                        <w:pPr>
                          <w:pStyle w:val="TableParagraph"/>
                          <w:spacing w:line="128" w:lineRule="exact"/>
                          <w:ind w:left="133" w:right="131"/>
                          <w:jc w:val="center"/>
                          <w:rPr>
                            <w:sz w:val="14"/>
                          </w:rPr>
                        </w:pPr>
                        <w:r>
                          <w:rPr>
                            <w:color w:val="231F20"/>
                            <w:sz w:val="14"/>
                          </w:rPr>
                          <w:t>3.2</w:t>
                        </w:r>
                      </w:p>
                    </w:tc>
                    <w:tc>
                      <w:tcPr>
                        <w:tcW w:w="378" w:type="dxa"/>
                      </w:tcPr>
                      <w:p>
                        <w:pPr>
                          <w:pStyle w:val="TableParagraph"/>
                          <w:spacing w:line="128" w:lineRule="exact"/>
                          <w:ind w:right="47"/>
                          <w:jc w:val="right"/>
                          <w:rPr>
                            <w:sz w:val="14"/>
                          </w:rPr>
                        </w:pPr>
                        <w:r>
                          <w:rPr>
                            <w:color w:val="231F20"/>
                            <w:sz w:val="14"/>
                          </w:rPr>
                          <w:t>3.2</w:t>
                        </w:r>
                      </w:p>
                    </w:tc>
                  </w:tr>
                </w:tbl>
                <w:p>
                  <w:pPr>
                    <w:pStyle w:val="BodyText"/>
                  </w:pPr>
                </w:p>
              </w:txbxContent>
            </v:textbox>
            <w10:wrap type="none"/>
          </v:shape>
        </w:pict>
      </w:r>
      <w:r>
        <w:rPr>
          <w:color w:val="231F20"/>
          <w:sz w:val="14"/>
        </w:rPr>
        <w:t>inflation in:</w:t>
        <w:tab/>
      </w:r>
      <w:r>
        <w:rPr>
          <w:color w:val="231F20"/>
          <w:sz w:val="14"/>
          <w:u w:val="single" w:color="231F20"/>
        </w:rPr>
        <w:t>June</w:t>
      </w:r>
      <w:r>
        <w:rPr>
          <w:color w:val="231F20"/>
          <w:sz w:val="14"/>
        </w:rPr>
        <w:tab/>
      </w:r>
      <w:r>
        <w:rPr>
          <w:color w:val="231F20"/>
          <w:sz w:val="14"/>
          <w:u w:val="single" w:color="231F20"/>
        </w:rPr>
        <w:t>July</w:t>
      </w:r>
      <w:r>
        <w:rPr>
          <w:color w:val="231F20"/>
          <w:sz w:val="14"/>
        </w:rPr>
        <w:tab/>
      </w:r>
      <w:r>
        <w:rPr>
          <w:color w:val="231F20"/>
          <w:sz w:val="14"/>
          <w:u w:val="single" w:color="231F20"/>
        </w:rPr>
        <w:t>Aug</w:t>
      </w:r>
      <w:r>
        <w:rPr>
          <w:color w:val="231F20"/>
          <w:sz w:val="14"/>
        </w:rPr>
        <w:t>.</w:t>
        <w:tab/>
      </w:r>
      <w:r>
        <w:rPr>
          <w:color w:val="231F20"/>
          <w:sz w:val="14"/>
          <w:u w:val="single" w:color="231F20"/>
        </w:rPr>
        <w:t>Sept</w:t>
      </w:r>
      <w:r>
        <w:rPr>
          <w:color w:val="231F20"/>
          <w:sz w:val="14"/>
        </w:rPr>
        <w:t>.    </w:t>
      </w:r>
      <w:r>
        <w:rPr>
          <w:color w:val="231F20"/>
          <w:spacing w:val="21"/>
          <w:sz w:val="14"/>
        </w:rPr>
        <w:t> </w:t>
      </w:r>
      <w:r>
        <w:rPr>
          <w:color w:val="231F20"/>
          <w:sz w:val="14"/>
          <w:u w:val="single" w:color="231F20"/>
        </w:rPr>
        <w:t>Oct.</w:t>
      </w:r>
    </w:p>
    <w:p>
      <w:pPr>
        <w:spacing w:before="517"/>
        <w:ind w:left="170" w:right="0" w:firstLine="0"/>
        <w:jc w:val="left"/>
        <w:rPr>
          <w:sz w:val="12"/>
        </w:rPr>
      </w:pPr>
      <w:r>
        <w:rPr>
          <w:color w:val="231F20"/>
          <w:sz w:val="12"/>
        </w:rPr>
        <w:t>Source: Merrill Lynch-Gallup.</w:t>
      </w:r>
    </w:p>
    <w:p>
      <w:pPr>
        <w:pStyle w:val="Heading5"/>
        <w:spacing w:line="242" w:lineRule="auto"/>
        <w:ind w:left="170" w:right="195" w:hanging="1"/>
      </w:pPr>
      <w:r>
        <w:rPr/>
        <w:br w:type="column"/>
      </w:r>
      <w:r>
        <w:rPr>
          <w:color w:val="231F20"/>
        </w:rPr>
        <w:t>not shown up in either settlements or earnings figures. But if earnings growth were to rise, then unless some of the increase in costs was absorbed in lower margins, </w:t>
      </w:r>
      <w:r>
        <w:rPr>
          <w:color w:val="231F20"/>
          <w:spacing w:val="-5"/>
        </w:rPr>
        <w:t>that </w:t>
      </w:r>
      <w:r>
        <w:rPr>
          <w:color w:val="231F20"/>
        </w:rPr>
        <w:t>would pose a clear threat to the inflation</w:t>
      </w:r>
      <w:r>
        <w:rPr>
          <w:color w:val="231F20"/>
          <w:spacing w:val="-5"/>
        </w:rPr>
        <w:t> </w:t>
      </w:r>
      <w:r>
        <w:rPr>
          <w:color w:val="231F20"/>
        </w:rPr>
        <w:t>target.</w:t>
      </w:r>
    </w:p>
    <w:p>
      <w:pPr>
        <w:pStyle w:val="BodyText"/>
        <w:spacing w:before="8"/>
        <w:rPr>
          <w:sz w:val="27"/>
        </w:rPr>
      </w:pPr>
    </w:p>
    <w:p>
      <w:pPr>
        <w:spacing w:line="242" w:lineRule="auto" w:before="0"/>
        <w:ind w:left="170" w:right="358" w:firstLine="0"/>
        <w:jc w:val="left"/>
        <w:rPr>
          <w:sz w:val="24"/>
        </w:rPr>
      </w:pPr>
      <w:r>
        <w:rPr>
          <w:color w:val="231F20"/>
          <w:sz w:val="24"/>
        </w:rPr>
        <w:t>Despite sterling’s appreciation of some 20% since August 1996, there has been little reduction in the volume of exports. But the higher exchange rate is likely to affect export volumes during the coming </w:t>
      </w:r>
      <w:r>
        <w:rPr>
          <w:color w:val="231F20"/>
          <w:spacing w:val="-6"/>
          <w:sz w:val="24"/>
        </w:rPr>
        <w:t>year. </w:t>
      </w:r>
      <w:r>
        <w:rPr>
          <w:color w:val="231F20"/>
          <w:spacing w:val="-4"/>
          <w:sz w:val="24"/>
        </w:rPr>
        <w:t>Weaker </w:t>
      </w:r>
      <w:r>
        <w:rPr>
          <w:color w:val="231F20"/>
          <w:sz w:val="24"/>
        </w:rPr>
        <w:t>net exports, combined with the monetary and fiscal policy tightening earlier this </w:t>
      </w:r>
      <w:r>
        <w:rPr>
          <w:color w:val="231F20"/>
          <w:spacing w:val="-3"/>
          <w:sz w:val="24"/>
        </w:rPr>
        <w:t>year, </w:t>
      </w:r>
      <w:r>
        <w:rPr>
          <w:color w:val="231F20"/>
          <w:sz w:val="24"/>
        </w:rPr>
        <w:t>and</w:t>
      </w:r>
      <w:r>
        <w:rPr>
          <w:color w:val="231F20"/>
          <w:spacing w:val="1"/>
          <w:sz w:val="24"/>
        </w:rPr>
        <w:t> </w:t>
      </w:r>
      <w:r>
        <w:rPr>
          <w:color w:val="231F20"/>
          <w:sz w:val="24"/>
        </w:rPr>
        <w:t>the</w:t>
      </w:r>
    </w:p>
    <w:p>
      <w:pPr>
        <w:spacing w:line="242" w:lineRule="auto" w:before="8"/>
        <w:ind w:left="171" w:right="195" w:firstLine="0"/>
        <w:jc w:val="left"/>
        <w:rPr>
          <w:sz w:val="24"/>
        </w:rPr>
      </w:pPr>
      <w:r>
        <w:rPr>
          <w:color w:val="231F20"/>
          <w:sz w:val="24"/>
        </w:rPr>
        <w:t>tailing-off of the effect on consumption of windfall gains, mean that output growth is likely to slow to slightly below trend for a short period. There have been few signs to date of the effect of sterling’s appreciation on exports, which indicates how difficult it is to identify the timing and magnitude of any reduction in output growth.</w:t>
      </w:r>
    </w:p>
    <w:p>
      <w:pPr>
        <w:pStyle w:val="BodyText"/>
        <w:spacing w:before="7"/>
        <w:rPr>
          <w:sz w:val="28"/>
        </w:rPr>
      </w:pPr>
    </w:p>
    <w:p>
      <w:pPr>
        <w:spacing w:line="242" w:lineRule="auto" w:before="0"/>
        <w:ind w:left="172" w:right="195" w:hanging="1"/>
        <w:jc w:val="left"/>
        <w:rPr>
          <w:sz w:val="24"/>
        </w:rPr>
      </w:pPr>
      <w:r>
        <w:rPr>
          <w:color w:val="231F20"/>
          <w:sz w:val="24"/>
        </w:rPr>
        <w:t>Buoyant domestic demand, fuelled by rapid growth of wealth, money and credit, has led to faster output</w:t>
      </w:r>
    </w:p>
    <w:p>
      <w:pPr>
        <w:pStyle w:val="BodyText"/>
        <w:spacing w:before="2"/>
        <w:rPr>
          <w:sz w:val="23"/>
        </w:rPr>
      </w:pPr>
      <w:r>
        <w:rPr/>
        <w:pict>
          <v:shape style="position:absolute;margin-left:279pt;margin-top:15.406176pt;width:277.5pt;height:.1pt;mso-position-horizontal-relative:page;mso-position-vertical-relative:paragraph;z-index:-15336448;mso-wrap-distance-left:0;mso-wrap-distance-right:0" coordorigin="5580,308" coordsize="5550,0" path="m5580,308l11130,308e" filled="false" stroked="true" strokeweight=".125pt" strokecolor="#231f20">
            <v:path arrowok="t"/>
            <v:stroke dashstyle="solid"/>
            <w10:wrap type="topAndBottom"/>
          </v:shape>
        </w:pict>
      </w:r>
    </w:p>
    <w:p>
      <w:pPr>
        <w:spacing w:line="208" w:lineRule="auto" w:before="0"/>
        <w:ind w:left="416" w:right="795" w:hanging="240"/>
        <w:jc w:val="left"/>
        <w:rPr>
          <w:sz w:val="16"/>
        </w:rPr>
      </w:pPr>
      <w:r>
        <w:rPr>
          <w:color w:val="231F20"/>
          <w:sz w:val="16"/>
        </w:rPr>
        <w:t>(1) How far above depends on the size of the inflation risk premium, which is difficult to estimate.</w:t>
      </w:r>
    </w:p>
    <w:p>
      <w:pPr>
        <w:spacing w:after="0" w:line="208" w:lineRule="auto"/>
        <w:jc w:val="left"/>
        <w:rPr>
          <w:sz w:val="16"/>
        </w:rPr>
        <w:sectPr>
          <w:type w:val="continuous"/>
          <w:pgSz w:w="11880" w:h="16840"/>
          <w:pgMar w:top="1040" w:bottom="280" w:left="640" w:right="620"/>
          <w:cols w:num="2" w:equalWidth="0">
            <w:col w:w="3825" w:space="978"/>
            <w:col w:w="5817"/>
          </w:cols>
        </w:sectPr>
      </w:pPr>
    </w:p>
    <w:p>
      <w:pPr>
        <w:pStyle w:val="BodyText"/>
        <w:rPr>
          <w:sz w:val="20"/>
        </w:rPr>
      </w:pPr>
    </w:p>
    <w:p>
      <w:pPr>
        <w:spacing w:after="0"/>
        <w:rPr>
          <w:sz w:val="20"/>
        </w:rPr>
        <w:sectPr>
          <w:pgSz w:w="11880" w:h="16840"/>
          <w:pgMar w:header="586" w:footer="617" w:top="780" w:bottom="800" w:left="640" w:right="620"/>
        </w:sectPr>
      </w:pPr>
    </w:p>
    <w:p>
      <w:pPr>
        <w:pStyle w:val="BodyText"/>
        <w:spacing w:before="6"/>
        <w:rPr>
          <w:sz w:val="20"/>
        </w:rPr>
      </w:pPr>
    </w:p>
    <w:p>
      <w:pPr>
        <w:pStyle w:val="Heading9"/>
        <w:spacing w:before="0"/>
        <w:ind w:left="160"/>
      </w:pPr>
      <w:r>
        <w:rPr>
          <w:color w:val="0093C1"/>
        </w:rPr>
        <w:t>Table 7.C</w:t>
      </w:r>
    </w:p>
    <w:p>
      <w:pPr>
        <w:spacing w:before="10"/>
        <w:ind w:left="160" w:right="0" w:firstLine="0"/>
        <w:jc w:val="left"/>
        <w:rPr>
          <w:b/>
          <w:sz w:val="20"/>
        </w:rPr>
      </w:pPr>
      <w:r>
        <w:rPr>
          <w:b/>
          <w:color w:val="0093C1"/>
          <w:sz w:val="20"/>
        </w:rPr>
        <w:t>Barclays Basix Survey of inflation expectations</w:t>
      </w:r>
    </w:p>
    <w:p>
      <w:pPr>
        <w:spacing w:before="106"/>
        <w:ind w:left="160" w:right="0" w:firstLine="0"/>
        <w:jc w:val="left"/>
        <w:rPr>
          <w:sz w:val="14"/>
        </w:rPr>
      </w:pPr>
      <w:r>
        <w:rPr>
          <w:color w:val="231F20"/>
          <w:sz w:val="14"/>
        </w:rPr>
        <w:t>Percentage increases in prices</w:t>
      </w:r>
    </w:p>
    <w:p>
      <w:pPr>
        <w:spacing w:before="119"/>
        <w:ind w:left="160" w:right="0" w:firstLine="0"/>
        <w:jc w:val="left"/>
        <w:rPr>
          <w:sz w:val="14"/>
        </w:rPr>
      </w:pPr>
      <w:r>
        <w:rPr>
          <w:color w:val="231F20"/>
          <w:sz w:val="14"/>
        </w:rPr>
        <w:t>Twelve-month RPI inflation one year ahead</w:t>
      </w:r>
    </w:p>
    <w:p>
      <w:pPr>
        <w:tabs>
          <w:tab w:pos="3039" w:val="left" w:leader="none"/>
        </w:tabs>
        <w:spacing w:before="119"/>
        <w:ind w:left="2079" w:right="0" w:firstLine="0"/>
        <w:jc w:val="left"/>
        <w:rPr>
          <w:sz w:val="14"/>
        </w:rPr>
      </w:pPr>
      <w:r>
        <w:rPr>
          <w:color w:val="231F20"/>
          <w:sz w:val="14"/>
          <w:u w:val="single" w:color="231F20"/>
        </w:rPr>
        <w:t>June 1997</w:t>
      </w:r>
      <w:r>
        <w:rPr>
          <w:color w:val="231F20"/>
          <w:sz w:val="14"/>
        </w:rPr>
        <w:tab/>
      </w:r>
      <w:r>
        <w:rPr>
          <w:color w:val="231F20"/>
          <w:sz w:val="14"/>
          <w:u w:val="single" w:color="231F20"/>
        </w:rPr>
        <w:t>September 1997</w:t>
      </w:r>
    </w:p>
    <w:p>
      <w:pPr>
        <w:tabs>
          <w:tab w:pos="2329" w:val="left" w:leader="none"/>
          <w:tab w:pos="3464" w:val="right" w:leader="none"/>
        </w:tabs>
        <w:spacing w:line="150" w:lineRule="exact" w:before="120"/>
        <w:ind w:left="159" w:right="0" w:firstLine="0"/>
        <w:jc w:val="left"/>
        <w:rPr>
          <w:sz w:val="14"/>
        </w:rPr>
      </w:pPr>
      <w:r>
        <w:rPr>
          <w:color w:val="231F20"/>
          <w:sz w:val="14"/>
        </w:rPr>
        <w:t>General public</w:t>
        <w:tab/>
        <w:t>4.2</w:t>
        <w:tab/>
        <w:t>4.4</w:t>
      </w:r>
    </w:p>
    <w:p>
      <w:pPr>
        <w:tabs>
          <w:tab w:pos="2329" w:val="left" w:leader="none"/>
          <w:tab w:pos="3464" w:val="right" w:leader="none"/>
        </w:tabs>
        <w:spacing w:line="140" w:lineRule="exact" w:before="0"/>
        <w:ind w:left="159" w:right="0" w:firstLine="0"/>
        <w:jc w:val="left"/>
        <w:rPr>
          <w:sz w:val="14"/>
        </w:rPr>
      </w:pPr>
      <w:r>
        <w:rPr>
          <w:color w:val="231F20"/>
          <w:sz w:val="14"/>
        </w:rPr>
        <w:t>Business economists</w:t>
        <w:tab/>
        <w:t>3.0</w:t>
        <w:tab/>
        <w:t>3.2</w:t>
      </w:r>
    </w:p>
    <w:p>
      <w:pPr>
        <w:tabs>
          <w:tab w:pos="2329" w:val="left" w:leader="none"/>
          <w:tab w:pos="3464" w:val="right" w:leader="none"/>
        </w:tabs>
        <w:spacing w:line="140" w:lineRule="exact" w:before="0"/>
        <w:ind w:left="159" w:right="0" w:firstLine="0"/>
        <w:jc w:val="left"/>
        <w:rPr>
          <w:sz w:val="14"/>
        </w:rPr>
      </w:pPr>
      <w:r>
        <w:rPr>
          <w:color w:val="231F20"/>
          <w:sz w:val="14"/>
        </w:rPr>
        <w:t>Finance directors</w:t>
        <w:tab/>
        <w:t>3.1</w:t>
        <w:tab/>
        <w:t>3.4</w:t>
      </w:r>
    </w:p>
    <w:p>
      <w:pPr>
        <w:tabs>
          <w:tab w:pos="2329" w:val="left" w:leader="none"/>
          <w:tab w:pos="3464" w:val="right" w:leader="none"/>
        </w:tabs>
        <w:spacing w:line="140" w:lineRule="exact" w:before="0"/>
        <w:ind w:left="159" w:right="0" w:firstLine="0"/>
        <w:jc w:val="left"/>
        <w:rPr>
          <w:sz w:val="14"/>
        </w:rPr>
      </w:pPr>
      <w:r>
        <w:rPr>
          <w:color w:val="231F20"/>
          <w:sz w:val="14"/>
        </w:rPr>
        <w:t>Investment analysts</w:t>
        <w:tab/>
        <w:t>3.1</w:t>
        <w:tab/>
        <w:t>3.1</w:t>
      </w:r>
    </w:p>
    <w:p>
      <w:pPr>
        <w:tabs>
          <w:tab w:pos="2329" w:val="left" w:leader="none"/>
          <w:tab w:pos="3464" w:val="right" w:leader="none"/>
        </w:tabs>
        <w:spacing w:line="140" w:lineRule="exact" w:before="0"/>
        <w:ind w:left="159" w:right="0" w:firstLine="0"/>
        <w:jc w:val="left"/>
        <w:rPr>
          <w:sz w:val="14"/>
        </w:rPr>
      </w:pPr>
      <w:r>
        <w:rPr>
          <w:color w:val="231F20"/>
          <w:sz w:val="14"/>
        </w:rPr>
        <w:t>Academic economists</w:t>
        <w:tab/>
        <w:t>3.0</w:t>
        <w:tab/>
        <w:t>3.2</w:t>
      </w:r>
    </w:p>
    <w:p>
      <w:pPr>
        <w:tabs>
          <w:tab w:pos="2329" w:val="left" w:leader="none"/>
          <w:tab w:pos="3464" w:val="right" w:leader="none"/>
        </w:tabs>
        <w:spacing w:line="150" w:lineRule="exact" w:before="0"/>
        <w:ind w:left="159" w:right="0" w:firstLine="0"/>
        <w:jc w:val="left"/>
        <w:rPr>
          <w:sz w:val="14"/>
        </w:rPr>
      </w:pPr>
      <w:r>
        <w:rPr>
          <w:color w:val="231F20"/>
          <w:sz w:val="14"/>
        </w:rPr>
        <w:t>Trade unions</w:t>
        <w:tab/>
        <w:t>3.4</w:t>
        <w:tab/>
        <w:t>3.7</w:t>
      </w:r>
    </w:p>
    <w:p>
      <w:pPr>
        <w:spacing w:before="119"/>
        <w:ind w:left="159" w:right="0" w:firstLine="0"/>
        <w:jc w:val="left"/>
        <w:rPr>
          <w:sz w:val="14"/>
        </w:rPr>
      </w:pPr>
      <w:r>
        <w:rPr>
          <w:color w:val="231F20"/>
          <w:sz w:val="14"/>
        </w:rPr>
        <w:t>Twelve-month RPI inflation two years ahead</w:t>
      </w:r>
    </w:p>
    <w:p>
      <w:pPr>
        <w:tabs>
          <w:tab w:pos="3039" w:val="left" w:leader="none"/>
        </w:tabs>
        <w:spacing w:before="119"/>
        <w:ind w:left="2079" w:right="0" w:firstLine="0"/>
        <w:jc w:val="left"/>
        <w:rPr>
          <w:sz w:val="14"/>
        </w:rPr>
      </w:pPr>
      <w:r>
        <w:rPr>
          <w:color w:val="231F20"/>
          <w:sz w:val="14"/>
          <w:u w:val="single" w:color="231F20"/>
        </w:rPr>
        <w:t>June 1997</w:t>
      </w:r>
      <w:r>
        <w:rPr>
          <w:color w:val="231F20"/>
          <w:sz w:val="14"/>
        </w:rPr>
        <w:tab/>
      </w:r>
      <w:r>
        <w:rPr>
          <w:color w:val="231F20"/>
          <w:sz w:val="14"/>
          <w:u w:val="single" w:color="231F20"/>
        </w:rPr>
        <w:t>September 1997</w:t>
      </w:r>
    </w:p>
    <w:p>
      <w:pPr>
        <w:pStyle w:val="BodyText"/>
        <w:spacing w:before="9"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036"/>
        <w:gridCol w:w="617"/>
      </w:tblGrid>
      <w:tr>
        <w:trPr>
          <w:trHeight w:val="147" w:hRule="atLeast"/>
        </w:trPr>
        <w:tc>
          <w:tcPr>
            <w:tcW w:w="1751" w:type="dxa"/>
          </w:tcPr>
          <w:p>
            <w:pPr>
              <w:pStyle w:val="TableParagraph"/>
              <w:spacing w:line="128" w:lineRule="exact"/>
              <w:ind w:left="50"/>
              <w:rPr>
                <w:sz w:val="14"/>
              </w:rPr>
            </w:pPr>
            <w:r>
              <w:rPr>
                <w:color w:val="231F20"/>
                <w:sz w:val="14"/>
              </w:rPr>
              <w:t>General public</w:t>
            </w:r>
          </w:p>
        </w:tc>
        <w:tc>
          <w:tcPr>
            <w:tcW w:w="1036" w:type="dxa"/>
          </w:tcPr>
          <w:p>
            <w:pPr>
              <w:pStyle w:val="TableParagraph"/>
              <w:spacing w:line="128" w:lineRule="exact"/>
              <w:ind w:right="391"/>
              <w:jc w:val="right"/>
              <w:rPr>
                <w:sz w:val="14"/>
              </w:rPr>
            </w:pPr>
            <w:r>
              <w:rPr>
                <w:color w:val="231F20"/>
                <w:sz w:val="14"/>
              </w:rPr>
              <w:t>4.7</w:t>
            </w:r>
          </w:p>
        </w:tc>
        <w:tc>
          <w:tcPr>
            <w:tcW w:w="617" w:type="dxa"/>
          </w:tcPr>
          <w:p>
            <w:pPr>
              <w:pStyle w:val="TableParagraph"/>
              <w:spacing w:line="128" w:lineRule="exact"/>
              <w:ind w:right="47"/>
              <w:jc w:val="right"/>
              <w:rPr>
                <w:sz w:val="14"/>
              </w:rPr>
            </w:pPr>
            <w:r>
              <w:rPr>
                <w:color w:val="231F20"/>
                <w:sz w:val="14"/>
              </w:rPr>
              <w:t>5.0</w:t>
            </w:r>
          </w:p>
        </w:tc>
      </w:tr>
      <w:tr>
        <w:trPr>
          <w:trHeight w:val="140" w:hRule="atLeast"/>
        </w:trPr>
        <w:tc>
          <w:tcPr>
            <w:tcW w:w="1751" w:type="dxa"/>
          </w:tcPr>
          <w:p>
            <w:pPr>
              <w:pStyle w:val="TableParagraph"/>
              <w:spacing w:line="120" w:lineRule="exact"/>
              <w:ind w:left="50"/>
              <w:rPr>
                <w:sz w:val="14"/>
              </w:rPr>
            </w:pPr>
            <w:r>
              <w:rPr>
                <w:color w:val="231F20"/>
                <w:sz w:val="14"/>
              </w:rPr>
              <w:t>Business economists</w:t>
            </w:r>
          </w:p>
        </w:tc>
        <w:tc>
          <w:tcPr>
            <w:tcW w:w="1036" w:type="dxa"/>
          </w:tcPr>
          <w:p>
            <w:pPr>
              <w:pStyle w:val="TableParagraph"/>
              <w:spacing w:line="120" w:lineRule="exact"/>
              <w:ind w:right="391"/>
              <w:jc w:val="right"/>
              <w:rPr>
                <w:sz w:val="14"/>
              </w:rPr>
            </w:pPr>
            <w:r>
              <w:rPr>
                <w:color w:val="231F20"/>
                <w:sz w:val="14"/>
              </w:rPr>
              <w:t>3.2</w:t>
            </w:r>
          </w:p>
        </w:tc>
        <w:tc>
          <w:tcPr>
            <w:tcW w:w="617" w:type="dxa"/>
          </w:tcPr>
          <w:p>
            <w:pPr>
              <w:pStyle w:val="TableParagraph"/>
              <w:spacing w:line="120" w:lineRule="exact"/>
              <w:ind w:right="47"/>
              <w:jc w:val="right"/>
              <w:rPr>
                <w:sz w:val="14"/>
              </w:rPr>
            </w:pPr>
            <w:r>
              <w:rPr>
                <w:color w:val="231F20"/>
                <w:sz w:val="14"/>
              </w:rPr>
              <w:t>3.4</w:t>
            </w:r>
          </w:p>
        </w:tc>
      </w:tr>
      <w:tr>
        <w:trPr>
          <w:trHeight w:val="140" w:hRule="atLeast"/>
        </w:trPr>
        <w:tc>
          <w:tcPr>
            <w:tcW w:w="1751" w:type="dxa"/>
          </w:tcPr>
          <w:p>
            <w:pPr>
              <w:pStyle w:val="TableParagraph"/>
              <w:spacing w:line="120" w:lineRule="exact"/>
              <w:ind w:left="50"/>
              <w:rPr>
                <w:sz w:val="14"/>
              </w:rPr>
            </w:pPr>
            <w:r>
              <w:rPr>
                <w:color w:val="231F20"/>
                <w:sz w:val="14"/>
              </w:rPr>
              <w:t>Finance directors</w:t>
            </w:r>
          </w:p>
        </w:tc>
        <w:tc>
          <w:tcPr>
            <w:tcW w:w="1036" w:type="dxa"/>
          </w:tcPr>
          <w:p>
            <w:pPr>
              <w:pStyle w:val="TableParagraph"/>
              <w:spacing w:line="120" w:lineRule="exact"/>
              <w:ind w:right="391"/>
              <w:jc w:val="right"/>
              <w:rPr>
                <w:sz w:val="14"/>
              </w:rPr>
            </w:pPr>
            <w:r>
              <w:rPr>
                <w:color w:val="231F20"/>
                <w:sz w:val="14"/>
              </w:rPr>
              <w:t>3.6</w:t>
            </w:r>
          </w:p>
        </w:tc>
        <w:tc>
          <w:tcPr>
            <w:tcW w:w="617" w:type="dxa"/>
          </w:tcPr>
          <w:p>
            <w:pPr>
              <w:pStyle w:val="TableParagraph"/>
              <w:spacing w:line="120" w:lineRule="exact"/>
              <w:ind w:right="47"/>
              <w:jc w:val="right"/>
              <w:rPr>
                <w:sz w:val="14"/>
              </w:rPr>
            </w:pPr>
            <w:r>
              <w:rPr>
                <w:color w:val="231F20"/>
                <w:sz w:val="14"/>
              </w:rPr>
              <w:t>3.7</w:t>
            </w:r>
          </w:p>
        </w:tc>
      </w:tr>
      <w:tr>
        <w:trPr>
          <w:trHeight w:val="140" w:hRule="atLeast"/>
        </w:trPr>
        <w:tc>
          <w:tcPr>
            <w:tcW w:w="1751" w:type="dxa"/>
          </w:tcPr>
          <w:p>
            <w:pPr>
              <w:pStyle w:val="TableParagraph"/>
              <w:spacing w:line="120" w:lineRule="exact"/>
              <w:ind w:left="50"/>
              <w:rPr>
                <w:sz w:val="14"/>
              </w:rPr>
            </w:pPr>
            <w:r>
              <w:rPr>
                <w:color w:val="231F20"/>
                <w:sz w:val="14"/>
              </w:rPr>
              <w:t>Investment analysts</w:t>
            </w:r>
          </w:p>
        </w:tc>
        <w:tc>
          <w:tcPr>
            <w:tcW w:w="1036" w:type="dxa"/>
          </w:tcPr>
          <w:p>
            <w:pPr>
              <w:pStyle w:val="TableParagraph"/>
              <w:spacing w:line="120" w:lineRule="exact"/>
              <w:ind w:right="391"/>
              <w:jc w:val="right"/>
              <w:rPr>
                <w:sz w:val="14"/>
              </w:rPr>
            </w:pPr>
            <w:r>
              <w:rPr>
                <w:color w:val="231F20"/>
                <w:sz w:val="14"/>
              </w:rPr>
              <w:t>3.5</w:t>
            </w:r>
          </w:p>
        </w:tc>
        <w:tc>
          <w:tcPr>
            <w:tcW w:w="617" w:type="dxa"/>
          </w:tcPr>
          <w:p>
            <w:pPr>
              <w:pStyle w:val="TableParagraph"/>
              <w:spacing w:line="120" w:lineRule="exact"/>
              <w:ind w:right="47"/>
              <w:jc w:val="right"/>
              <w:rPr>
                <w:sz w:val="14"/>
              </w:rPr>
            </w:pPr>
            <w:r>
              <w:rPr>
                <w:color w:val="231F20"/>
                <w:sz w:val="14"/>
              </w:rPr>
              <w:t>3.8</w:t>
            </w:r>
          </w:p>
        </w:tc>
      </w:tr>
      <w:tr>
        <w:trPr>
          <w:trHeight w:val="140" w:hRule="atLeast"/>
        </w:trPr>
        <w:tc>
          <w:tcPr>
            <w:tcW w:w="1751" w:type="dxa"/>
          </w:tcPr>
          <w:p>
            <w:pPr>
              <w:pStyle w:val="TableParagraph"/>
              <w:spacing w:line="120" w:lineRule="exact"/>
              <w:ind w:left="50"/>
              <w:rPr>
                <w:sz w:val="14"/>
              </w:rPr>
            </w:pPr>
            <w:r>
              <w:rPr>
                <w:color w:val="231F20"/>
                <w:sz w:val="14"/>
              </w:rPr>
              <w:t>Academic economists</w:t>
            </w:r>
          </w:p>
        </w:tc>
        <w:tc>
          <w:tcPr>
            <w:tcW w:w="1036" w:type="dxa"/>
          </w:tcPr>
          <w:p>
            <w:pPr>
              <w:pStyle w:val="TableParagraph"/>
              <w:spacing w:line="120" w:lineRule="exact"/>
              <w:ind w:right="391"/>
              <w:jc w:val="right"/>
              <w:rPr>
                <w:sz w:val="14"/>
              </w:rPr>
            </w:pPr>
            <w:r>
              <w:rPr>
                <w:color w:val="231F20"/>
                <w:sz w:val="14"/>
              </w:rPr>
              <w:t>3.2</w:t>
            </w:r>
          </w:p>
        </w:tc>
        <w:tc>
          <w:tcPr>
            <w:tcW w:w="617" w:type="dxa"/>
          </w:tcPr>
          <w:p>
            <w:pPr>
              <w:pStyle w:val="TableParagraph"/>
              <w:spacing w:line="120" w:lineRule="exact"/>
              <w:ind w:right="47"/>
              <w:jc w:val="right"/>
              <w:rPr>
                <w:sz w:val="14"/>
              </w:rPr>
            </w:pPr>
            <w:r>
              <w:rPr>
                <w:color w:val="231F20"/>
                <w:sz w:val="14"/>
              </w:rPr>
              <w:t>3.1</w:t>
            </w:r>
          </w:p>
        </w:tc>
      </w:tr>
      <w:tr>
        <w:trPr>
          <w:trHeight w:val="198" w:hRule="atLeast"/>
        </w:trPr>
        <w:tc>
          <w:tcPr>
            <w:tcW w:w="1751" w:type="dxa"/>
          </w:tcPr>
          <w:p>
            <w:pPr>
              <w:pStyle w:val="TableParagraph"/>
              <w:spacing w:line="148" w:lineRule="exact"/>
              <w:ind w:left="50"/>
              <w:rPr>
                <w:sz w:val="14"/>
              </w:rPr>
            </w:pPr>
            <w:r>
              <w:rPr>
                <w:color w:val="231F20"/>
                <w:sz w:val="14"/>
              </w:rPr>
              <w:t>Trade unions</w:t>
            </w:r>
          </w:p>
        </w:tc>
        <w:tc>
          <w:tcPr>
            <w:tcW w:w="1036" w:type="dxa"/>
          </w:tcPr>
          <w:p>
            <w:pPr>
              <w:pStyle w:val="TableParagraph"/>
              <w:spacing w:line="148" w:lineRule="exact"/>
              <w:ind w:right="391"/>
              <w:jc w:val="right"/>
              <w:rPr>
                <w:sz w:val="14"/>
              </w:rPr>
            </w:pPr>
            <w:r>
              <w:rPr>
                <w:color w:val="231F20"/>
                <w:sz w:val="14"/>
              </w:rPr>
              <w:t>4.1</w:t>
            </w:r>
          </w:p>
        </w:tc>
        <w:tc>
          <w:tcPr>
            <w:tcW w:w="617" w:type="dxa"/>
          </w:tcPr>
          <w:p>
            <w:pPr>
              <w:pStyle w:val="TableParagraph"/>
              <w:spacing w:line="148" w:lineRule="exact"/>
              <w:ind w:right="47"/>
              <w:jc w:val="right"/>
              <w:rPr>
                <w:sz w:val="14"/>
              </w:rPr>
            </w:pPr>
            <w:r>
              <w:rPr>
                <w:color w:val="231F20"/>
                <w:sz w:val="14"/>
              </w:rPr>
              <w:t>3.9</w:t>
            </w:r>
          </w:p>
        </w:tc>
      </w:tr>
      <w:tr>
        <w:trPr>
          <w:trHeight w:val="184" w:hRule="atLeast"/>
        </w:trPr>
        <w:tc>
          <w:tcPr>
            <w:tcW w:w="1751" w:type="dxa"/>
          </w:tcPr>
          <w:p>
            <w:pPr>
              <w:pStyle w:val="TableParagraph"/>
              <w:spacing w:line="118" w:lineRule="exact" w:before="46"/>
              <w:ind w:left="50"/>
              <w:rPr>
                <w:sz w:val="12"/>
              </w:rPr>
            </w:pPr>
            <w:r>
              <w:rPr>
                <w:color w:val="231F20"/>
                <w:sz w:val="12"/>
              </w:rPr>
              <w:t>Source: Barclays Bank.</w:t>
            </w:r>
          </w:p>
        </w:tc>
        <w:tc>
          <w:tcPr>
            <w:tcW w:w="1036" w:type="dxa"/>
          </w:tcPr>
          <w:p>
            <w:pPr>
              <w:pStyle w:val="TableParagraph"/>
              <w:rPr>
                <w:sz w:val="12"/>
              </w:rPr>
            </w:pPr>
          </w:p>
        </w:tc>
        <w:tc>
          <w:tcPr>
            <w:tcW w:w="617" w:type="dxa"/>
          </w:tcPr>
          <w:p>
            <w:pPr>
              <w:pStyle w:val="TableParagraph"/>
              <w:rPr>
                <w:sz w:val="12"/>
              </w:rPr>
            </w:pPr>
          </w:p>
        </w:tc>
      </w:tr>
    </w:tbl>
    <w:p>
      <w:pPr>
        <w:pStyle w:val="BodyText"/>
        <w:spacing w:before="8"/>
        <w:rPr>
          <w:sz w:val="16"/>
        </w:rPr>
      </w:pPr>
    </w:p>
    <w:p>
      <w:pPr>
        <w:pStyle w:val="Heading9"/>
        <w:spacing w:before="0"/>
        <w:ind w:left="160"/>
      </w:pPr>
      <w:r>
        <w:rPr>
          <w:color w:val="0093C1"/>
        </w:rPr>
        <w:t>Chart 7.9</w:t>
      </w:r>
    </w:p>
    <w:p>
      <w:pPr>
        <w:spacing w:before="10"/>
        <w:ind w:left="160" w:right="0" w:firstLine="0"/>
        <w:jc w:val="left"/>
        <w:rPr>
          <w:sz w:val="12"/>
        </w:rPr>
      </w:pPr>
      <w:r>
        <w:rPr>
          <w:b/>
          <w:color w:val="0093C1"/>
          <w:sz w:val="20"/>
        </w:rPr>
        <w:t>Implied forward inflation rates</w:t>
      </w:r>
      <w:r>
        <w:rPr>
          <w:color w:val="231F20"/>
          <w:position w:val="4"/>
          <w:sz w:val="12"/>
        </w:rPr>
        <w:t>(a)</w:t>
      </w:r>
    </w:p>
    <w:p>
      <w:pPr>
        <w:spacing w:before="105"/>
        <w:ind w:left="3120" w:right="0" w:firstLine="0"/>
        <w:jc w:val="left"/>
        <w:rPr>
          <w:sz w:val="12"/>
        </w:rPr>
      </w:pPr>
      <w:r>
        <w:rPr/>
        <w:pict>
          <v:group style="position:absolute;margin-left:43.5pt;margin-top:20.851563pt;width:164pt;height:123.75pt;mso-position-horizontal-relative:page;mso-position-vertical-relative:paragraph;z-index:16130560" coordorigin="870,417" coordsize="3280,2475">
            <v:shape style="position:absolute;left:870;top:1387;width:80;height:1120" coordorigin="870,1387" coordsize="80,1120" path="m950,2507l870,2507m950,2147l870,2147m950,1767l870,1767m950,1387l870,1387e" filled="false" stroked="true" strokeweight=".5pt" strokecolor="#000000">
              <v:path arrowok="t"/>
              <v:stroke dashstyle="solid"/>
            </v:shape>
            <v:shape style="position:absolute;left:1010;top:887;width:3000;height:1840" coordorigin="1010,887" coordsize="3000,1840" path="m1010,1387l1050,1467,1090,1127,1130,1487,1170,1807,1210,1747,1270,1847,1310,1727,1350,1907,1390,2167,1530,2447,1570,2407,1610,2267,1650,2247,1690,1947,1750,1827,1790,2067,1830,2427m1830,2427l1870,2407,1910,2507,1950,2347,2010,2507,2050,2487,2090,2247,2130,1687,2170,1387,2210,1247,2270,987,2310,1207,2350,1007,2390,887,2430,947,2490,1047,2530,1107,2570,1047,2610,1227,2650,1287m2650,1287l2710,1427,2790,1747,2830,1687,2870,1747,2910,1867,2950,2047,3010,2287,3050,2567,3090,2627,3130,2407,3190,2167,3230,2087,3270,2147,3310,2187,3350,2287,3390,2307,3450,2387,3490,2407m3490,2407l3530,2327,3570,2287,3610,2367,3650,2527,3710,2407,3750,2287,3790,2567,3830,2647,3870,2507,3930,2527,3970,2687,4010,2727e" filled="false" stroked="true" strokeweight="1pt" strokecolor="#ed1b2d">
              <v:path arrowok="t"/>
              <v:stroke dashstyle="solid"/>
            </v:shape>
            <v:shape style="position:absolute;left:1010;top:807;width:3000;height:2060" coordorigin="1010,807" coordsize="3000,2060" path="m1010,1567l1050,1667,1090,1587,1130,1867,1170,1987,1210,1847,1270,2007,1310,1927,1350,1927,1390,1607,1430,1747,1470,1947,1530,1827,1570,1707,1610,1767,1650,1807,1690,1407,1750,1427,1790,1647,1830,2087m1830,2087l1870,2187,1910,2187,1950,2027,2010,2307,2050,2347,2090,2007,2130,1467,2170,1267,2210,1027,2270,807,2310,1067,2350,1087,2390,1027,2430,1127,2490,1267,2530,1387,2570,1327,2610,1427,2650,1487m2650,1487l2710,1567,2750,1627,2790,1627,2830,1507,2870,1547,2910,1647,2950,1687,3010,1847,3050,2027,3090,2167,3130,1927,3190,1747,3230,1727,3270,1767,3310,1767,3350,1807,3390,1907,3450,1927,3490,2087m3490,2087l3530,2147,3570,2127,3610,2187,3650,2367,3710,2187,3750,2107,3790,2487,3830,2627,3870,2567,3930,2527,3970,2687,4010,2867e" filled="false" stroked="true" strokeweight="1pt" strokecolor="#0066a5">
              <v:path arrowok="t"/>
              <v:stroke dashstyle="solid"/>
            </v:shape>
            <v:shape style="position:absolute;left:870;top:627;width:80;height:380" coordorigin="870,627" coordsize="80,380" path="m950,1007l870,1007m950,627l870,627e" filled="false" stroked="true" strokeweight=".5pt" strokecolor="#000000">
              <v:path arrowok="t"/>
              <v:stroke dashstyle="solid"/>
            </v:shape>
            <v:shape style="position:absolute;left:1010;top:427;width:3000;height:2320" coordorigin="1010,427" coordsize="3000,2320" path="m1010,1707l1050,1707,1090,1807,1130,2007,1170,1967,1210,1787,1270,2067,1310,2127,1350,1827,1390,427,1430,547,1470,887,1530,507,1570,587,1610,867,1650,947,1690,807,1750,1027,1790,1327,1830,1707m1830,1707l1870,1847,1910,1847,1950,1927,2010,2287,2050,2247,2130,1767,2170,1787,2210,1647,2270,1707,2310,1847,2350,1767,2390,1627,2430,1727,2490,1767,2530,1847,2570,1767,2610,1847,2650,1847m2650,1847l2710,1867,2750,1807,2790,1687,2830,1507,2870,1467,2910,1547,2950,1367,3010,1507,3050,1627,3090,1647,3130,1427,3190,1367,3230,1467,3270,1487,3310,1467,3350,1467,3390,1487,3450,1487,3490,1627m3490,1627l3530,1807,3570,1927,3610,1927,3650,2047,3710,1967,3750,1907,3790,2367,3870,2607,3930,2507,4010,2747e" filled="false" stroked="true" strokeweight="1pt" strokecolor="#faab54">
              <v:path arrowok="t"/>
              <v:stroke dashstyle="solid"/>
            </v:shape>
            <v:shape style="position:absolute;left:4070;top:627;width:80;height:2260" coordorigin="4070,627" coordsize="80,2260" path="m4150,2887l4070,2887m4150,2507l4070,2507m4150,2147l4070,2147m4150,1767l4070,1767m4150,1387l4070,1387m4150,1007l4070,1007m4150,627l4070,627e" filled="false" stroked="true" strokeweight=".5pt" strokecolor="#000000">
              <v:path arrowok="t"/>
              <v:stroke dashstyle="solid"/>
            </v:shape>
            <v:line style="position:absolute" from="3247,1257" to="3247,1637" stroked="true" strokeweight=".5pt" strokecolor="#000000">
              <v:stroke dashstyle="solid"/>
            </v:line>
            <v:shape style="position:absolute;left:3221;top:1620;width:51;height:85" coordorigin="3221,1620" coordsize="51,85" path="m3272,1620l3221,1620,3228,1636,3232,1648,3247,1705,3248,1696,3250,1685,3253,1674,3257,1661,3261,1649,3272,1620xe" filled="true" fillcolor="#000000" stroked="false">
              <v:path arrowok="t"/>
              <v:fill type="solid"/>
            </v:shape>
            <v:shape style="position:absolute;left:1599;top:590;width:453;height:133" type="#_x0000_t202" filled="false" stroked="false">
              <v:textbox inset="0,0,0,0">
                <w:txbxContent>
                  <w:p>
                    <w:pPr>
                      <w:spacing w:line="133" w:lineRule="exact" w:before="0"/>
                      <w:ind w:left="0" w:right="0" w:firstLine="0"/>
                      <w:jc w:val="left"/>
                      <w:rPr>
                        <w:sz w:val="12"/>
                      </w:rPr>
                    </w:pPr>
                    <w:r>
                      <w:rPr>
                        <w:sz w:val="12"/>
                      </w:rPr>
                      <w:t>Ten-year</w:t>
                    </w:r>
                  </w:p>
                </w:txbxContent>
              </v:textbox>
              <w10:wrap type="none"/>
            </v:shape>
            <v:shape style="position:absolute;left:3059;top:1123;width:480;height:133" type="#_x0000_t202" filled="false" stroked="false">
              <v:textbox inset="0,0,0,0">
                <w:txbxContent>
                  <w:p>
                    <w:pPr>
                      <w:spacing w:line="133" w:lineRule="exact" w:before="0"/>
                      <w:ind w:left="0" w:right="0" w:firstLine="0"/>
                      <w:jc w:val="left"/>
                      <w:rPr>
                        <w:sz w:val="12"/>
                      </w:rPr>
                    </w:pPr>
                    <w:r>
                      <w:rPr>
                        <w:sz w:val="12"/>
                      </w:rPr>
                      <w:t>Five-year</w:t>
                    </w:r>
                  </w:p>
                </w:txbxContent>
              </v:textbox>
              <w10:wrap type="none"/>
            </v:shape>
            <v:shape style="position:absolute;left:2719;top:2636;width:547;height:133" type="#_x0000_t202" filled="false" stroked="false">
              <v:textbox inset="0,0,0,0">
                <w:txbxContent>
                  <w:p>
                    <w:pPr>
                      <w:spacing w:line="133" w:lineRule="exact" w:before="0"/>
                      <w:ind w:left="0" w:right="0" w:firstLine="0"/>
                      <w:jc w:val="left"/>
                      <w:rPr>
                        <w:sz w:val="12"/>
                      </w:rPr>
                    </w:pPr>
                    <w:r>
                      <w:rPr>
                        <w:sz w:val="12"/>
                      </w:rPr>
                      <w:t>Three-year</w:t>
                    </w:r>
                  </w:p>
                </w:txbxContent>
              </v:textbox>
              <w10:wrap type="none"/>
            </v:shape>
            <w10:wrap type="none"/>
          </v:group>
        </w:pict>
      </w:r>
      <w:r>
        <w:rPr/>
        <w:pict>
          <v:line style="position:absolute;mso-position-horizontal-relative:page;mso-position-vertical-relative:paragraph;z-index:16131072" from="47.5pt,13.351563pt" to="43.5pt,13.351563pt" stroked="true" strokeweight=".5pt" strokecolor="#000000">
            <v:stroke dashstyle="solid"/>
            <w10:wrap type="none"/>
          </v:line>
        </w:pict>
      </w:r>
      <w:r>
        <w:rPr/>
        <w:pict>
          <v:line style="position:absolute;mso-position-horizontal-relative:page;mso-position-vertical-relative:paragraph;z-index:16131584" from="207.5pt,13.351563pt" to="203.5pt,13.351563pt" stroked="true" strokeweight=".5pt" strokecolor="#000000">
            <v:stroke dashstyle="solid"/>
            <w10:wrap type="none"/>
          </v:line>
        </w:pict>
      </w:r>
      <w:r>
        <w:rPr>
          <w:sz w:val="12"/>
        </w:rPr>
        <w:t>Per cent </w:t>
      </w:r>
      <w:r>
        <w:rPr>
          <w:spacing w:val="10"/>
          <w:sz w:val="12"/>
        </w:rPr>
        <w:t> </w:t>
      </w:r>
      <w:r>
        <w:rPr>
          <w:position w:val="-5"/>
          <w:sz w:val="12"/>
        </w:rPr>
        <w:t>6.5</w:t>
      </w:r>
    </w:p>
    <w:p>
      <w:pPr>
        <w:pStyle w:val="BodyText"/>
        <w:rPr>
          <w:sz w:val="21"/>
        </w:rPr>
      </w:pPr>
    </w:p>
    <w:p>
      <w:pPr>
        <w:spacing w:before="0"/>
        <w:ind w:left="3580" w:right="0" w:firstLine="0"/>
        <w:jc w:val="left"/>
        <w:rPr>
          <w:sz w:val="12"/>
        </w:rPr>
      </w:pPr>
      <w:r>
        <w:rPr>
          <w:sz w:val="12"/>
        </w:rPr>
        <w:t>6.0</w:t>
      </w:r>
    </w:p>
    <w:p>
      <w:pPr>
        <w:pStyle w:val="BodyText"/>
        <w:rPr>
          <w:sz w:val="12"/>
        </w:rPr>
      </w:pPr>
    </w:p>
    <w:p>
      <w:pPr>
        <w:spacing w:before="105"/>
        <w:ind w:left="3580" w:right="0" w:firstLine="0"/>
        <w:jc w:val="left"/>
        <w:rPr>
          <w:sz w:val="12"/>
        </w:rPr>
      </w:pPr>
      <w:r>
        <w:rPr>
          <w:sz w:val="12"/>
        </w:rPr>
        <w:t>5.5</w:t>
      </w:r>
    </w:p>
    <w:p>
      <w:pPr>
        <w:pStyle w:val="BodyText"/>
        <w:rPr>
          <w:sz w:val="12"/>
        </w:rPr>
      </w:pPr>
    </w:p>
    <w:p>
      <w:pPr>
        <w:spacing w:before="84"/>
        <w:ind w:left="3580" w:right="0" w:firstLine="0"/>
        <w:jc w:val="left"/>
        <w:rPr>
          <w:sz w:val="12"/>
        </w:rPr>
      </w:pPr>
      <w:r>
        <w:rPr>
          <w:sz w:val="12"/>
        </w:rPr>
        <w:t>5.0</w:t>
      </w:r>
    </w:p>
    <w:p>
      <w:pPr>
        <w:pStyle w:val="BodyText"/>
        <w:rPr>
          <w:sz w:val="12"/>
        </w:rPr>
      </w:pPr>
    </w:p>
    <w:p>
      <w:pPr>
        <w:spacing w:before="104"/>
        <w:ind w:left="3580" w:right="0" w:firstLine="0"/>
        <w:jc w:val="left"/>
        <w:rPr>
          <w:sz w:val="12"/>
        </w:rPr>
      </w:pPr>
      <w:r>
        <w:rPr>
          <w:sz w:val="12"/>
        </w:rPr>
        <w:t>4.5</w:t>
      </w:r>
    </w:p>
    <w:p>
      <w:pPr>
        <w:pStyle w:val="BodyText"/>
        <w:rPr>
          <w:sz w:val="12"/>
        </w:rPr>
      </w:pPr>
    </w:p>
    <w:p>
      <w:pPr>
        <w:spacing w:before="104"/>
        <w:ind w:left="3580" w:right="0" w:firstLine="0"/>
        <w:jc w:val="left"/>
        <w:rPr>
          <w:sz w:val="12"/>
        </w:rPr>
      </w:pPr>
      <w:r>
        <w:rPr>
          <w:sz w:val="12"/>
        </w:rPr>
        <w:t>4.0</w:t>
      </w:r>
    </w:p>
    <w:p>
      <w:pPr>
        <w:pStyle w:val="BodyText"/>
        <w:rPr>
          <w:sz w:val="12"/>
        </w:rPr>
      </w:pPr>
    </w:p>
    <w:p>
      <w:pPr>
        <w:spacing w:before="104"/>
        <w:ind w:left="3580" w:right="0" w:firstLine="0"/>
        <w:jc w:val="left"/>
        <w:rPr>
          <w:sz w:val="12"/>
        </w:rPr>
      </w:pPr>
      <w:r>
        <w:rPr>
          <w:sz w:val="12"/>
        </w:rPr>
        <w:t>3.5</w:t>
      </w:r>
    </w:p>
    <w:p>
      <w:pPr>
        <w:pStyle w:val="BodyText"/>
        <w:rPr>
          <w:sz w:val="12"/>
        </w:rPr>
      </w:pPr>
    </w:p>
    <w:p>
      <w:pPr>
        <w:spacing w:before="104"/>
        <w:ind w:left="3580" w:right="0" w:firstLine="0"/>
        <w:jc w:val="left"/>
        <w:rPr>
          <w:sz w:val="12"/>
        </w:rPr>
      </w:pPr>
      <w:r>
        <w:rPr/>
        <w:pict>
          <v:line style="position:absolute;mso-position-horizontal-relative:page;mso-position-vertical-relative:paragraph;z-index:16128512" from="47.5pt,9.301562pt" to="43.5pt,9.301562pt" stroked="true" strokeweight=".5pt" strokecolor="#000000">
            <v:stroke dashstyle="solid"/>
            <w10:wrap type="none"/>
          </v:line>
        </w:pict>
      </w:r>
      <w:r>
        <w:rPr>
          <w:sz w:val="12"/>
        </w:rPr>
        <w:t>3.0</w:t>
      </w:r>
    </w:p>
    <w:p>
      <w:pPr>
        <w:pStyle w:val="BodyText"/>
        <w:rPr>
          <w:sz w:val="12"/>
        </w:rPr>
      </w:pPr>
    </w:p>
    <w:p>
      <w:pPr>
        <w:spacing w:before="104"/>
        <w:ind w:left="3580" w:right="0" w:firstLine="0"/>
        <w:jc w:val="left"/>
        <w:rPr>
          <w:sz w:val="12"/>
        </w:rPr>
      </w:pPr>
      <w:r>
        <w:rPr/>
        <w:pict>
          <v:group style="position:absolute;margin-left:43.5pt;margin-top:8.883562pt;width:165.7pt;height:7.8pt;mso-position-horizontal-relative:page;mso-position-vertical-relative:paragraph;z-index:16128000" coordorigin="870,178" coordsize="3314,156">
            <v:shape style="position:absolute;left:870;top:186;width:3289;height:140" coordorigin="870,186" coordsize="3289,140" path="m3610,326l3610,246m3090,326l3090,246m2570,326l2570,246m2050,326l2050,246m1530,326l1530,246m990,326l990,246m958,186l870,186m874,326l4155,326m1125,326l1125,286m1260,326l1260,286m1395,326l1395,286m1660,326l1660,286m1790,326l1790,286m1920,326l1920,286m2180,326l2180,286m2310,326l2310,286m2440,326l2440,286m2700,326l2700,286m2830,326l2830,286m2960,326l2960,286m3220,326l3220,286m3350,326l3350,286m3480,326l3480,286m3743,326l3743,286m3877,326l3877,286m4010,326l4010,286m4159,186l4070,186e" filled="false" stroked="true" strokeweight=".5pt" strokecolor="#000000">
              <v:path arrowok="t"/>
              <v:stroke dashstyle="solid"/>
            </v:shape>
            <v:shape style="position:absolute;left:935;top:182;width:3243;height:146" coordorigin="936,183" coordsize="3243,146" path="m4158,183l4158,218,4138,234,4178,248,4138,268,4178,285,4155,295,4154,328m956,189l956,216,936,232,976,246,936,266,976,282,952,292,952,326e" filled="false" stroked="true" strokeweight=".5pt" strokecolor="#000000">
              <v:path arrowok="t"/>
              <v:stroke dashstyle="solid"/>
            </v:shape>
            <w10:wrap type="none"/>
          </v:group>
        </w:pict>
      </w:r>
      <w:r>
        <w:rPr>
          <w:sz w:val="12"/>
        </w:rPr>
        <w:t>2.5</w:t>
      </w:r>
    </w:p>
    <w:p>
      <w:pPr>
        <w:spacing w:line="119" w:lineRule="exact" w:before="2"/>
        <w:ind w:left="3579" w:right="0" w:firstLine="0"/>
        <w:jc w:val="left"/>
        <w:rPr>
          <w:sz w:val="12"/>
        </w:rPr>
      </w:pPr>
      <w:r>
        <w:rPr>
          <w:sz w:val="12"/>
        </w:rPr>
        <w:t>0.0</w:t>
      </w:r>
    </w:p>
    <w:p>
      <w:pPr>
        <w:tabs>
          <w:tab w:pos="1079" w:val="left" w:leader="none"/>
          <w:tab w:pos="1599" w:val="left" w:leader="none"/>
          <w:tab w:pos="2119" w:val="left" w:leader="none"/>
          <w:tab w:pos="2659" w:val="left" w:leader="none"/>
          <w:tab w:pos="3139" w:val="left" w:leader="none"/>
        </w:tabs>
        <w:spacing w:line="119" w:lineRule="exact" w:before="0"/>
        <w:ind w:left="500" w:right="0" w:firstLine="0"/>
        <w:jc w:val="left"/>
        <w:rPr>
          <w:sz w:val="12"/>
        </w:rPr>
      </w:pPr>
      <w:r>
        <w:rPr>
          <w:sz w:val="12"/>
        </w:rPr>
        <w:t>1992</w:t>
        <w:tab/>
        <w:t>93</w:t>
        <w:tab/>
        <w:t>94</w:t>
        <w:tab/>
        <w:t>95</w:t>
        <w:tab/>
        <w:t>96</w:t>
        <w:tab/>
        <w:t>97</w:t>
      </w:r>
    </w:p>
    <w:p>
      <w:pPr>
        <w:spacing w:before="75"/>
        <w:ind w:left="160" w:right="0" w:firstLine="0"/>
        <w:jc w:val="left"/>
        <w:rPr>
          <w:sz w:val="12"/>
        </w:rPr>
      </w:pPr>
      <w:r>
        <w:rPr>
          <w:color w:val="231F20"/>
          <w:sz w:val="12"/>
        </w:rPr>
        <w:t>Source: Bank of England.</w:t>
      </w:r>
    </w:p>
    <w:p>
      <w:pPr>
        <w:spacing w:before="102"/>
        <w:ind w:left="160" w:right="0" w:firstLine="0"/>
        <w:jc w:val="left"/>
        <w:rPr>
          <w:sz w:val="12"/>
        </w:rPr>
      </w:pPr>
      <w:r>
        <w:rPr>
          <w:color w:val="231F20"/>
          <w:sz w:val="12"/>
        </w:rPr>
        <w:t>(a) Calendar-month average.</w:t>
      </w:r>
    </w:p>
    <w:p>
      <w:pPr>
        <w:pStyle w:val="Heading5"/>
        <w:spacing w:line="242" w:lineRule="auto" w:before="207"/>
        <w:ind w:left="160" w:right="229"/>
      </w:pPr>
      <w:r>
        <w:rPr/>
        <w:br w:type="column"/>
      </w:r>
      <w:r>
        <w:rPr>
          <w:color w:val="231F20"/>
        </w:rPr>
        <w:t>growth. At the same time, the large rise in the effective exchange rate during the past fifteen months is now leading to severe pressures on some sectors. Profit margins of exporters have fallen quite substantially, in response to the appreciation of sterling. So the sectoral incidence of monetary policy has remained uneven.</w:t>
      </w:r>
    </w:p>
    <w:p>
      <w:pPr>
        <w:pStyle w:val="BodyText"/>
        <w:rPr>
          <w:sz w:val="25"/>
        </w:rPr>
      </w:pPr>
    </w:p>
    <w:p>
      <w:pPr>
        <w:spacing w:line="242" w:lineRule="auto" w:before="0"/>
        <w:ind w:left="160" w:right="203" w:firstLine="0"/>
        <w:jc w:val="left"/>
        <w:rPr>
          <w:sz w:val="24"/>
        </w:rPr>
      </w:pPr>
      <w:r>
        <w:rPr>
          <w:color w:val="231F20"/>
          <w:sz w:val="24"/>
        </w:rPr>
        <w:t>In August, following the 1 percentage point rise in interest rates since </w:t>
      </w:r>
      <w:r>
        <w:rPr>
          <w:color w:val="231F20"/>
          <w:spacing w:val="-5"/>
          <w:sz w:val="24"/>
        </w:rPr>
        <w:t>May, </w:t>
      </w:r>
      <w:r>
        <w:rPr>
          <w:color w:val="231F20"/>
          <w:sz w:val="24"/>
        </w:rPr>
        <w:t>the MPC decided to pause in order to assess the direction in which the risks to inflation might materialise. Both inflation and output growth </w:t>
      </w:r>
      <w:r>
        <w:rPr>
          <w:color w:val="231F20"/>
          <w:spacing w:val="-3"/>
          <w:sz w:val="24"/>
        </w:rPr>
        <w:t>have </w:t>
      </w:r>
      <w:r>
        <w:rPr>
          <w:color w:val="231F20"/>
          <w:sz w:val="24"/>
        </w:rPr>
        <w:t>turned out to be about </w:t>
      </w:r>
      <w:r>
        <w:rPr>
          <w:color w:val="231F20"/>
          <w:position w:val="8"/>
          <w:sz w:val="12"/>
        </w:rPr>
        <w:t>1</w:t>
      </w:r>
      <w:r>
        <w:rPr>
          <w:color w:val="231F20"/>
          <w:sz w:val="24"/>
        </w:rPr>
        <w:t>/</w:t>
      </w:r>
      <w:r>
        <w:rPr>
          <w:color w:val="231F20"/>
          <w:sz w:val="12"/>
        </w:rPr>
        <w:t>2 </w:t>
      </w:r>
      <w:r>
        <w:rPr>
          <w:color w:val="231F20"/>
          <w:sz w:val="24"/>
        </w:rPr>
        <w:t>percentage point higher than the central projection in August. Profit margins on domestic sales </w:t>
      </w:r>
      <w:r>
        <w:rPr>
          <w:color w:val="231F20"/>
          <w:spacing w:val="-3"/>
          <w:sz w:val="24"/>
        </w:rPr>
        <w:t>have </w:t>
      </w:r>
      <w:r>
        <w:rPr>
          <w:color w:val="231F20"/>
          <w:sz w:val="24"/>
        </w:rPr>
        <w:t>risen to offset lower import prices, thus reducing the impact of the higher exchange rate on the domestic price level. The impact </w:t>
      </w:r>
      <w:r>
        <w:rPr>
          <w:color w:val="231F20"/>
          <w:spacing w:val="-7"/>
          <w:sz w:val="24"/>
        </w:rPr>
        <w:t>of </w:t>
      </w:r>
      <w:r>
        <w:rPr>
          <w:color w:val="231F20"/>
          <w:sz w:val="24"/>
        </w:rPr>
        <w:t>the exchange rate on net trade has been surprisingly muted so </w:t>
      </w:r>
      <w:r>
        <w:rPr>
          <w:color w:val="231F20"/>
          <w:spacing w:val="-4"/>
          <w:sz w:val="24"/>
        </w:rPr>
        <w:t>far, </w:t>
      </w:r>
      <w:r>
        <w:rPr>
          <w:color w:val="231F20"/>
          <w:sz w:val="24"/>
        </w:rPr>
        <w:t>and the anticipated reduction in the rate of output growth has not materialised. Although the most likely interpretation is that the impact on net trade has been deferred and that output growth will slow during 1998, there is uncertainty about the extent to which the pressure of demand relative to supply can continue without leading to a rise in inflation. But the continued rapid growth in broad </w:t>
      </w:r>
      <w:r>
        <w:rPr>
          <w:color w:val="231F20"/>
          <w:spacing w:val="-4"/>
          <w:sz w:val="24"/>
        </w:rPr>
        <w:t>money, </w:t>
      </w:r>
      <w:r>
        <w:rPr>
          <w:color w:val="231F20"/>
          <w:sz w:val="24"/>
        </w:rPr>
        <w:t>domestic demand and output, meant that the balance of risks to inflation remained on the upside. For these reasons, the Committee decided in November to raise interest rates by a further </w:t>
      </w:r>
      <w:r>
        <w:rPr>
          <w:color w:val="231F20"/>
          <w:position w:val="8"/>
          <w:sz w:val="12"/>
        </w:rPr>
        <w:t>1</w:t>
      </w:r>
      <w:r>
        <w:rPr>
          <w:color w:val="231F20"/>
          <w:sz w:val="24"/>
        </w:rPr>
        <w:t>/</w:t>
      </w:r>
      <w:r>
        <w:rPr>
          <w:color w:val="231F20"/>
          <w:sz w:val="12"/>
        </w:rPr>
        <w:t>4 </w:t>
      </w:r>
      <w:r>
        <w:rPr>
          <w:color w:val="231F20"/>
          <w:sz w:val="24"/>
        </w:rPr>
        <w:t>percentage point in order to meet the inflation</w:t>
      </w:r>
      <w:r>
        <w:rPr>
          <w:color w:val="231F20"/>
          <w:spacing w:val="-1"/>
          <w:sz w:val="24"/>
        </w:rPr>
        <w:t> </w:t>
      </w:r>
      <w:r>
        <w:rPr>
          <w:color w:val="231F20"/>
          <w:sz w:val="24"/>
        </w:rPr>
        <w:t>target.</w:t>
      </w:r>
    </w:p>
    <w:p>
      <w:pPr>
        <w:spacing w:after="0" w:line="242" w:lineRule="auto"/>
        <w:jc w:val="left"/>
        <w:rPr>
          <w:sz w:val="24"/>
        </w:rPr>
        <w:sectPr>
          <w:type w:val="continuous"/>
          <w:pgSz w:w="11880" w:h="16840"/>
          <w:pgMar w:top="1040" w:bottom="280" w:left="640" w:right="620"/>
          <w:cols w:num="2" w:equalWidth="0">
            <w:col w:w="4206" w:space="579"/>
            <w:col w:w="5835"/>
          </w:cols>
        </w:sectPr>
      </w:pPr>
    </w:p>
    <w:p>
      <w:pPr>
        <w:spacing w:before="61"/>
        <w:ind w:left="1589" w:right="0" w:firstLine="0"/>
        <w:jc w:val="left"/>
        <w:rPr>
          <w:b/>
          <w:sz w:val="28"/>
        </w:rPr>
      </w:pPr>
      <w:bookmarkStart w:name="Glossary and other information" w:id="97"/>
      <w:bookmarkEnd w:id="97"/>
      <w:r>
        <w:rPr/>
      </w:r>
      <w:r>
        <w:rPr>
          <w:b/>
          <w:color w:val="009483"/>
          <w:sz w:val="28"/>
        </w:rPr>
        <w:t>Glossary and other information</w:t>
      </w:r>
    </w:p>
    <w:p>
      <w:pPr>
        <w:pStyle w:val="BodyText"/>
        <w:spacing w:before="5"/>
        <w:rPr>
          <w:b/>
          <w:sz w:val="27"/>
        </w:rPr>
      </w:pPr>
    </w:p>
    <w:p>
      <w:pPr>
        <w:spacing w:before="0"/>
        <w:ind w:left="1589" w:right="0" w:firstLine="0"/>
        <w:jc w:val="left"/>
        <w:rPr>
          <w:b/>
          <w:sz w:val="24"/>
        </w:rPr>
      </w:pPr>
      <w:r>
        <w:rPr>
          <w:b/>
          <w:color w:val="0093C1"/>
          <w:sz w:val="24"/>
        </w:rPr>
        <w:t>Glossary of selected terms</w:t>
      </w:r>
    </w:p>
    <w:p>
      <w:pPr>
        <w:spacing w:before="182"/>
        <w:ind w:left="1589" w:right="0" w:firstLine="0"/>
        <w:jc w:val="left"/>
        <w:rPr>
          <w:sz w:val="20"/>
        </w:rPr>
      </w:pPr>
      <w:r>
        <w:rPr>
          <w:b/>
          <w:color w:val="231F20"/>
          <w:sz w:val="20"/>
        </w:rPr>
        <w:t>RPI inflation</w:t>
      </w:r>
      <w:r>
        <w:rPr>
          <w:color w:val="231F20"/>
          <w:sz w:val="20"/>
        </w:rPr>
        <w:t>: inflation measured by the retail price index.</w:t>
      </w:r>
    </w:p>
    <w:p>
      <w:pPr>
        <w:spacing w:before="10"/>
        <w:ind w:left="1589" w:right="0" w:firstLine="0"/>
        <w:jc w:val="left"/>
        <w:rPr>
          <w:sz w:val="20"/>
        </w:rPr>
      </w:pPr>
      <w:r>
        <w:rPr>
          <w:b/>
          <w:color w:val="231F20"/>
          <w:sz w:val="20"/>
        </w:rPr>
        <w:t>RPIX inflation</w:t>
      </w:r>
      <w:r>
        <w:rPr>
          <w:color w:val="231F20"/>
          <w:sz w:val="20"/>
        </w:rPr>
        <w:t>: inflation measured by the RPI excluding mortgage interest payments.</w:t>
      </w:r>
    </w:p>
    <w:p>
      <w:pPr>
        <w:spacing w:line="249" w:lineRule="auto" w:before="10"/>
        <w:ind w:left="1589" w:right="144" w:firstLine="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2"/>
        <w:ind w:left="1589" w:right="0" w:firstLine="0"/>
        <w:jc w:val="left"/>
        <w:rPr>
          <w:sz w:val="20"/>
        </w:rPr>
      </w:pPr>
      <w:r>
        <w:rPr>
          <w:b/>
          <w:color w:val="231F20"/>
          <w:sz w:val="20"/>
        </w:rPr>
        <w:t>H</w:t>
      </w:r>
      <w:r>
        <w:rPr>
          <w:b/>
          <w:color w:val="231F20"/>
          <w:sz w:val="16"/>
        </w:rPr>
        <w:t>ARP </w:t>
      </w:r>
      <w:r>
        <w:rPr>
          <w:b/>
          <w:color w:val="231F20"/>
          <w:sz w:val="20"/>
        </w:rPr>
        <w:t>index</w:t>
      </w:r>
      <w:r>
        <w:rPr>
          <w:color w:val="231F20"/>
          <w:sz w:val="20"/>
        </w:rPr>
        <w:t>: a price index that replaces the mortgage interest payments component of the RPI with a Bank estimate of the user-cost of housing.</w:t>
      </w:r>
    </w:p>
    <w:p>
      <w:pPr>
        <w:spacing w:before="2"/>
        <w:ind w:left="158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 taxes.</w:t>
      </w:r>
    </w:p>
    <w:p>
      <w:pPr>
        <w:pStyle w:val="BodyText"/>
        <w:rPr>
          <w:sz w:val="20"/>
        </w:rPr>
      </w:pPr>
    </w:p>
    <w:p>
      <w:pPr>
        <w:spacing w:line="249" w:lineRule="auto" w:before="0"/>
        <w:ind w:left="1589" w:right="0" w:firstLine="0"/>
        <w:jc w:val="left"/>
        <w:rPr>
          <w:sz w:val="20"/>
        </w:rPr>
      </w:pPr>
      <w:r>
        <w:rPr>
          <w:b/>
          <w:color w:val="231F20"/>
          <w:sz w:val="20"/>
        </w:rPr>
        <w:t>M0</w:t>
      </w:r>
      <w:r>
        <w:rPr>
          <w:color w:val="231F20"/>
          <w:sz w:val="20"/>
        </w:rPr>
        <w:t>: notes and coin in circulation outside the Bank of England and bankers’ operational deposits at the Bank. </w:t>
      </w: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1589" w:right="144" w:firstLine="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pStyle w:val="BodyText"/>
        <w:spacing w:before="6"/>
        <w:rPr>
          <w:sz w:val="17"/>
        </w:rPr>
      </w:pPr>
    </w:p>
    <w:p>
      <w:pPr>
        <w:spacing w:line="249" w:lineRule="auto" w:before="0"/>
        <w:ind w:left="1589" w:right="5147" w:firstLine="0"/>
        <w:jc w:val="left"/>
        <w:rPr>
          <w:sz w:val="20"/>
        </w:rPr>
      </w:pPr>
      <w:r>
        <w:rPr>
          <w:b/>
          <w:color w:val="231F20"/>
          <w:sz w:val="20"/>
        </w:rPr>
        <w:t>GDP(E): </w:t>
      </w:r>
      <w:r>
        <w:rPr>
          <w:color w:val="231F20"/>
          <w:sz w:val="20"/>
        </w:rPr>
        <w:t>the expenditure measure of GDP. </w:t>
      </w:r>
      <w:r>
        <w:rPr>
          <w:b/>
          <w:color w:val="231F20"/>
          <w:sz w:val="20"/>
        </w:rPr>
        <w:t>GDP(I): </w:t>
      </w:r>
      <w:r>
        <w:rPr>
          <w:color w:val="231F20"/>
          <w:sz w:val="20"/>
        </w:rPr>
        <w:t>the income measure of GDP. </w:t>
      </w:r>
      <w:r>
        <w:rPr>
          <w:b/>
          <w:color w:val="231F20"/>
          <w:sz w:val="20"/>
        </w:rPr>
        <w:t>GDP(O): </w:t>
      </w:r>
      <w:r>
        <w:rPr>
          <w:color w:val="231F20"/>
          <w:sz w:val="20"/>
        </w:rPr>
        <w:t>the output measure of GDP.</w:t>
      </w:r>
    </w:p>
    <w:p>
      <w:pPr>
        <w:pStyle w:val="BodyText"/>
        <w:spacing w:before="7"/>
        <w:rPr>
          <w:sz w:val="17"/>
        </w:rPr>
      </w:pPr>
    </w:p>
    <w:p>
      <w:pPr>
        <w:spacing w:line="249" w:lineRule="auto" w:before="0"/>
        <w:ind w:left="1589" w:right="5752" w:firstLine="0"/>
        <w:jc w:val="left"/>
        <w:rPr>
          <w:sz w:val="20"/>
        </w:rPr>
      </w:pPr>
      <w:r>
        <w:rPr>
          <w:b/>
          <w:color w:val="231F20"/>
          <w:sz w:val="20"/>
        </w:rPr>
        <w:t>ACT:  </w:t>
      </w:r>
      <w:r>
        <w:rPr>
          <w:color w:val="231F20"/>
          <w:sz w:val="20"/>
        </w:rPr>
        <w:t>Advance Corporation Tax. </w:t>
      </w:r>
      <w:r>
        <w:rPr>
          <w:b/>
          <w:color w:val="231F20"/>
          <w:sz w:val="20"/>
        </w:rPr>
        <w:t>BCC: </w:t>
      </w:r>
      <w:r>
        <w:rPr>
          <w:color w:val="231F20"/>
          <w:sz w:val="20"/>
        </w:rPr>
        <w:t>British Chambers of Commerce. </w:t>
      </w:r>
      <w:r>
        <w:rPr>
          <w:b/>
          <w:color w:val="231F20"/>
          <w:sz w:val="20"/>
        </w:rPr>
        <w:t>CBI: </w:t>
      </w:r>
      <w:r>
        <w:rPr>
          <w:color w:val="231F20"/>
          <w:sz w:val="20"/>
        </w:rPr>
        <w:t>Confederation of British</w:t>
      </w:r>
      <w:r>
        <w:rPr>
          <w:color w:val="231F20"/>
          <w:spacing w:val="-16"/>
          <w:sz w:val="20"/>
        </w:rPr>
        <w:t> </w:t>
      </w:r>
      <w:r>
        <w:rPr>
          <w:color w:val="231F20"/>
          <w:sz w:val="20"/>
        </w:rPr>
        <w:t>Industry.</w:t>
      </w:r>
    </w:p>
    <w:p>
      <w:pPr>
        <w:spacing w:before="3"/>
        <w:ind w:left="158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1589" w:right="0" w:firstLine="0"/>
        <w:jc w:val="left"/>
        <w:rPr>
          <w:sz w:val="20"/>
        </w:rPr>
      </w:pPr>
      <w:r>
        <w:rPr>
          <w:b/>
          <w:color w:val="231F20"/>
          <w:sz w:val="20"/>
        </w:rPr>
        <w:t>EMU: </w:t>
      </w:r>
      <w:r>
        <w:rPr>
          <w:color w:val="231F20"/>
          <w:sz w:val="20"/>
        </w:rPr>
        <w:t>Economic and Monetary Union.</w:t>
      </w:r>
    </w:p>
    <w:p>
      <w:pPr>
        <w:spacing w:before="10"/>
        <w:ind w:left="1589" w:right="0" w:firstLine="0"/>
        <w:jc w:val="left"/>
        <w:rPr>
          <w:sz w:val="20"/>
        </w:rPr>
      </w:pPr>
      <w:r>
        <w:rPr>
          <w:b/>
          <w:color w:val="231F20"/>
          <w:sz w:val="20"/>
        </w:rPr>
        <w:t>ERI: </w:t>
      </w:r>
      <w:r>
        <w:rPr>
          <w:color w:val="231F20"/>
          <w:sz w:val="20"/>
        </w:rPr>
        <w:t>exchange rate index.</w:t>
      </w:r>
    </w:p>
    <w:p>
      <w:pPr>
        <w:spacing w:before="10"/>
        <w:ind w:left="1589" w:right="0" w:firstLine="0"/>
        <w:jc w:val="left"/>
        <w:rPr>
          <w:sz w:val="20"/>
        </w:rPr>
      </w:pPr>
      <w:r>
        <w:rPr>
          <w:b/>
          <w:color w:val="231F20"/>
          <w:sz w:val="20"/>
        </w:rPr>
        <w:t>F</w:t>
      </w:r>
      <w:r>
        <w:rPr>
          <w:b/>
          <w:color w:val="231F20"/>
          <w:sz w:val="16"/>
        </w:rPr>
        <w:t>T-SE: </w:t>
      </w:r>
      <w:r>
        <w:rPr>
          <w:color w:val="231F20"/>
          <w:sz w:val="20"/>
        </w:rPr>
        <w:t>Financial Times Stock Exchange</w:t>
      </w:r>
    </w:p>
    <w:p>
      <w:pPr>
        <w:spacing w:before="10"/>
        <w:ind w:left="1589" w:right="0" w:firstLine="0"/>
        <w:jc w:val="left"/>
        <w:rPr>
          <w:sz w:val="20"/>
        </w:rPr>
      </w:pPr>
      <w:r>
        <w:rPr>
          <w:b/>
          <w:color w:val="231F20"/>
          <w:sz w:val="20"/>
        </w:rPr>
        <w:t>GFK: </w:t>
      </w:r>
      <w:r>
        <w:rPr>
          <w:color w:val="231F20"/>
          <w:sz w:val="20"/>
        </w:rPr>
        <w:t>Gesellschaft Für Konsum, Great Britain Ltd.</w:t>
      </w:r>
    </w:p>
    <w:p>
      <w:pPr>
        <w:spacing w:before="10"/>
        <w:ind w:left="1589" w:right="0" w:firstLine="0"/>
        <w:jc w:val="left"/>
        <w:rPr>
          <w:sz w:val="20"/>
        </w:rPr>
      </w:pPr>
      <w:r>
        <w:rPr>
          <w:b/>
          <w:color w:val="231F20"/>
          <w:sz w:val="20"/>
        </w:rPr>
        <w:t>ICCs: </w:t>
      </w:r>
      <w:r>
        <w:rPr>
          <w:color w:val="231F20"/>
          <w:sz w:val="20"/>
        </w:rPr>
        <w:t>industrial and commercial companies.</w:t>
      </w:r>
    </w:p>
    <w:p>
      <w:pPr>
        <w:spacing w:before="10"/>
        <w:ind w:left="1589" w:right="0" w:firstLine="0"/>
        <w:jc w:val="left"/>
        <w:rPr>
          <w:sz w:val="20"/>
        </w:rPr>
      </w:pPr>
      <w:r>
        <w:rPr>
          <w:b/>
          <w:color w:val="231F20"/>
          <w:sz w:val="20"/>
        </w:rPr>
        <w:t>JSA</w:t>
      </w:r>
      <w:r>
        <w:rPr>
          <w:color w:val="231F20"/>
          <w:sz w:val="20"/>
        </w:rPr>
        <w:t>: Jobseeker’s Allowance.</w:t>
      </w:r>
    </w:p>
    <w:p>
      <w:pPr>
        <w:spacing w:before="10"/>
        <w:ind w:left="1589" w:right="0" w:firstLine="0"/>
        <w:jc w:val="left"/>
        <w:rPr>
          <w:sz w:val="20"/>
        </w:rPr>
      </w:pPr>
      <w:r>
        <w:rPr>
          <w:b/>
          <w:color w:val="231F20"/>
          <w:sz w:val="20"/>
        </w:rPr>
        <w:t>H</w:t>
      </w:r>
      <w:r>
        <w:rPr>
          <w:b/>
          <w:color w:val="231F20"/>
          <w:sz w:val="16"/>
        </w:rPr>
        <w:t>ICP</w:t>
      </w:r>
      <w:r>
        <w:rPr>
          <w:b/>
          <w:color w:val="231F20"/>
          <w:sz w:val="20"/>
        </w:rPr>
        <w:t>: </w:t>
      </w:r>
      <w:r>
        <w:rPr>
          <w:color w:val="231F20"/>
          <w:sz w:val="20"/>
        </w:rPr>
        <w:t>Harmonised Index of Consumer Prices.</w:t>
      </w:r>
    </w:p>
    <w:p>
      <w:pPr>
        <w:spacing w:before="10"/>
        <w:ind w:left="1589" w:right="0" w:firstLine="0"/>
        <w:jc w:val="left"/>
        <w:rPr>
          <w:sz w:val="20"/>
        </w:rPr>
      </w:pPr>
      <w:r>
        <w:rPr>
          <w:b/>
          <w:color w:val="231F20"/>
          <w:sz w:val="20"/>
        </w:rPr>
        <w:t>L</w:t>
      </w:r>
      <w:r>
        <w:rPr>
          <w:b/>
          <w:color w:val="231F20"/>
          <w:sz w:val="16"/>
        </w:rPr>
        <w:t>APF</w:t>
      </w:r>
      <w:r>
        <w:rPr>
          <w:b/>
          <w:color w:val="231F20"/>
          <w:sz w:val="20"/>
        </w:rPr>
        <w:t>: </w:t>
      </w:r>
      <w:r>
        <w:rPr>
          <w:color w:val="231F20"/>
          <w:sz w:val="20"/>
        </w:rPr>
        <w:t>Life assurance and pension funds.</w:t>
      </w:r>
    </w:p>
    <w:p>
      <w:pPr>
        <w:spacing w:before="10"/>
        <w:ind w:left="1589" w:right="0" w:firstLine="0"/>
        <w:jc w:val="left"/>
        <w:rPr>
          <w:sz w:val="20"/>
        </w:rPr>
      </w:pPr>
      <w:r>
        <w:rPr>
          <w:b/>
          <w:color w:val="231F20"/>
          <w:sz w:val="20"/>
        </w:rPr>
        <w:t>LFS:  </w:t>
      </w:r>
      <w:r>
        <w:rPr>
          <w:color w:val="231F20"/>
          <w:sz w:val="20"/>
        </w:rPr>
        <w:t>Labour Force Survey.</w:t>
      </w:r>
    </w:p>
    <w:p>
      <w:pPr>
        <w:spacing w:before="10"/>
        <w:ind w:left="1589" w:right="0" w:firstLine="0"/>
        <w:jc w:val="left"/>
        <w:rPr>
          <w:sz w:val="20"/>
        </w:rPr>
      </w:pPr>
      <w:r>
        <w:rPr>
          <w:b/>
          <w:color w:val="231F20"/>
          <w:sz w:val="20"/>
        </w:rPr>
        <w:t>MoD:  </w:t>
      </w:r>
      <w:r>
        <w:rPr>
          <w:color w:val="231F20"/>
          <w:sz w:val="20"/>
        </w:rPr>
        <w:t>Ministry of Defence.</w:t>
      </w:r>
    </w:p>
    <w:p>
      <w:pPr>
        <w:spacing w:before="10"/>
        <w:ind w:left="158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1589" w:right="0" w:firstLine="0"/>
        <w:jc w:val="left"/>
        <w:rPr>
          <w:sz w:val="20"/>
        </w:rPr>
      </w:pPr>
      <w:r>
        <w:rPr>
          <w:b/>
          <w:color w:val="231F20"/>
          <w:sz w:val="20"/>
        </w:rPr>
        <w:t>MPC: </w:t>
      </w:r>
      <w:r>
        <w:rPr>
          <w:color w:val="231F20"/>
          <w:sz w:val="20"/>
        </w:rPr>
        <w:t>Monetary Policy Committee.</w:t>
      </w:r>
    </w:p>
    <w:p>
      <w:pPr>
        <w:spacing w:before="10"/>
        <w:ind w:left="1589" w:right="0" w:firstLine="0"/>
        <w:jc w:val="left"/>
        <w:rPr>
          <w:sz w:val="20"/>
        </w:rPr>
      </w:pPr>
      <w:r>
        <w:rPr>
          <w:b/>
          <w:color w:val="231F20"/>
          <w:sz w:val="20"/>
        </w:rPr>
        <w:t>OFIs: </w:t>
      </w:r>
      <w:r>
        <w:rPr>
          <w:color w:val="231F20"/>
          <w:sz w:val="20"/>
        </w:rPr>
        <w:t>other financial institutions.</w:t>
      </w:r>
    </w:p>
    <w:p>
      <w:pPr>
        <w:spacing w:before="10"/>
        <w:ind w:left="1589" w:right="0" w:firstLine="0"/>
        <w:jc w:val="left"/>
        <w:rPr>
          <w:sz w:val="20"/>
        </w:rPr>
      </w:pPr>
      <w:r>
        <w:rPr>
          <w:b/>
          <w:color w:val="231F20"/>
          <w:sz w:val="20"/>
        </w:rPr>
        <w:t>PSBR: </w:t>
      </w:r>
      <w:r>
        <w:rPr>
          <w:color w:val="231F20"/>
          <w:sz w:val="20"/>
        </w:rPr>
        <w:t>Public Sector Borrowing Requirement.</w:t>
      </w:r>
    </w:p>
    <w:p>
      <w:pPr>
        <w:spacing w:before="10"/>
        <w:ind w:left="1589" w:right="0" w:firstLine="0"/>
        <w:jc w:val="left"/>
        <w:rPr>
          <w:sz w:val="20"/>
        </w:rPr>
      </w:pPr>
      <w:r>
        <w:rPr>
          <w:b/>
          <w:color w:val="231F20"/>
          <w:sz w:val="20"/>
        </w:rPr>
        <w:t>SDR: </w:t>
      </w:r>
      <w:r>
        <w:rPr>
          <w:color w:val="231F20"/>
          <w:sz w:val="20"/>
        </w:rPr>
        <w:t>Special Drawing Rights.</w:t>
      </w:r>
    </w:p>
    <w:p>
      <w:pPr>
        <w:pStyle w:val="BodyText"/>
        <w:rPr>
          <w:sz w:val="20"/>
        </w:rPr>
      </w:pPr>
    </w:p>
    <w:p>
      <w:pPr>
        <w:spacing w:before="0"/>
        <w:ind w:left="1589" w:right="0"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8"/>
        <w:rPr>
          <w:sz w:val="23"/>
        </w:rPr>
      </w:pPr>
    </w:p>
    <w:p>
      <w:pPr>
        <w:spacing w:before="0"/>
        <w:ind w:left="1589" w:right="0" w:firstLine="0"/>
        <w:jc w:val="left"/>
        <w:rPr>
          <w:b/>
          <w:sz w:val="24"/>
        </w:rPr>
      </w:pPr>
      <w:r>
        <w:rPr>
          <w:b/>
          <w:color w:val="0093C1"/>
          <w:sz w:val="24"/>
        </w:rPr>
        <w:t>Symbols and conventions</w:t>
      </w:r>
    </w:p>
    <w:p>
      <w:pPr>
        <w:spacing w:line="249" w:lineRule="auto" w:before="122"/>
        <w:ind w:left="1589" w:right="570" w:firstLine="0"/>
        <w:jc w:val="left"/>
        <w:rPr>
          <w:sz w:val="20"/>
        </w:rPr>
      </w:pPr>
      <w:r>
        <w:rPr>
          <w:color w:val="231F20"/>
          <w:sz w:val="20"/>
        </w:rPr>
        <w:t>Except where otherwise stated, the source for the data used in charts and tables is the Office for National Statistics (ONS).</w:t>
      </w:r>
    </w:p>
    <w:p>
      <w:pPr>
        <w:spacing w:line="249" w:lineRule="auto" w:before="1"/>
        <w:ind w:left="1589" w:right="837" w:firstLine="0"/>
        <w:jc w:val="left"/>
        <w:rPr>
          <w:sz w:val="20"/>
        </w:rPr>
      </w:pPr>
      <w:r>
        <w:rPr>
          <w:color w:val="231F20"/>
          <w:sz w:val="20"/>
        </w:rPr>
        <w:t>The measures of inflation included in this </w:t>
      </w:r>
      <w:r>
        <w:rPr>
          <w:i/>
          <w:color w:val="231F20"/>
          <w:sz w:val="20"/>
        </w:rPr>
        <w:t>Report </w:t>
      </w:r>
      <w:r>
        <w:rPr>
          <w:color w:val="231F20"/>
          <w:sz w:val="20"/>
        </w:rPr>
        <w:t>have been adjusted by the Bank for an ONS error in under-recording RPI and RPIX inflation between February and May 1995.</w:t>
      </w:r>
    </w:p>
    <w:p>
      <w:pPr>
        <w:spacing w:before="2"/>
        <w:ind w:left="1589" w:right="0" w:firstLine="0"/>
        <w:jc w:val="left"/>
        <w:rPr>
          <w:sz w:val="20"/>
        </w:rPr>
      </w:pPr>
      <w:r>
        <w:rPr>
          <w:color w:val="231F20"/>
          <w:sz w:val="20"/>
        </w:rPr>
        <w:t>n.a. = not available.</w:t>
      </w:r>
    </w:p>
    <w:p>
      <w:pPr>
        <w:spacing w:before="10"/>
        <w:ind w:left="1589" w:right="0" w:firstLine="0"/>
        <w:jc w:val="left"/>
        <w:rPr>
          <w:sz w:val="20"/>
        </w:rPr>
      </w:pPr>
      <w:r>
        <w:rPr>
          <w:color w:val="231F20"/>
          <w:sz w:val="20"/>
        </w:rPr>
        <w:t>Because of rounding, the sum of the separate items may sometimes differ from the total shown.</w:t>
      </w:r>
    </w:p>
    <w:p>
      <w:pPr>
        <w:spacing w:line="249" w:lineRule="auto" w:before="10"/>
        <w:ind w:left="1589" w:right="837" w:firstLine="0"/>
        <w:jc w:val="left"/>
        <w:rPr>
          <w:sz w:val="20"/>
        </w:rPr>
      </w:pPr>
      <w:r>
        <w:rPr>
          <w:color w:val="231F20"/>
          <w:sz w:val="20"/>
        </w:rPr>
        <w:t>On the horizontal axes of graphs, larger ticks denote the first observation within the relevant period, eg data for the first quarter of the year.</w:t>
      </w:r>
    </w:p>
    <w:p>
      <w:pPr>
        <w:spacing w:before="84"/>
        <w:ind w:left="1589" w:right="0" w:firstLine="0"/>
        <w:jc w:val="left"/>
        <w:rPr>
          <w:b/>
          <w:sz w:val="24"/>
        </w:rPr>
      </w:pPr>
      <w:r>
        <w:rPr>
          <w:b/>
          <w:color w:val="0093C1"/>
          <w:sz w:val="24"/>
        </w:rPr>
        <w:t>Other information</w:t>
      </w:r>
    </w:p>
    <w:p>
      <w:pPr>
        <w:spacing w:line="249" w:lineRule="auto" w:before="162"/>
        <w:ind w:left="1589" w:right="5147" w:firstLine="0"/>
        <w:jc w:val="left"/>
        <w:rPr>
          <w:sz w:val="20"/>
        </w:rPr>
      </w:pPr>
      <w:hyperlink r:id="rId99">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100">
        <w:r>
          <w:rPr>
            <w:color w:val="231F20"/>
            <w:sz w:val="20"/>
          </w:rPr>
          <w:t>http://www.bankofengland.co.uk/</w:t>
        </w:r>
      </w:hyperlink>
    </w:p>
    <w:p>
      <w:pPr>
        <w:spacing w:after="0" w:line="249" w:lineRule="auto"/>
        <w:jc w:val="left"/>
        <w:rPr>
          <w:sz w:val="20"/>
        </w:rPr>
        <w:sectPr>
          <w:headerReference w:type="even" r:id="rId97"/>
          <w:footerReference w:type="even" r:id="rId98"/>
          <w:pgSz w:w="11900" w:h="16840"/>
          <w:pgMar w:header="0" w:footer="0" w:top="800" w:bottom="280" w:left="660" w:right="680"/>
        </w:sectPr>
      </w:pPr>
    </w:p>
    <w:p>
      <w:pPr>
        <w:pStyle w:val="BodyText"/>
        <w:rPr>
          <w:sz w:val="20"/>
        </w:rPr>
      </w:pPr>
      <w:r>
        <w:rPr/>
        <w:pict>
          <v:group style="position:absolute;margin-left:39pt;margin-top:39.669998pt;width:517pt;height:740.35pt;mso-position-horizontal-relative:page;mso-position-vertical-relative:page;z-index:-20605952"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1" coordorigin="2951,3867" coordsize="5998,8661"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56;height:5887" type="#_x0000_t75" stroked="false">
              <v:imagedata r:id="rId103"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spacing w:line="665" w:lineRule="exact" w:before="212"/>
        <w:ind w:left="1951" w:right="1818" w:firstLine="0"/>
        <w:jc w:val="center"/>
        <w:rPr>
          <w:b/>
          <w:sz w:val="60"/>
        </w:rPr>
      </w:pPr>
      <w:bookmarkStart w:name="Minutes and Press Notices of the Monetar" w:id="98"/>
      <w:bookmarkEnd w:id="98"/>
      <w:r>
        <w:rPr/>
      </w:r>
      <w:bookmarkStart w:name="_bookmark44" w:id="99"/>
      <w:bookmarkEnd w:id="99"/>
      <w:r>
        <w:rPr/>
      </w:r>
      <w:bookmarkStart w:name="_bookmark45" w:id="100"/>
      <w:bookmarkEnd w:id="100"/>
      <w:r>
        <w:rPr/>
      </w:r>
      <w:r>
        <w:rPr>
          <w:b/>
          <w:color w:val="231F20"/>
          <w:sz w:val="60"/>
        </w:rPr>
        <w:t>Annex:</w:t>
      </w:r>
    </w:p>
    <w:p>
      <w:pPr>
        <w:spacing w:line="223" w:lineRule="auto" w:before="15"/>
        <w:ind w:left="1955" w:right="1818" w:firstLine="0"/>
        <w:jc w:val="center"/>
        <w:rPr>
          <w:b/>
          <w:sz w:val="60"/>
        </w:rPr>
      </w:pPr>
      <w:r>
        <w:rPr>
          <w:b/>
          <w:color w:val="231F20"/>
          <w:sz w:val="60"/>
        </w:rPr>
        <w:t>Minutes and Press Notices of the monthly</w:t>
      </w:r>
    </w:p>
    <w:p>
      <w:pPr>
        <w:spacing w:line="223" w:lineRule="auto" w:before="0"/>
        <w:ind w:left="1714" w:right="1578" w:firstLine="0"/>
        <w:jc w:val="center"/>
        <w:rPr>
          <w:b/>
          <w:sz w:val="60"/>
        </w:rPr>
      </w:pPr>
      <w:r>
        <w:rPr>
          <w:b/>
          <w:color w:val="231F20"/>
          <w:sz w:val="60"/>
        </w:rPr>
        <w:t>Monetary Policy Committee meetings</w:t>
      </w:r>
    </w:p>
    <w:p>
      <w:pPr>
        <w:spacing w:after="0" w:line="223" w:lineRule="auto"/>
        <w:jc w:val="center"/>
        <w:rPr>
          <w:sz w:val="60"/>
        </w:rPr>
        <w:sectPr>
          <w:headerReference w:type="default" r:id="rId101"/>
          <w:footerReference w:type="default" r:id="rId102"/>
          <w:pgSz w:w="11900" w:h="16840"/>
          <w:pgMar w:header="0" w:footer="597" w:top="800" w:bottom="780" w:left="660" w:right="680"/>
          <w:pgNumType w:start="55"/>
        </w:sectPr>
      </w:pPr>
    </w:p>
    <w:p>
      <w:pPr>
        <w:pStyle w:val="BodyText"/>
        <w:spacing w:before="4"/>
        <w:rPr>
          <w:b/>
          <w:sz w:val="17"/>
        </w:rPr>
      </w:pPr>
    </w:p>
    <w:p>
      <w:pPr>
        <w:spacing w:after="0"/>
        <w:rPr>
          <w:sz w:val="17"/>
        </w:rPr>
        <w:sectPr>
          <w:headerReference w:type="even" r:id="rId104"/>
          <w:footerReference w:type="even" r:id="rId105"/>
          <w:pgSz w:w="11900" w:h="16840"/>
          <w:pgMar w:header="0" w:footer="0" w:top="1600" w:bottom="280" w:left="660" w:right="680"/>
        </w:sectPr>
      </w:pPr>
    </w:p>
    <w:p>
      <w:pPr>
        <w:pStyle w:val="BodyText"/>
        <w:rPr>
          <w:b/>
          <w:sz w:val="20"/>
        </w:rPr>
      </w:pPr>
    </w:p>
    <w:p>
      <w:pPr>
        <w:pStyle w:val="BodyText"/>
        <w:rPr>
          <w:b/>
          <w:sz w:val="20"/>
        </w:rPr>
      </w:pPr>
    </w:p>
    <w:p>
      <w:pPr>
        <w:pStyle w:val="BodyText"/>
        <w:spacing w:before="3"/>
        <w:rPr>
          <w:b/>
          <w:sz w:val="17"/>
        </w:rPr>
      </w:pPr>
    </w:p>
    <w:p>
      <w:pPr>
        <w:spacing w:before="86"/>
        <w:ind w:left="150" w:right="0" w:firstLine="0"/>
        <w:jc w:val="left"/>
        <w:rPr>
          <w:b/>
          <w:sz w:val="32"/>
        </w:rPr>
      </w:pPr>
      <w:bookmarkStart w:name="Minutes of the 6–7 August 1997 meeting" w:id="101"/>
      <w:bookmarkEnd w:id="101"/>
      <w:r>
        <w:rPr/>
      </w:r>
      <w:bookmarkStart w:name="_bookmark46" w:id="102"/>
      <w:bookmarkEnd w:id="102"/>
      <w:r>
        <w:rPr/>
      </w:r>
      <w:r>
        <w:rPr>
          <w:b/>
          <w:color w:val="009483"/>
          <w:sz w:val="32"/>
        </w:rPr>
        <w:t>Minutes of the Monetary Policy Committee meeting on 6–7 August 1997</w:t>
      </w:r>
    </w:p>
    <w:p>
      <w:pPr>
        <w:pStyle w:val="BodyText"/>
        <w:spacing w:before="11"/>
        <w:rPr>
          <w:b/>
          <w:sz w:val="27"/>
        </w:rPr>
      </w:pPr>
    </w:p>
    <w:p>
      <w:pPr>
        <w:spacing w:after="0"/>
        <w:rPr>
          <w:sz w:val="27"/>
        </w:rPr>
        <w:sectPr>
          <w:headerReference w:type="default" r:id="rId106"/>
          <w:headerReference w:type="even" r:id="rId107"/>
          <w:footerReference w:type="default" r:id="rId108"/>
          <w:footerReference w:type="even" r:id="rId109"/>
          <w:pgSz w:w="11900" w:h="16840"/>
          <w:pgMar w:header="566" w:footer="597" w:top="800" w:bottom="780" w:left="660" w:right="680"/>
          <w:pgNumType w:start="57"/>
        </w:sectPr>
      </w:pPr>
    </w:p>
    <w:p>
      <w:pPr>
        <w:pStyle w:val="ListParagraph"/>
        <w:numPr>
          <w:ilvl w:val="0"/>
          <w:numId w:val="37"/>
        </w:numPr>
        <w:tabs>
          <w:tab w:pos="619" w:val="left" w:leader="none"/>
          <w:tab w:pos="621" w:val="left" w:leader="none"/>
        </w:tabs>
        <w:spacing w:line="232" w:lineRule="auto" w:before="99" w:after="0"/>
        <w:ind w:left="140" w:right="63" w:firstLine="0"/>
        <w:jc w:val="left"/>
        <w:rPr>
          <w:sz w:val="18"/>
        </w:rPr>
      </w:pPr>
      <w:r>
        <w:rPr>
          <w:color w:val="231F20"/>
          <w:sz w:val="18"/>
        </w:rPr>
        <w:t>Section I of this minute summarises the analysis presented to the Monetary Policy Committee by Bank staff, and also incorporates information that became available to the Committee after the presentation but before the decision-taking meeting. Section II summarises the Monetary Policy Committee’s</w:t>
      </w:r>
      <w:r>
        <w:rPr>
          <w:color w:val="231F20"/>
          <w:spacing w:val="-18"/>
          <w:sz w:val="18"/>
        </w:rPr>
        <w:t> </w:t>
      </w:r>
      <w:r>
        <w:rPr>
          <w:color w:val="231F20"/>
          <w:sz w:val="18"/>
        </w:rPr>
        <w:t>discussion of the policy implications of the analysis.</w:t>
      </w:r>
    </w:p>
    <w:p>
      <w:pPr>
        <w:pStyle w:val="BodyText"/>
        <w:spacing w:before="2"/>
        <w:rPr>
          <w:sz w:val="20"/>
        </w:rPr>
      </w:pPr>
    </w:p>
    <w:p>
      <w:pPr>
        <w:pStyle w:val="ListParagraph"/>
        <w:numPr>
          <w:ilvl w:val="0"/>
          <w:numId w:val="38"/>
        </w:numPr>
        <w:tabs>
          <w:tab w:pos="619" w:val="left" w:leader="none"/>
          <w:tab w:pos="621" w:val="left" w:leader="none"/>
        </w:tabs>
        <w:spacing w:line="240" w:lineRule="auto" w:before="1" w:after="0"/>
        <w:ind w:left="620" w:right="0" w:hanging="481"/>
        <w:jc w:val="left"/>
        <w:rPr>
          <w:b/>
          <w:sz w:val="22"/>
        </w:rPr>
      </w:pPr>
      <w:r>
        <w:rPr>
          <w:b/>
          <w:color w:val="009483"/>
          <w:sz w:val="22"/>
        </w:rPr>
        <w:t>Monetary</w:t>
      </w:r>
      <w:r>
        <w:rPr>
          <w:b/>
          <w:color w:val="009483"/>
          <w:spacing w:val="-1"/>
          <w:sz w:val="22"/>
        </w:rPr>
        <w:t> </w:t>
      </w:r>
      <w:r>
        <w:rPr>
          <w:b/>
          <w:color w:val="009483"/>
          <w:sz w:val="22"/>
        </w:rPr>
        <w:t>conditions</w:t>
      </w:r>
    </w:p>
    <w:p>
      <w:pPr>
        <w:pStyle w:val="ListParagraph"/>
        <w:numPr>
          <w:ilvl w:val="0"/>
          <w:numId w:val="37"/>
        </w:numPr>
        <w:tabs>
          <w:tab w:pos="619" w:val="left" w:leader="none"/>
          <w:tab w:pos="621" w:val="left" w:leader="none"/>
        </w:tabs>
        <w:spacing w:line="232" w:lineRule="auto" w:before="189" w:after="0"/>
        <w:ind w:left="140" w:right="137" w:firstLine="0"/>
        <w:jc w:val="left"/>
        <w:rPr>
          <w:sz w:val="18"/>
        </w:rPr>
      </w:pPr>
      <w:r>
        <w:rPr>
          <w:color w:val="231F20"/>
          <w:sz w:val="18"/>
        </w:rPr>
        <w:t>Notes and coin, having increased by 0.8% in June, </w:t>
      </w:r>
      <w:r>
        <w:rPr>
          <w:color w:val="231F20"/>
          <w:spacing w:val="-3"/>
          <w:sz w:val="18"/>
        </w:rPr>
        <w:t>appeared </w:t>
      </w:r>
      <w:r>
        <w:rPr>
          <w:color w:val="231F20"/>
          <w:sz w:val="18"/>
        </w:rPr>
        <w:t>to have decelerated in July to an increase of around 0.2%. That would reduce the twelve-month growth rate to 5.6% from 6.1% in June.</w:t>
      </w:r>
    </w:p>
    <w:p>
      <w:pPr>
        <w:pStyle w:val="BodyText"/>
        <w:spacing w:before="1"/>
        <w:rPr>
          <w:sz w:val="17"/>
        </w:rPr>
      </w:pPr>
    </w:p>
    <w:p>
      <w:pPr>
        <w:pStyle w:val="ListParagraph"/>
        <w:numPr>
          <w:ilvl w:val="0"/>
          <w:numId w:val="37"/>
        </w:numPr>
        <w:tabs>
          <w:tab w:pos="619" w:val="left" w:leader="none"/>
          <w:tab w:pos="621" w:val="left" w:leader="none"/>
        </w:tabs>
        <w:spacing w:line="232" w:lineRule="auto" w:before="0" w:after="0"/>
        <w:ind w:left="140" w:right="57" w:firstLine="0"/>
        <w:jc w:val="left"/>
        <w:rPr>
          <w:sz w:val="18"/>
        </w:rPr>
      </w:pPr>
      <w:r>
        <w:rPr>
          <w:color w:val="231F20"/>
          <w:sz w:val="18"/>
        </w:rPr>
        <w:t>Broad money growth remained strong in June. M4 increased by 0.9%, and the three, seven and twelve-month growth rates were all in the range 11.6%–11.7% (the seven-month growth rate was calculated because the six-month rate was distorted by the effect of the temporary contraction of the gilt repo market at the end of 1996).  Retail M4 grew particularly strongly in June (1.2%) whereas the rise in wholesale M4 was unusually low (0.4%). That pattern may have reflected sales of Halifax shares by individuals to financial institutions following demutualisation.</w:t>
      </w:r>
    </w:p>
    <w:p>
      <w:pPr>
        <w:pStyle w:val="BodyText"/>
        <w:spacing w:before="9"/>
        <w:rPr>
          <w:sz w:val="16"/>
        </w:rPr>
      </w:pPr>
    </w:p>
    <w:p>
      <w:pPr>
        <w:pStyle w:val="ListParagraph"/>
        <w:numPr>
          <w:ilvl w:val="0"/>
          <w:numId w:val="37"/>
        </w:numPr>
        <w:tabs>
          <w:tab w:pos="619" w:val="left" w:leader="none"/>
          <w:tab w:pos="621" w:val="left" w:leader="none"/>
        </w:tabs>
        <w:spacing w:line="232" w:lineRule="auto" w:before="0" w:after="0"/>
        <w:ind w:left="140" w:right="322" w:firstLine="0"/>
        <w:jc w:val="left"/>
        <w:rPr>
          <w:sz w:val="18"/>
        </w:rPr>
      </w:pPr>
      <w:r>
        <w:rPr>
          <w:color w:val="231F20"/>
          <w:sz w:val="18"/>
        </w:rPr>
        <w:t>The twelve-month growth rates of real money balances (deflated by RPIX) in June were 3.5% for M0 and 8.8% for </w:t>
      </w:r>
      <w:r>
        <w:rPr>
          <w:color w:val="231F20"/>
          <w:spacing w:val="-6"/>
          <w:sz w:val="18"/>
        </w:rPr>
        <w:t>M4.</w:t>
      </w:r>
    </w:p>
    <w:p>
      <w:pPr>
        <w:pStyle w:val="BodyText"/>
        <w:spacing w:before="3"/>
        <w:rPr>
          <w:sz w:val="17"/>
        </w:rPr>
      </w:pPr>
    </w:p>
    <w:p>
      <w:pPr>
        <w:pStyle w:val="ListParagraph"/>
        <w:numPr>
          <w:ilvl w:val="0"/>
          <w:numId w:val="37"/>
        </w:numPr>
        <w:tabs>
          <w:tab w:pos="619" w:val="left" w:leader="none"/>
          <w:tab w:pos="621" w:val="left" w:leader="none"/>
        </w:tabs>
        <w:spacing w:line="232" w:lineRule="auto" w:before="0" w:after="0"/>
        <w:ind w:left="140" w:right="52" w:firstLine="0"/>
        <w:jc w:val="left"/>
        <w:rPr>
          <w:sz w:val="18"/>
        </w:rPr>
      </w:pPr>
      <w:r>
        <w:rPr>
          <w:color w:val="231F20"/>
          <w:sz w:val="18"/>
        </w:rPr>
        <w:t>The sectoral analysis of monetary growth in Q2 showed that individuals’ M4 holdings increased by 1.8%, and their four-quarter growth rate went up from 7% to 7.3%. During the first half of the year they increased by around 4%, compared with 3% in the second half of 1996. The four-quarter growth rate of ICCs’ M4 holdings </w:t>
      </w:r>
      <w:r>
        <w:rPr>
          <w:color w:val="231F20"/>
          <w:spacing w:val="-9"/>
          <w:sz w:val="18"/>
        </w:rPr>
        <w:t>in </w:t>
      </w:r>
      <w:r>
        <w:rPr>
          <w:color w:val="231F20"/>
          <w:sz w:val="18"/>
        </w:rPr>
        <w:t>1997 Q2 was 7.9%, down from the peak of 11.4% reached in 1996 Q3. ICCs’ M4 holdings increased by 3.8% in the first half of 1997, much the same as in the second half of 1996.</w:t>
      </w:r>
    </w:p>
    <w:p>
      <w:pPr>
        <w:pStyle w:val="BodyText"/>
        <w:spacing w:before="10"/>
        <w:rPr>
          <w:sz w:val="16"/>
        </w:rPr>
      </w:pPr>
    </w:p>
    <w:p>
      <w:pPr>
        <w:pStyle w:val="ListParagraph"/>
        <w:numPr>
          <w:ilvl w:val="0"/>
          <w:numId w:val="37"/>
        </w:numPr>
        <w:tabs>
          <w:tab w:pos="619" w:val="left" w:leader="none"/>
          <w:tab w:pos="621" w:val="left" w:leader="none"/>
        </w:tabs>
        <w:spacing w:line="232" w:lineRule="auto" w:before="0" w:after="0"/>
        <w:ind w:left="140" w:right="38" w:firstLine="0"/>
        <w:jc w:val="left"/>
        <w:rPr>
          <w:sz w:val="18"/>
        </w:rPr>
      </w:pPr>
      <w:r>
        <w:rPr>
          <w:color w:val="231F20"/>
          <w:sz w:val="18"/>
        </w:rPr>
        <w:t>However, by far the fastest-growing component of M4 had been OFIs’ holdings. These had grown much faster than individuals’ or ICCs’ holdings during the last 2–3 years, and accounted for about one half of the 5 percentage point rise in the four-quarter growth rate of total M4 since 1995 Q2. They increased by 4.7% in Q2 and their four-quarter growth rate had risen to 26.6%. The OFI sector contains a wide variety of types of financial intermediary, the money holdings of which might be affected by different factors. Overall, the growth of OFIs’ money had been dominated by life assurance and pension funds and, to a lesser extent, securities dealers.</w:t>
      </w:r>
    </w:p>
    <w:p>
      <w:pPr>
        <w:pStyle w:val="BodyText"/>
        <w:spacing w:before="7"/>
        <w:rPr>
          <w:sz w:val="16"/>
        </w:rPr>
      </w:pPr>
    </w:p>
    <w:p>
      <w:pPr>
        <w:pStyle w:val="ListParagraph"/>
        <w:numPr>
          <w:ilvl w:val="0"/>
          <w:numId w:val="37"/>
        </w:numPr>
        <w:tabs>
          <w:tab w:pos="619" w:val="left" w:leader="none"/>
          <w:tab w:pos="621" w:val="left" w:leader="none"/>
        </w:tabs>
        <w:spacing w:line="232" w:lineRule="auto" w:before="0" w:after="0"/>
        <w:ind w:left="140" w:right="57" w:firstLine="0"/>
        <w:jc w:val="left"/>
        <w:rPr>
          <w:sz w:val="18"/>
        </w:rPr>
      </w:pPr>
      <w:r>
        <w:rPr>
          <w:color w:val="231F20"/>
          <w:sz w:val="18"/>
        </w:rPr>
        <w:t>Divisia money aims to identify balances held for </w:t>
      </w:r>
      <w:r>
        <w:rPr>
          <w:color w:val="231F20"/>
          <w:spacing w:val="-2"/>
          <w:sz w:val="18"/>
        </w:rPr>
        <w:t>transactions </w:t>
      </w:r>
      <w:r>
        <w:rPr>
          <w:color w:val="231F20"/>
          <w:sz w:val="18"/>
        </w:rPr>
        <w:t>purposes. The four-quarter growth rate of aggregate Divisia money was 10.2% in 1997 Q2; that of personal Divisia money was 7.8% (up from 7.4% in Q1) and that of ICCs’ Divisia money was 7.3% (down from 8.6% in Q1), and that of OFIs’ Divisia money was 29.4% (up from 23.6% in Q1).</w:t>
      </w:r>
    </w:p>
    <w:p>
      <w:pPr>
        <w:pStyle w:val="BodyText"/>
        <w:rPr>
          <w:sz w:val="17"/>
        </w:rPr>
      </w:pPr>
    </w:p>
    <w:p>
      <w:pPr>
        <w:pStyle w:val="ListParagraph"/>
        <w:numPr>
          <w:ilvl w:val="0"/>
          <w:numId w:val="37"/>
        </w:numPr>
        <w:tabs>
          <w:tab w:pos="619" w:val="left" w:leader="none"/>
          <w:tab w:pos="621" w:val="left" w:leader="none"/>
        </w:tabs>
        <w:spacing w:line="232" w:lineRule="auto" w:before="0" w:after="0"/>
        <w:ind w:left="140" w:right="137" w:firstLine="0"/>
        <w:jc w:val="left"/>
        <w:rPr>
          <w:sz w:val="18"/>
        </w:rPr>
      </w:pPr>
      <w:r>
        <w:rPr>
          <w:color w:val="231F20"/>
          <w:sz w:val="18"/>
        </w:rPr>
        <w:t>M4 lending (adjusted to exclude the effect of loan securitisations) rose by 0.7% in June, and its twelve-month </w:t>
      </w:r>
      <w:r>
        <w:rPr>
          <w:color w:val="231F20"/>
          <w:spacing w:val="-3"/>
          <w:sz w:val="18"/>
        </w:rPr>
        <w:t>growth </w:t>
      </w:r>
      <w:r>
        <w:rPr>
          <w:color w:val="231F20"/>
          <w:sz w:val="18"/>
        </w:rPr>
        <w:t>rate was unchanged at 9.5%. The quarterly sectoral data showed that the four-quarter growth rate of lending was 7.2% for both persons and ICCs, and 20.2% for OFIs. Within personal lending, unsecured lending continued to accelerate: the twelve-month increase in June was 18.3%. The credit card component of unsecured lending (about 20% of the total) had been growing at around 20% for the last year or so. The residual component of unsecured lending (about 80% of the total) had grown by 17.8% </w:t>
      </w:r>
      <w:r>
        <w:rPr>
          <w:color w:val="231F20"/>
          <w:spacing w:val="-9"/>
          <w:sz w:val="18"/>
        </w:rPr>
        <w:t>in </w:t>
      </w:r>
      <w:r>
        <w:rPr>
          <w:color w:val="231F20"/>
          <w:sz w:val="18"/>
        </w:rPr>
        <w:t>the twelve months to June, and its twelve-month growth rate had</w:t>
      </w:r>
    </w:p>
    <w:p>
      <w:pPr>
        <w:pStyle w:val="BodyText"/>
        <w:spacing w:line="232" w:lineRule="auto" w:before="97"/>
        <w:ind w:left="140" w:right="147"/>
      </w:pPr>
      <w:r>
        <w:rPr/>
        <w:br w:type="column"/>
      </w:r>
      <w:r>
        <w:rPr>
          <w:color w:val="231F20"/>
        </w:rPr>
        <w:t>been rising in recent months. Although gross mortgage lending by banks and building societies had increased quite sharply over the last couple of years, the recent acceleration in net mortgage lending (to a twelve-month increase of 6.2% in June) was more modest.</w:t>
      </w:r>
    </w:p>
    <w:p>
      <w:pPr>
        <w:pStyle w:val="BodyText"/>
        <w:spacing w:before="2"/>
        <w:rPr>
          <w:sz w:val="17"/>
        </w:rPr>
      </w:pPr>
    </w:p>
    <w:p>
      <w:pPr>
        <w:pStyle w:val="ListParagraph"/>
        <w:numPr>
          <w:ilvl w:val="0"/>
          <w:numId w:val="37"/>
        </w:numPr>
        <w:tabs>
          <w:tab w:pos="619" w:val="left" w:leader="none"/>
          <w:tab w:pos="621" w:val="left" w:leader="none"/>
        </w:tabs>
        <w:spacing w:line="232" w:lineRule="auto" w:before="0" w:after="0"/>
        <w:ind w:left="140" w:right="473" w:firstLine="0"/>
        <w:jc w:val="left"/>
        <w:rPr>
          <w:sz w:val="18"/>
        </w:rPr>
      </w:pPr>
      <w:r>
        <w:rPr>
          <w:color w:val="231F20"/>
          <w:sz w:val="18"/>
        </w:rPr>
        <w:t>M4 lending to ICCs bounced back in Q2 when it rose </w:t>
      </w:r>
      <w:r>
        <w:rPr>
          <w:color w:val="231F20"/>
          <w:spacing w:val="-9"/>
          <w:sz w:val="18"/>
        </w:rPr>
        <w:t>by </w:t>
      </w:r>
      <w:r>
        <w:rPr>
          <w:color w:val="231F20"/>
          <w:sz w:val="18"/>
        </w:rPr>
        <w:t>2.0%, after an unusually small increase of 0.3% in Q1. Its</w:t>
      </w:r>
    </w:p>
    <w:p>
      <w:pPr>
        <w:pStyle w:val="BodyText"/>
        <w:spacing w:line="232" w:lineRule="auto"/>
        <w:ind w:left="140" w:right="141"/>
      </w:pPr>
      <w:r>
        <w:rPr>
          <w:color w:val="231F20"/>
        </w:rPr>
        <w:t>four-quarter growth rate continued to edge down to 7.2% compared with the recent peak of 15.2% reached in 1996 Q2. M4 lending to OFIs had risen sharply, by 5.3%, in 1997 Q2.</w:t>
      </w:r>
    </w:p>
    <w:p>
      <w:pPr>
        <w:pStyle w:val="BodyText"/>
        <w:spacing w:before="9"/>
      </w:pPr>
    </w:p>
    <w:p>
      <w:pPr>
        <w:pStyle w:val="ListParagraph"/>
        <w:numPr>
          <w:ilvl w:val="0"/>
          <w:numId w:val="37"/>
        </w:numPr>
        <w:tabs>
          <w:tab w:pos="619" w:val="left" w:leader="none"/>
          <w:tab w:pos="621" w:val="left" w:leader="none"/>
        </w:tabs>
        <w:spacing w:line="232" w:lineRule="auto" w:before="0" w:after="0"/>
        <w:ind w:left="140" w:right="208" w:firstLine="0"/>
        <w:jc w:val="left"/>
        <w:rPr>
          <w:sz w:val="18"/>
        </w:rPr>
      </w:pPr>
      <w:r>
        <w:rPr>
          <w:color w:val="231F20"/>
          <w:sz w:val="18"/>
        </w:rPr>
        <w:t>Real forward interest rates derived from index-linked gilt yields suggested that real yields at maturities of two years or so had risen slightly in recent months, as did Bank estimates based </w:t>
      </w:r>
      <w:r>
        <w:rPr>
          <w:color w:val="231F20"/>
          <w:spacing w:val="-9"/>
          <w:sz w:val="18"/>
        </w:rPr>
        <w:t>on </w:t>
      </w:r>
      <w:r>
        <w:rPr>
          <w:color w:val="231F20"/>
          <w:sz w:val="18"/>
        </w:rPr>
        <w:t>surveys of inflation expectations.</w:t>
      </w:r>
    </w:p>
    <w:p>
      <w:pPr>
        <w:pStyle w:val="BodyText"/>
        <w:spacing w:before="10"/>
        <w:rPr>
          <w:sz w:val="21"/>
        </w:rPr>
      </w:pPr>
    </w:p>
    <w:p>
      <w:pPr>
        <w:pStyle w:val="ListParagraph"/>
        <w:numPr>
          <w:ilvl w:val="0"/>
          <w:numId w:val="39"/>
        </w:numPr>
        <w:tabs>
          <w:tab w:pos="619" w:val="left" w:leader="none"/>
          <w:tab w:pos="621" w:val="left" w:leader="none"/>
        </w:tabs>
        <w:spacing w:line="240" w:lineRule="auto" w:before="0" w:after="0"/>
        <w:ind w:left="620" w:right="0" w:hanging="481"/>
        <w:jc w:val="left"/>
        <w:rPr>
          <w:i/>
          <w:sz w:val="18"/>
        </w:rPr>
      </w:pPr>
      <w:r>
        <w:rPr>
          <w:i/>
          <w:color w:val="009483"/>
          <w:sz w:val="18"/>
        </w:rPr>
        <w:t>Demand and output</w:t>
      </w:r>
    </w:p>
    <w:p>
      <w:pPr>
        <w:pStyle w:val="BodyText"/>
        <w:spacing w:before="3"/>
        <w:rPr>
          <w:i/>
          <w:sz w:val="17"/>
        </w:rPr>
      </w:pPr>
    </w:p>
    <w:p>
      <w:pPr>
        <w:pStyle w:val="ListParagraph"/>
        <w:numPr>
          <w:ilvl w:val="0"/>
          <w:numId w:val="37"/>
        </w:numPr>
        <w:tabs>
          <w:tab w:pos="619" w:val="left" w:leader="none"/>
          <w:tab w:pos="621" w:val="left" w:leader="none"/>
        </w:tabs>
        <w:spacing w:line="232" w:lineRule="auto" w:before="0" w:after="0"/>
        <w:ind w:left="140" w:right="294" w:firstLine="0"/>
        <w:jc w:val="left"/>
        <w:rPr>
          <w:sz w:val="18"/>
        </w:rPr>
      </w:pPr>
      <w:r>
        <w:rPr>
          <w:color w:val="231F20"/>
          <w:sz w:val="18"/>
        </w:rPr>
        <w:t>Retail sales volumes increased further (by 0.6%) in June after May’s strong rise, and their twelve-month growth rate was 5.4%. The annualised growth rate since the start of the year was 8.2%. Though the twelve-month increase in volumes had continued to rise this year, the twelve-month increase in the </w:t>
      </w:r>
      <w:r>
        <w:rPr>
          <w:color w:val="231F20"/>
          <w:spacing w:val="-4"/>
          <w:sz w:val="18"/>
        </w:rPr>
        <w:t>value </w:t>
      </w:r>
      <w:r>
        <w:rPr>
          <w:color w:val="231F20"/>
          <w:sz w:val="18"/>
        </w:rPr>
        <w:t>of retail sales had levelled out late in 1996 at a little below 6%.</w:t>
      </w:r>
    </w:p>
    <w:p>
      <w:pPr>
        <w:pStyle w:val="BodyText"/>
        <w:spacing w:before="11"/>
        <w:rPr>
          <w:sz w:val="16"/>
        </w:rPr>
      </w:pPr>
    </w:p>
    <w:p>
      <w:pPr>
        <w:pStyle w:val="ListParagraph"/>
        <w:numPr>
          <w:ilvl w:val="0"/>
          <w:numId w:val="37"/>
        </w:numPr>
        <w:tabs>
          <w:tab w:pos="619" w:val="left" w:leader="none"/>
          <w:tab w:pos="621" w:val="left" w:leader="none"/>
        </w:tabs>
        <w:spacing w:line="232" w:lineRule="auto" w:before="0" w:after="0"/>
        <w:ind w:left="140" w:right="119" w:firstLine="0"/>
        <w:jc w:val="left"/>
        <w:rPr>
          <w:sz w:val="18"/>
        </w:rPr>
      </w:pPr>
      <w:r>
        <w:rPr>
          <w:color w:val="231F20"/>
          <w:sz w:val="18"/>
        </w:rPr>
        <w:t>Spending on durables had been growing faster than spending on non-durable goods and services, and in June purchases from household goods stores rose by 7.5%, or £140 million. Industry contacts expected that car sales would be very strong in August, and demand for holidays abroad was also reported to be strong. A standard consumption function used by Bank staff did not suggest that up to Q1 there had been any unusual strength in consumer spending (given wealth, income, interest rates and employment), of the kind that might have been caused by anticipation of windfall gains—though the standard error of the equation (around 0.6%) </w:t>
      </w:r>
      <w:r>
        <w:rPr>
          <w:color w:val="231F20"/>
          <w:spacing w:val="-6"/>
          <w:sz w:val="18"/>
        </w:rPr>
        <w:t>was </w:t>
      </w:r>
      <w:r>
        <w:rPr>
          <w:color w:val="231F20"/>
          <w:sz w:val="18"/>
        </w:rPr>
        <w:t>large enough to absorb any such effects. Nor had the share of durables in total consumer spending been unusual up to Q1. It seemed likely that consumer spending in Q2 had been supported to some degree by windfall gains (some of which might have been anticipated). A survey by the British Retail Consortium of 1,200 recipients of windfalls reported that of the 32% who planned to sell some or all of their shares, 33% were spending money on holidays; 26% were spending on new kitchens, bathrooms or other home improvements; 17% were spending the proceeds in the high street, particularly on goods for the home (eg carpets, furniture); and 11% were buying cars.</w:t>
      </w:r>
    </w:p>
    <w:p>
      <w:pPr>
        <w:pStyle w:val="BodyText"/>
        <w:spacing w:before="11"/>
        <w:rPr>
          <w:sz w:val="15"/>
        </w:rPr>
      </w:pPr>
    </w:p>
    <w:p>
      <w:pPr>
        <w:pStyle w:val="ListParagraph"/>
        <w:numPr>
          <w:ilvl w:val="0"/>
          <w:numId w:val="37"/>
        </w:numPr>
        <w:tabs>
          <w:tab w:pos="619" w:val="left" w:leader="none"/>
          <w:tab w:pos="621" w:val="left" w:leader="none"/>
        </w:tabs>
        <w:spacing w:line="232" w:lineRule="auto" w:before="0" w:after="0"/>
        <w:ind w:left="140" w:right="209" w:firstLine="0"/>
        <w:jc w:val="left"/>
        <w:rPr>
          <w:sz w:val="18"/>
        </w:rPr>
      </w:pPr>
      <w:r>
        <w:rPr>
          <w:color w:val="231F20"/>
          <w:sz w:val="18"/>
        </w:rPr>
        <w:t>It seemed likely that consumer demand had also been supported by rising financial wealth. Gross financial wealth rose by 10% (£208 billion) in the year to 1997 Q1; 90% of the </w:t>
      </w:r>
      <w:r>
        <w:rPr>
          <w:color w:val="231F20"/>
          <w:spacing w:val="-3"/>
          <w:sz w:val="18"/>
        </w:rPr>
        <w:t>increase </w:t>
      </w:r>
      <w:r>
        <w:rPr>
          <w:color w:val="231F20"/>
          <w:sz w:val="18"/>
        </w:rPr>
        <w:t>was the consequence of rising asset prices.</w:t>
      </w:r>
    </w:p>
    <w:p>
      <w:pPr>
        <w:pStyle w:val="BodyText"/>
        <w:spacing w:before="1"/>
        <w:rPr>
          <w:sz w:val="17"/>
        </w:rPr>
      </w:pPr>
    </w:p>
    <w:p>
      <w:pPr>
        <w:pStyle w:val="ListParagraph"/>
        <w:numPr>
          <w:ilvl w:val="0"/>
          <w:numId w:val="37"/>
        </w:numPr>
        <w:tabs>
          <w:tab w:pos="619" w:val="left" w:leader="none"/>
          <w:tab w:pos="621" w:val="left" w:leader="none"/>
        </w:tabs>
        <w:spacing w:line="232" w:lineRule="auto" w:before="0" w:after="0"/>
        <w:ind w:left="140" w:right="124" w:firstLine="0"/>
        <w:jc w:val="left"/>
        <w:rPr>
          <w:sz w:val="18"/>
        </w:rPr>
      </w:pPr>
      <w:r>
        <w:rPr>
          <w:color w:val="231F20"/>
          <w:sz w:val="18"/>
        </w:rPr>
        <w:t>The Nationwide house price index for July showed its largest monthly increase for three years (1.8%), (and its twelve month growth rate had gone up to 12.2% from 11.0% in June). The Halifax index, however, rose by only 0.1% in that month, taking </w:t>
      </w:r>
      <w:r>
        <w:rPr>
          <w:color w:val="231F20"/>
          <w:spacing w:val="-6"/>
          <w:sz w:val="18"/>
        </w:rPr>
        <w:t>the </w:t>
      </w:r>
      <w:r>
        <w:rPr>
          <w:color w:val="231F20"/>
          <w:sz w:val="18"/>
        </w:rPr>
        <w:t>twelve-month growth rate down to 6.4% from 7.1% in June. The recent divergence between the Nationwide and Halifax estimates of house price inflation was puzzling (the indices are mix-adjusted, so as to exclude the influence of the types and locations of the houses which the two institutions were financing). The ratio of house prices to average earnings continued to be lower than in the early to mid 1980s, on either measure. The data on housing market activity were generally flat. An exception was mortgage loan approvals, which had been rising, but that could reflect remortgaging activity as well as net lending.</w:t>
      </w:r>
    </w:p>
    <w:p>
      <w:pPr>
        <w:spacing w:after="0" w:line="232" w:lineRule="auto"/>
        <w:jc w:val="left"/>
        <w:rPr>
          <w:sz w:val="18"/>
        </w:rPr>
        <w:sectPr>
          <w:type w:val="continuous"/>
          <w:pgSz w:w="11900" w:h="16840"/>
          <w:pgMar w:top="1040" w:bottom="280" w:left="660" w:right="680"/>
          <w:cols w:num="2" w:equalWidth="0">
            <w:col w:w="5089" w:space="301"/>
            <w:col w:w="5170"/>
          </w:cols>
        </w:sectPr>
      </w:pPr>
    </w:p>
    <w:p>
      <w:pPr>
        <w:pStyle w:val="BodyText"/>
        <w:spacing w:before="3"/>
        <w:rPr>
          <w:sz w:val="28"/>
        </w:rPr>
      </w:pPr>
    </w:p>
    <w:p>
      <w:pPr>
        <w:spacing w:after="0"/>
        <w:rPr>
          <w:sz w:val="28"/>
        </w:rPr>
        <w:sectPr>
          <w:pgSz w:w="11900" w:h="16840"/>
          <w:pgMar w:header="566" w:footer="597" w:top="800" w:bottom="780" w:left="660" w:right="680"/>
        </w:sectPr>
      </w:pPr>
    </w:p>
    <w:p>
      <w:pPr>
        <w:pStyle w:val="ListParagraph"/>
        <w:numPr>
          <w:ilvl w:val="0"/>
          <w:numId w:val="37"/>
        </w:numPr>
        <w:tabs>
          <w:tab w:pos="634" w:val="left" w:leader="none"/>
          <w:tab w:pos="635" w:val="left" w:leader="none"/>
        </w:tabs>
        <w:spacing w:line="232" w:lineRule="auto" w:before="98" w:after="0"/>
        <w:ind w:left="154" w:right="62" w:firstLine="0"/>
        <w:jc w:val="left"/>
        <w:rPr>
          <w:sz w:val="18"/>
        </w:rPr>
      </w:pPr>
      <w:r>
        <w:rPr>
          <w:color w:val="231F20"/>
          <w:sz w:val="18"/>
        </w:rPr>
        <w:t>Investment intentions, as indicated by surveys and by </w:t>
      </w:r>
      <w:r>
        <w:rPr>
          <w:color w:val="231F20"/>
          <w:spacing w:val="-3"/>
          <w:sz w:val="18"/>
        </w:rPr>
        <w:t>reports </w:t>
      </w:r>
      <w:r>
        <w:rPr>
          <w:color w:val="231F20"/>
          <w:sz w:val="18"/>
        </w:rPr>
        <w:t>from the Bank’s regional Agencies, remained strong in both manufacturing and services, even though recorded manufacturing investment (which accounted for about 12% of total investment) was lower in 1997 Q1 than a year earlier.</w:t>
      </w:r>
    </w:p>
    <w:p>
      <w:pPr>
        <w:pStyle w:val="BodyText"/>
        <w:spacing w:before="5"/>
        <w:rPr>
          <w:sz w:val="20"/>
        </w:rPr>
      </w:pPr>
    </w:p>
    <w:p>
      <w:pPr>
        <w:pStyle w:val="ListParagraph"/>
        <w:numPr>
          <w:ilvl w:val="0"/>
          <w:numId w:val="37"/>
        </w:numPr>
        <w:tabs>
          <w:tab w:pos="634" w:val="left" w:leader="none"/>
          <w:tab w:pos="635" w:val="left" w:leader="none"/>
        </w:tabs>
        <w:spacing w:line="232" w:lineRule="auto" w:before="1" w:after="0"/>
        <w:ind w:left="154" w:right="68" w:firstLine="0"/>
        <w:jc w:val="left"/>
        <w:rPr>
          <w:sz w:val="18"/>
        </w:rPr>
      </w:pPr>
      <w:r>
        <w:rPr>
          <w:color w:val="231F20"/>
          <w:sz w:val="18"/>
        </w:rPr>
        <w:t>The monthly external trade figures continued to be surprisingly strong in the face of the appreciation of sterling. Import volumes from non-EU countries had risen by 7.2% in the second quarter (export volumes had risen by 5.2%); and there had been a very strong rise in imports of consumer goods, including cars. This was consistent with the recent and prospective pattern </w:t>
      </w:r>
      <w:r>
        <w:rPr>
          <w:color w:val="231F20"/>
          <w:spacing w:val="-9"/>
          <w:sz w:val="18"/>
        </w:rPr>
        <w:t>of </w:t>
      </w:r>
      <w:r>
        <w:rPr>
          <w:color w:val="231F20"/>
          <w:sz w:val="18"/>
        </w:rPr>
        <w:t>consumer spending. Imports of services might be boosted by spending of windfall gains on holidays abroad.</w:t>
      </w:r>
    </w:p>
    <w:p>
      <w:pPr>
        <w:pStyle w:val="BodyText"/>
        <w:spacing w:before="3"/>
        <w:rPr>
          <w:sz w:val="20"/>
        </w:rPr>
      </w:pPr>
    </w:p>
    <w:p>
      <w:pPr>
        <w:pStyle w:val="ListParagraph"/>
        <w:numPr>
          <w:ilvl w:val="0"/>
          <w:numId w:val="37"/>
        </w:numPr>
        <w:tabs>
          <w:tab w:pos="634" w:val="left" w:leader="none"/>
          <w:tab w:pos="635" w:val="left" w:leader="none"/>
        </w:tabs>
        <w:spacing w:line="232" w:lineRule="auto" w:before="1" w:after="0"/>
        <w:ind w:left="154" w:right="67" w:firstLine="0"/>
        <w:jc w:val="left"/>
        <w:rPr>
          <w:sz w:val="18"/>
        </w:rPr>
      </w:pPr>
      <w:r>
        <w:rPr>
          <w:color w:val="231F20"/>
          <w:sz w:val="18"/>
        </w:rPr>
        <w:t>Recent surveys (CBI, BCC, C</w:t>
      </w:r>
      <w:r>
        <w:rPr>
          <w:color w:val="231F20"/>
          <w:sz w:val="14"/>
        </w:rPr>
        <w:t>IPS</w:t>
      </w:r>
      <w:r>
        <w:rPr>
          <w:color w:val="231F20"/>
          <w:sz w:val="18"/>
        </w:rPr>
        <w:t>) suggested that orders for manufactured exports had fallen sharply, and Bank research based on analysis of the relationship between responses to the CBI </w:t>
      </w:r>
      <w:r>
        <w:rPr>
          <w:color w:val="231F20"/>
          <w:spacing w:val="-3"/>
          <w:sz w:val="18"/>
        </w:rPr>
        <w:t>survey </w:t>
      </w:r>
      <w:r>
        <w:rPr>
          <w:color w:val="231F20"/>
          <w:sz w:val="18"/>
        </w:rPr>
        <w:t>and recorded exports suggested that the four-quarter growth rate of manufactured exports might have fallen in Q2, while remaining positive; there was a possibility that it might be negative in Q3. There also appeared from the BCC surveys to have been a slowdown in services exports.</w:t>
      </w:r>
    </w:p>
    <w:p>
      <w:pPr>
        <w:pStyle w:val="BodyText"/>
        <w:spacing w:before="3"/>
        <w:rPr>
          <w:sz w:val="20"/>
        </w:rPr>
      </w:pPr>
    </w:p>
    <w:p>
      <w:pPr>
        <w:pStyle w:val="ListParagraph"/>
        <w:numPr>
          <w:ilvl w:val="0"/>
          <w:numId w:val="37"/>
        </w:numPr>
        <w:tabs>
          <w:tab w:pos="634" w:val="left" w:leader="none"/>
          <w:tab w:pos="635" w:val="left" w:leader="none"/>
        </w:tabs>
        <w:spacing w:line="232" w:lineRule="auto" w:before="0" w:after="0"/>
        <w:ind w:left="154" w:right="38" w:firstLine="0"/>
        <w:jc w:val="left"/>
        <w:rPr>
          <w:sz w:val="18"/>
        </w:rPr>
      </w:pPr>
      <w:r>
        <w:rPr>
          <w:color w:val="231F20"/>
          <w:sz w:val="18"/>
        </w:rPr>
        <w:t>The initial estimate of GDP growth in 1997 Q2 was 0.9% (non-oil 1.0%), and the estimated four-quarter growth rate had </w:t>
      </w:r>
      <w:r>
        <w:rPr>
          <w:color w:val="231F20"/>
          <w:spacing w:val="-3"/>
          <w:sz w:val="18"/>
        </w:rPr>
        <w:t>risen </w:t>
      </w:r>
      <w:r>
        <w:rPr>
          <w:color w:val="231F20"/>
          <w:sz w:val="18"/>
        </w:rPr>
        <w:t>to 3.4% (non-oil 3.6%). Manufacturing output had fallen by 0.1% in Q2, having risen by 0.5% in Q1. Its four-quarter growth rate </w:t>
      </w:r>
      <w:r>
        <w:rPr>
          <w:color w:val="231F20"/>
          <w:spacing w:val="-6"/>
          <w:sz w:val="18"/>
        </w:rPr>
        <w:t>was </w:t>
      </w:r>
      <w:r>
        <w:rPr>
          <w:color w:val="231F20"/>
          <w:sz w:val="18"/>
        </w:rPr>
        <w:t>1.6%, notwithstanding weakening export demand, and surveys suggested that growth was likely to continue. Construction activity appeared to be rising erratically. Services output was estimated by the ONS to have risen by 1.3% in Q2 and by 4.6% over the year to Q2; the BCC survey for Q2 suggested some moderation in the annual rate of growth.</w:t>
      </w:r>
    </w:p>
    <w:p>
      <w:pPr>
        <w:pStyle w:val="BodyText"/>
        <w:spacing w:before="6"/>
        <w:rPr>
          <w:sz w:val="21"/>
        </w:rPr>
      </w:pPr>
    </w:p>
    <w:p>
      <w:pPr>
        <w:pStyle w:val="ListParagraph"/>
        <w:numPr>
          <w:ilvl w:val="0"/>
          <w:numId w:val="39"/>
        </w:numPr>
        <w:tabs>
          <w:tab w:pos="634" w:val="left" w:leader="none"/>
          <w:tab w:pos="635" w:val="left" w:leader="none"/>
        </w:tabs>
        <w:spacing w:line="240" w:lineRule="auto" w:before="0" w:after="0"/>
        <w:ind w:left="634" w:right="0" w:hanging="481"/>
        <w:jc w:val="left"/>
        <w:rPr>
          <w:i/>
          <w:sz w:val="18"/>
        </w:rPr>
      </w:pPr>
      <w:r>
        <w:rPr>
          <w:i/>
          <w:color w:val="009483"/>
          <w:sz w:val="18"/>
        </w:rPr>
        <w:t>Labour market</w:t>
      </w:r>
    </w:p>
    <w:p>
      <w:pPr>
        <w:pStyle w:val="BodyText"/>
        <w:spacing w:before="2"/>
        <w:rPr>
          <w:i/>
          <w:sz w:val="17"/>
        </w:rPr>
      </w:pPr>
    </w:p>
    <w:p>
      <w:pPr>
        <w:pStyle w:val="ListParagraph"/>
        <w:numPr>
          <w:ilvl w:val="0"/>
          <w:numId w:val="37"/>
        </w:numPr>
        <w:tabs>
          <w:tab w:pos="634" w:val="left" w:leader="none"/>
          <w:tab w:pos="635" w:val="left" w:leader="none"/>
        </w:tabs>
        <w:spacing w:line="232" w:lineRule="auto" w:before="0" w:after="0"/>
        <w:ind w:left="154" w:right="333" w:firstLine="0"/>
        <w:jc w:val="left"/>
        <w:rPr>
          <w:sz w:val="18"/>
        </w:rPr>
      </w:pPr>
      <w:r>
        <w:rPr>
          <w:color w:val="231F20"/>
          <w:sz w:val="18"/>
        </w:rPr>
        <w:t>Demand for labour continued to rise. The Labour Force Survey (LFS) reported a rise of 91,000 in employment between winter and spring, of which just under two thirds represented full-time jobs. Total hours worked rose by 1%, and were up by 1.7% on a year earlier. According to surveys and the</w:t>
      </w:r>
      <w:r>
        <w:rPr>
          <w:color w:val="231F20"/>
          <w:spacing w:val="-16"/>
          <w:sz w:val="18"/>
        </w:rPr>
        <w:t> </w:t>
      </w:r>
      <w:r>
        <w:rPr>
          <w:color w:val="231F20"/>
          <w:sz w:val="18"/>
        </w:rPr>
        <w:t>Agencies’</w:t>
      </w:r>
    </w:p>
    <w:p>
      <w:pPr>
        <w:pStyle w:val="BodyText"/>
        <w:spacing w:line="232" w:lineRule="auto"/>
        <w:ind w:left="154" w:right="101"/>
      </w:pPr>
      <w:r>
        <w:rPr>
          <w:color w:val="231F20"/>
        </w:rPr>
        <w:t>reports, recruitment intentions were exceptionally strong in service industries but had moderated in manufacturing.</w:t>
      </w:r>
    </w:p>
    <w:p>
      <w:pPr>
        <w:pStyle w:val="BodyText"/>
        <w:spacing w:before="8"/>
      </w:pPr>
    </w:p>
    <w:p>
      <w:pPr>
        <w:pStyle w:val="ListParagraph"/>
        <w:numPr>
          <w:ilvl w:val="0"/>
          <w:numId w:val="37"/>
        </w:numPr>
        <w:tabs>
          <w:tab w:pos="634" w:val="left" w:leader="none"/>
          <w:tab w:pos="635" w:val="left" w:leader="none"/>
        </w:tabs>
        <w:spacing w:line="232" w:lineRule="auto" w:before="0" w:after="0"/>
        <w:ind w:left="154" w:right="127" w:firstLine="0"/>
        <w:jc w:val="left"/>
        <w:rPr>
          <w:sz w:val="18"/>
        </w:rPr>
      </w:pPr>
      <w:r>
        <w:rPr>
          <w:color w:val="231F20"/>
          <w:sz w:val="18"/>
        </w:rPr>
        <w:t>The LFS showed a fall of 74,000 in unemployment </w:t>
      </w:r>
      <w:r>
        <w:rPr>
          <w:color w:val="231F20"/>
          <w:spacing w:val="-3"/>
          <w:sz w:val="18"/>
        </w:rPr>
        <w:t>between </w:t>
      </w:r>
      <w:r>
        <w:rPr>
          <w:color w:val="231F20"/>
          <w:sz w:val="18"/>
        </w:rPr>
        <w:t>winter and spring to 7.2% (on the ILO definition). Short-term unemployment had fallen below its low point of spring 1989. On the claimant count measure, unemployment fell by 36,500 in June to a rate of 5.7%.</w:t>
      </w:r>
    </w:p>
    <w:p>
      <w:pPr>
        <w:pStyle w:val="BodyText"/>
        <w:spacing w:before="9"/>
      </w:pPr>
    </w:p>
    <w:p>
      <w:pPr>
        <w:pStyle w:val="ListParagraph"/>
        <w:numPr>
          <w:ilvl w:val="0"/>
          <w:numId w:val="37"/>
        </w:numPr>
        <w:tabs>
          <w:tab w:pos="634" w:val="left" w:leader="none"/>
          <w:tab w:pos="635" w:val="left" w:leader="none"/>
        </w:tabs>
        <w:spacing w:line="232" w:lineRule="auto" w:before="0" w:after="0"/>
        <w:ind w:left="154" w:right="43" w:firstLine="0"/>
        <w:jc w:val="left"/>
        <w:rPr>
          <w:sz w:val="18"/>
        </w:rPr>
      </w:pPr>
      <w:r>
        <w:rPr>
          <w:color w:val="231F20"/>
          <w:sz w:val="18"/>
        </w:rPr>
        <w:t>Analysis of the latest LFS suggested that the labour market had tightened slightly less since autumn 1996 than had previously been thought, and that the Jobseekers’ Allowance had had a </w:t>
      </w:r>
      <w:r>
        <w:rPr>
          <w:color w:val="231F20"/>
          <w:spacing w:val="-3"/>
          <w:sz w:val="18"/>
        </w:rPr>
        <w:t>slightly </w:t>
      </w:r>
      <w:r>
        <w:rPr>
          <w:color w:val="231F20"/>
          <w:sz w:val="18"/>
        </w:rPr>
        <w:t>more powerful effect than previously thought on claims from those not searching for a job. The underlying rate of tightening was now thought to be the equivalent of a monthly fall of 25,000–30,000 in the claimant count.</w:t>
      </w:r>
    </w:p>
    <w:p>
      <w:pPr>
        <w:pStyle w:val="BodyText"/>
        <w:spacing w:before="10"/>
        <w:rPr>
          <w:sz w:val="16"/>
        </w:rPr>
      </w:pPr>
    </w:p>
    <w:p>
      <w:pPr>
        <w:pStyle w:val="ListParagraph"/>
        <w:numPr>
          <w:ilvl w:val="0"/>
          <w:numId w:val="37"/>
        </w:numPr>
        <w:tabs>
          <w:tab w:pos="634" w:val="left" w:leader="none"/>
          <w:tab w:pos="635" w:val="left" w:leader="none"/>
        </w:tabs>
        <w:spacing w:line="232" w:lineRule="auto" w:before="0" w:after="0"/>
        <w:ind w:left="154" w:right="78" w:firstLine="0"/>
        <w:jc w:val="left"/>
        <w:rPr>
          <w:sz w:val="18"/>
        </w:rPr>
      </w:pPr>
      <w:r>
        <w:rPr>
          <w:color w:val="231F20"/>
          <w:sz w:val="18"/>
        </w:rPr>
        <w:t>The number of unfilled vacancies reported to jobcentres </w:t>
      </w:r>
      <w:r>
        <w:rPr>
          <w:color w:val="231F20"/>
          <w:spacing w:val="-5"/>
          <w:sz w:val="18"/>
        </w:rPr>
        <w:t>rose </w:t>
      </w:r>
      <w:r>
        <w:rPr>
          <w:color w:val="231F20"/>
          <w:sz w:val="18"/>
        </w:rPr>
        <w:t>by 8,000 in June to a new record level of 282,000, but the rise reflected a fall in placings (of 22,000) which exceeded the fall in new notifications (14,000).</w:t>
      </w:r>
    </w:p>
    <w:p>
      <w:pPr>
        <w:pStyle w:val="BodyText"/>
        <w:spacing w:before="1"/>
        <w:rPr>
          <w:sz w:val="17"/>
        </w:rPr>
      </w:pPr>
    </w:p>
    <w:p>
      <w:pPr>
        <w:pStyle w:val="ListParagraph"/>
        <w:numPr>
          <w:ilvl w:val="0"/>
          <w:numId w:val="37"/>
        </w:numPr>
        <w:tabs>
          <w:tab w:pos="634" w:val="left" w:leader="none"/>
          <w:tab w:pos="635" w:val="left" w:leader="none"/>
        </w:tabs>
        <w:spacing w:line="232" w:lineRule="auto" w:before="1" w:after="0"/>
        <w:ind w:left="154" w:right="122" w:firstLine="0"/>
        <w:jc w:val="left"/>
        <w:rPr>
          <w:sz w:val="18"/>
        </w:rPr>
      </w:pPr>
      <w:r>
        <w:rPr>
          <w:color w:val="231F20"/>
          <w:sz w:val="18"/>
        </w:rPr>
        <w:t>The recorded twelve-month growth rate of underlying average earnings fell to 4</w:t>
      </w:r>
      <w:r>
        <w:rPr>
          <w:color w:val="231F20"/>
          <w:position w:val="6"/>
          <w:sz w:val="9"/>
        </w:rPr>
        <w:t>1</w:t>
      </w:r>
      <w:r>
        <w:rPr>
          <w:color w:val="231F20"/>
          <w:sz w:val="18"/>
        </w:rPr>
        <w:t>/</w:t>
      </w:r>
      <w:r>
        <w:rPr>
          <w:color w:val="231F20"/>
          <w:sz w:val="9"/>
        </w:rPr>
        <w:t>4</w:t>
      </w:r>
      <w:r>
        <w:rPr>
          <w:color w:val="231F20"/>
          <w:sz w:val="18"/>
        </w:rPr>
        <w:t>% in May: this was the first month since November in which the figure had not been affected by bonuses. Calculations by Bank staff based on analysis of sectoral earnings trends and statistical smoothing techniques suggested </w:t>
      </w:r>
      <w:r>
        <w:rPr>
          <w:color w:val="231F20"/>
          <w:spacing w:val="-5"/>
          <w:sz w:val="18"/>
        </w:rPr>
        <w:t>that </w:t>
      </w:r>
      <w:r>
        <w:rPr>
          <w:color w:val="231F20"/>
          <w:sz w:val="18"/>
        </w:rPr>
        <w:t>the underlying growth rate of earnings including bonuses was just under</w:t>
      </w:r>
      <w:r>
        <w:rPr>
          <w:color w:val="231F20"/>
          <w:spacing w:val="-1"/>
          <w:sz w:val="18"/>
        </w:rPr>
        <w:t> </w:t>
      </w:r>
      <w:r>
        <w:rPr>
          <w:color w:val="231F20"/>
          <w:sz w:val="18"/>
        </w:rPr>
        <w:t>4</w:t>
      </w:r>
      <w:r>
        <w:rPr>
          <w:color w:val="231F20"/>
          <w:position w:val="6"/>
          <w:sz w:val="9"/>
        </w:rPr>
        <w:t>1</w:t>
      </w:r>
      <w:r>
        <w:rPr>
          <w:color w:val="231F20"/>
          <w:sz w:val="18"/>
        </w:rPr>
        <w:t>/</w:t>
      </w:r>
      <w:r>
        <w:rPr>
          <w:color w:val="231F20"/>
          <w:sz w:val="9"/>
        </w:rPr>
        <w:t>2</w:t>
      </w:r>
      <w:r>
        <w:rPr>
          <w:color w:val="231F20"/>
          <w:sz w:val="18"/>
        </w:rPr>
        <w:t>%.</w:t>
      </w:r>
    </w:p>
    <w:p>
      <w:pPr>
        <w:pStyle w:val="ListParagraph"/>
        <w:numPr>
          <w:ilvl w:val="0"/>
          <w:numId w:val="37"/>
        </w:numPr>
        <w:tabs>
          <w:tab w:pos="634" w:val="left" w:leader="none"/>
          <w:tab w:pos="635" w:val="left" w:leader="none"/>
        </w:tabs>
        <w:spacing w:line="232" w:lineRule="auto" w:before="98" w:after="0"/>
        <w:ind w:left="154" w:right="121" w:firstLine="0"/>
        <w:jc w:val="left"/>
        <w:rPr>
          <w:sz w:val="18"/>
        </w:rPr>
      </w:pPr>
      <w:r>
        <w:rPr>
          <w:color w:val="231F20"/>
          <w:sz w:val="18"/>
        </w:rPr>
        <w:br w:type="column"/>
        <w:t>Since the previous MPC meeting the local authority </w:t>
      </w:r>
      <w:r>
        <w:rPr>
          <w:color w:val="231F20"/>
          <w:spacing w:val="-3"/>
          <w:sz w:val="18"/>
        </w:rPr>
        <w:t>workers’ </w:t>
      </w:r>
      <w:r>
        <w:rPr>
          <w:color w:val="231F20"/>
          <w:sz w:val="18"/>
        </w:rPr>
        <w:t>settlement, covering 1.4 million people, for a 2.5% basic increase plus the introduction of a minimum wage of £4 per hour, had been agreed. The total cost of the settlement was likely to amount to 2.8% of the pay bill. The twelve-month employment-weighted mean of settlements was just over 3%, with the private sector at 3.4% and the public sector at 2.7%. Within the private sector, the service sector was at 3.6% and the production sector at 3.2%. A proposed settlement covering 600,000 construction workers could lead to a jump in the three-month employment-weighted mean of settlements in June.</w:t>
      </w:r>
    </w:p>
    <w:p>
      <w:pPr>
        <w:pStyle w:val="BodyText"/>
        <w:spacing w:before="7"/>
        <w:rPr>
          <w:sz w:val="16"/>
        </w:rPr>
      </w:pPr>
    </w:p>
    <w:p>
      <w:pPr>
        <w:pStyle w:val="ListParagraph"/>
        <w:numPr>
          <w:ilvl w:val="0"/>
          <w:numId w:val="37"/>
        </w:numPr>
        <w:tabs>
          <w:tab w:pos="634" w:val="left" w:leader="none"/>
          <w:tab w:pos="635" w:val="left" w:leader="none"/>
        </w:tabs>
        <w:spacing w:line="232" w:lineRule="auto" w:before="0" w:after="0"/>
        <w:ind w:left="154" w:right="131" w:firstLine="0"/>
        <w:jc w:val="left"/>
        <w:rPr>
          <w:sz w:val="18"/>
        </w:rPr>
      </w:pPr>
      <w:r>
        <w:rPr>
          <w:color w:val="231F20"/>
          <w:sz w:val="18"/>
        </w:rPr>
        <w:t>The Bank’s regional Agencies had conducted a survey of labour demand in 136 companies in July. 40% of those surveyed reported that staff numbers had risen over the previous six months, while 24% reported that they had fallen. 47% expected staff numbers to rise during the next six months, and 16% expected </w:t>
      </w:r>
      <w:r>
        <w:rPr>
          <w:color w:val="231F20"/>
          <w:spacing w:val="-4"/>
          <w:sz w:val="18"/>
        </w:rPr>
        <w:t>them </w:t>
      </w:r>
      <w:r>
        <w:rPr>
          <w:color w:val="231F20"/>
          <w:sz w:val="18"/>
        </w:rPr>
        <w:t>to fall. Recruitment intentions were particularly strong in service industries, where 66% of respondents expected staff numbers to rise and 7% expected them to fall; in manufacturing 29% of respondents expected staff numbers to rise and 25% expected them to fall. Staff reductions during the previous six months had been mainly in large companies (ie companies with more than 500 employees).</w:t>
      </w:r>
    </w:p>
    <w:p>
      <w:pPr>
        <w:pStyle w:val="BodyText"/>
        <w:spacing w:before="6"/>
        <w:rPr>
          <w:sz w:val="16"/>
        </w:rPr>
      </w:pPr>
    </w:p>
    <w:p>
      <w:pPr>
        <w:pStyle w:val="ListParagraph"/>
        <w:numPr>
          <w:ilvl w:val="0"/>
          <w:numId w:val="37"/>
        </w:numPr>
        <w:tabs>
          <w:tab w:pos="634" w:val="left" w:leader="none"/>
          <w:tab w:pos="635" w:val="left" w:leader="none"/>
        </w:tabs>
        <w:spacing w:line="232" w:lineRule="auto" w:before="0" w:after="0"/>
        <w:ind w:left="154" w:right="226" w:firstLine="0"/>
        <w:jc w:val="left"/>
        <w:rPr>
          <w:sz w:val="18"/>
        </w:rPr>
      </w:pPr>
      <w:r>
        <w:rPr>
          <w:color w:val="231F20"/>
          <w:sz w:val="18"/>
        </w:rPr>
        <w:t>Of those surveyed, 34% reported that staff turnover had increased in the past six months and nearly all of the others reported no change. 26% of all respondents (34% in services) reported a shortage of skilled workers and 24% quoted skill shortages as a reason for adjusting wages. 48% said that skill shortages had intensified in the past six months (57% in London and the South East). 23% reported a deterioration in the quality </w:t>
      </w:r>
      <w:r>
        <w:rPr>
          <w:color w:val="231F20"/>
          <w:spacing w:val="-9"/>
          <w:sz w:val="18"/>
        </w:rPr>
        <w:t>of </w:t>
      </w:r>
      <w:r>
        <w:rPr>
          <w:color w:val="231F20"/>
          <w:sz w:val="18"/>
        </w:rPr>
        <w:t>applicants for jobs, while 8% reported an improvement: 32%</w:t>
      </w:r>
    </w:p>
    <w:p>
      <w:pPr>
        <w:pStyle w:val="BodyText"/>
        <w:spacing w:line="232" w:lineRule="auto"/>
        <w:ind w:left="154" w:right="719"/>
      </w:pPr>
      <w:r>
        <w:rPr>
          <w:color w:val="231F20"/>
        </w:rPr>
        <w:t>said that skill shortages were inhibiting their ability to meet demand.</w:t>
      </w:r>
    </w:p>
    <w:p>
      <w:pPr>
        <w:pStyle w:val="BodyText"/>
        <w:spacing w:before="8"/>
        <w:rPr>
          <w:sz w:val="16"/>
        </w:rPr>
      </w:pPr>
    </w:p>
    <w:p>
      <w:pPr>
        <w:pStyle w:val="ListParagraph"/>
        <w:numPr>
          <w:ilvl w:val="0"/>
          <w:numId w:val="37"/>
        </w:numPr>
        <w:tabs>
          <w:tab w:pos="634" w:val="left" w:leader="none"/>
          <w:tab w:pos="635" w:val="left" w:leader="none"/>
        </w:tabs>
        <w:spacing w:line="232" w:lineRule="auto" w:before="0" w:after="0"/>
        <w:ind w:left="154" w:right="271" w:firstLine="0"/>
        <w:jc w:val="left"/>
        <w:rPr>
          <w:sz w:val="18"/>
        </w:rPr>
      </w:pPr>
      <w:r>
        <w:rPr>
          <w:color w:val="231F20"/>
          <w:sz w:val="18"/>
        </w:rPr>
        <w:t>On pay, 40% of companies surveyed thought that their settlement would be higher than in 1996, while 10% thought it would be lower. For those expecting higher settlements, the </w:t>
      </w:r>
      <w:r>
        <w:rPr>
          <w:color w:val="231F20"/>
          <w:spacing w:val="-5"/>
          <w:sz w:val="18"/>
        </w:rPr>
        <w:t>main </w:t>
      </w:r>
      <w:r>
        <w:rPr>
          <w:color w:val="231F20"/>
          <w:sz w:val="18"/>
        </w:rPr>
        <w:t>causes were staff turnover and recruitment problems. 53% of respondents (and 61% in the service sector) said that they would pay premium rates to key groups of skilled workers.</w:t>
      </w:r>
    </w:p>
    <w:p>
      <w:pPr>
        <w:pStyle w:val="BodyText"/>
        <w:spacing w:before="1"/>
        <w:rPr>
          <w:sz w:val="17"/>
        </w:rPr>
      </w:pPr>
    </w:p>
    <w:p>
      <w:pPr>
        <w:pStyle w:val="ListParagraph"/>
        <w:numPr>
          <w:ilvl w:val="0"/>
          <w:numId w:val="37"/>
        </w:numPr>
        <w:tabs>
          <w:tab w:pos="634" w:val="left" w:leader="none"/>
          <w:tab w:pos="635" w:val="left" w:leader="none"/>
        </w:tabs>
        <w:spacing w:line="232" w:lineRule="auto" w:before="0" w:after="0"/>
        <w:ind w:left="154" w:right="237" w:firstLine="0"/>
        <w:jc w:val="left"/>
        <w:rPr>
          <w:sz w:val="18"/>
        </w:rPr>
      </w:pPr>
      <w:r>
        <w:rPr>
          <w:color w:val="231F20"/>
          <w:sz w:val="18"/>
        </w:rPr>
        <w:t>A summary of the recent O</w:t>
      </w:r>
      <w:r>
        <w:rPr>
          <w:color w:val="231F20"/>
          <w:sz w:val="14"/>
        </w:rPr>
        <w:t>ECD </w:t>
      </w:r>
      <w:r>
        <w:rPr>
          <w:color w:val="231F20"/>
          <w:sz w:val="18"/>
        </w:rPr>
        <w:t>Employment Outlook evidence on job insecurity was presented to the Committee. The O</w:t>
      </w:r>
      <w:r>
        <w:rPr>
          <w:color w:val="231F20"/>
          <w:sz w:val="14"/>
        </w:rPr>
        <w:t>ECD </w:t>
      </w:r>
      <w:r>
        <w:rPr>
          <w:color w:val="231F20"/>
          <w:sz w:val="18"/>
        </w:rPr>
        <w:t>drew heavily on surveys conducted by International Survey Research (ISR), which suggested that perceived job insecurity </w:t>
      </w:r>
      <w:r>
        <w:rPr>
          <w:color w:val="231F20"/>
          <w:spacing w:val="-6"/>
          <w:sz w:val="18"/>
        </w:rPr>
        <w:t>had </w:t>
      </w:r>
      <w:r>
        <w:rPr>
          <w:color w:val="231F20"/>
          <w:sz w:val="18"/>
        </w:rPr>
        <w:t>increased internationally over the past five years, and that it was relatively high in the United Kingdom. The causes of job insecurity might be structural as well as cyclical: ISR surveys suggested that insecurity had increased in each year since 1987 in the United Kingdom. Greater job insecurity might lead to lower wage pressure and to higher precautionary savings.</w:t>
      </w:r>
    </w:p>
    <w:p>
      <w:pPr>
        <w:pStyle w:val="BodyText"/>
        <w:spacing w:before="8"/>
        <w:rPr>
          <w:sz w:val="16"/>
        </w:rPr>
      </w:pPr>
    </w:p>
    <w:p>
      <w:pPr>
        <w:pStyle w:val="ListParagraph"/>
        <w:numPr>
          <w:ilvl w:val="0"/>
          <w:numId w:val="37"/>
        </w:numPr>
        <w:tabs>
          <w:tab w:pos="634" w:val="left" w:leader="none"/>
          <w:tab w:pos="635" w:val="left" w:leader="none"/>
        </w:tabs>
        <w:spacing w:line="232" w:lineRule="auto" w:before="0" w:after="0"/>
        <w:ind w:left="154" w:right="146" w:hanging="1"/>
        <w:jc w:val="left"/>
        <w:rPr>
          <w:sz w:val="18"/>
        </w:rPr>
      </w:pPr>
      <w:r>
        <w:rPr>
          <w:color w:val="231F20"/>
          <w:sz w:val="18"/>
        </w:rPr>
        <w:t>Evidence assembled by the O</w:t>
      </w:r>
      <w:r>
        <w:rPr>
          <w:color w:val="231F20"/>
          <w:sz w:val="14"/>
        </w:rPr>
        <w:t>ECD </w:t>
      </w:r>
      <w:r>
        <w:rPr>
          <w:color w:val="231F20"/>
          <w:sz w:val="18"/>
        </w:rPr>
        <w:t>showed little change in </w:t>
      </w:r>
      <w:r>
        <w:rPr>
          <w:color w:val="231F20"/>
          <w:spacing w:val="-6"/>
          <w:sz w:val="18"/>
        </w:rPr>
        <w:t>job </w:t>
      </w:r>
      <w:r>
        <w:rPr>
          <w:color w:val="231F20"/>
          <w:sz w:val="18"/>
        </w:rPr>
        <w:t>instability—for example average job tenure had changed little on balance between 1985 and 1995. Rates of staff retention had not changed much in most countries, and had actually risen a little in the United Kingdom between the late 1980s and early 1990s. Layoff rates in the United Kingdom had been similar in the 1990s recession to those in the 1980s recession, and were now lower than elsewhere in the European Union. The O</w:t>
      </w:r>
      <w:r>
        <w:rPr>
          <w:color w:val="231F20"/>
          <w:sz w:val="14"/>
        </w:rPr>
        <w:t>ECD </w:t>
      </w:r>
      <w:r>
        <w:rPr>
          <w:color w:val="231F20"/>
          <w:sz w:val="18"/>
        </w:rPr>
        <w:t>had found little evidence of a statistically significant link between rates of temporary employment (eg on fixed-term contracts) or changes in statutory employment protection and perceptions of job insecurity across countries.</w:t>
      </w:r>
    </w:p>
    <w:p>
      <w:pPr>
        <w:pStyle w:val="BodyText"/>
        <w:spacing w:before="7"/>
        <w:rPr>
          <w:sz w:val="16"/>
        </w:rPr>
      </w:pPr>
    </w:p>
    <w:p>
      <w:pPr>
        <w:pStyle w:val="ListParagraph"/>
        <w:numPr>
          <w:ilvl w:val="0"/>
          <w:numId w:val="37"/>
        </w:numPr>
        <w:tabs>
          <w:tab w:pos="634" w:val="left" w:leader="none"/>
          <w:tab w:pos="635" w:val="left" w:leader="none"/>
        </w:tabs>
        <w:spacing w:line="232" w:lineRule="auto" w:before="0" w:after="0"/>
        <w:ind w:left="154" w:right="172" w:firstLine="0"/>
        <w:jc w:val="left"/>
        <w:rPr>
          <w:sz w:val="18"/>
        </w:rPr>
      </w:pPr>
      <w:r>
        <w:rPr>
          <w:color w:val="231F20"/>
          <w:sz w:val="18"/>
        </w:rPr>
        <w:t>The British Household Panel survey corroborated a rise in job insecurity in the United Kingdom in the early 1990s. The British Social Attitudes Survey, however, suggested no trend in </w:t>
      </w:r>
      <w:r>
        <w:rPr>
          <w:color w:val="231F20"/>
          <w:spacing w:val="-5"/>
          <w:sz w:val="18"/>
        </w:rPr>
        <w:t>the </w:t>
      </w:r>
      <w:r>
        <w:rPr>
          <w:color w:val="231F20"/>
          <w:sz w:val="18"/>
        </w:rPr>
        <w:t>fear of redundancy in recent years. But it also suggested that in </w:t>
      </w:r>
      <w:r>
        <w:rPr>
          <w:color w:val="231F20"/>
          <w:spacing w:val="-6"/>
          <w:sz w:val="18"/>
        </w:rPr>
        <w:t>the </w:t>
      </w:r>
      <w:r>
        <w:rPr>
          <w:color w:val="231F20"/>
          <w:sz w:val="18"/>
        </w:rPr>
        <w:t>early to mid 1990s a relatively low percentage of respondents had</w:t>
      </w:r>
    </w:p>
    <w:p>
      <w:pPr>
        <w:spacing w:after="0" w:line="232" w:lineRule="auto"/>
        <w:jc w:val="left"/>
        <w:rPr>
          <w:sz w:val="18"/>
        </w:rPr>
        <w:sectPr>
          <w:type w:val="continuous"/>
          <w:pgSz w:w="11900" w:h="16840"/>
          <w:pgMar w:top="1040" w:bottom="280" w:left="660" w:right="680"/>
          <w:cols w:num="2" w:equalWidth="0">
            <w:col w:w="5094" w:space="288"/>
            <w:col w:w="5178"/>
          </w:cols>
        </w:sectPr>
      </w:pPr>
    </w:p>
    <w:p>
      <w:pPr>
        <w:pStyle w:val="BodyText"/>
        <w:rPr>
          <w:sz w:val="20"/>
        </w:rPr>
      </w:pPr>
    </w:p>
    <w:p>
      <w:pPr>
        <w:spacing w:after="0"/>
        <w:rPr>
          <w:sz w:val="20"/>
        </w:rPr>
        <w:sectPr>
          <w:pgSz w:w="11900" w:h="16840"/>
          <w:pgMar w:header="566" w:footer="597" w:top="800" w:bottom="780" w:left="660" w:right="680"/>
        </w:sectPr>
      </w:pPr>
    </w:p>
    <w:p>
      <w:pPr>
        <w:pStyle w:val="BodyText"/>
        <w:spacing w:before="5"/>
      </w:pPr>
    </w:p>
    <w:p>
      <w:pPr>
        <w:pStyle w:val="BodyText"/>
        <w:spacing w:line="232" w:lineRule="auto" w:before="1"/>
        <w:ind w:left="160" w:right="589"/>
      </w:pPr>
      <w:r>
        <w:rPr>
          <w:color w:val="231F20"/>
        </w:rPr>
        <w:t>thought it would take them less than three months to find an acceptable job, though the percentage had risen in 1995.</w:t>
      </w:r>
    </w:p>
    <w:p>
      <w:pPr>
        <w:pStyle w:val="BodyText"/>
        <w:spacing w:before="2"/>
        <w:rPr>
          <w:sz w:val="17"/>
        </w:rPr>
      </w:pPr>
    </w:p>
    <w:p>
      <w:pPr>
        <w:pStyle w:val="ListParagraph"/>
        <w:numPr>
          <w:ilvl w:val="0"/>
          <w:numId w:val="37"/>
        </w:numPr>
        <w:tabs>
          <w:tab w:pos="639" w:val="left" w:leader="none"/>
          <w:tab w:pos="641" w:val="left" w:leader="none"/>
        </w:tabs>
        <w:spacing w:line="232" w:lineRule="auto" w:before="0" w:after="0"/>
        <w:ind w:left="159" w:right="38" w:firstLine="0"/>
        <w:jc w:val="left"/>
        <w:rPr>
          <w:sz w:val="18"/>
        </w:rPr>
      </w:pPr>
      <w:r>
        <w:rPr>
          <w:color w:val="231F20"/>
          <w:sz w:val="18"/>
        </w:rPr>
        <w:t>The O</w:t>
      </w:r>
      <w:r>
        <w:rPr>
          <w:color w:val="231F20"/>
          <w:sz w:val="14"/>
        </w:rPr>
        <w:t>ECD </w:t>
      </w:r>
      <w:r>
        <w:rPr>
          <w:color w:val="231F20"/>
          <w:sz w:val="18"/>
        </w:rPr>
        <w:t>concluded that there had been a sharp rise in perceived job insecurity across many countries, mainly because the consequences of job loss had worsened: benefits paid to those out of work had become less generous and eligibility had been tightened, and entry wages into new jobs had fallen relative to average earnings. Institutional factors affecting the degree of centralised bargaining might also play a role. According to ISR data, though job insecurity in the United Kingdom appeared to </w:t>
      </w:r>
      <w:r>
        <w:rPr>
          <w:color w:val="231F20"/>
          <w:spacing w:val="-5"/>
          <w:sz w:val="18"/>
        </w:rPr>
        <w:t>have </w:t>
      </w:r>
      <w:r>
        <w:rPr>
          <w:color w:val="231F20"/>
          <w:sz w:val="18"/>
        </w:rPr>
        <w:t>been increasing steadily during the current economic recovery, the United States showed a recent recovery in job security, presumably in response to the continued strength of the labour market.</w:t>
      </w:r>
    </w:p>
    <w:p>
      <w:pPr>
        <w:pStyle w:val="BodyText"/>
        <w:spacing w:before="3"/>
        <w:rPr>
          <w:sz w:val="16"/>
        </w:rPr>
      </w:pPr>
    </w:p>
    <w:p>
      <w:pPr>
        <w:pStyle w:val="ListParagraph"/>
        <w:numPr>
          <w:ilvl w:val="0"/>
          <w:numId w:val="39"/>
        </w:numPr>
        <w:tabs>
          <w:tab w:pos="639" w:val="left" w:leader="none"/>
          <w:tab w:pos="641" w:val="left" w:leader="none"/>
        </w:tabs>
        <w:spacing w:line="240" w:lineRule="auto" w:before="0" w:after="0"/>
        <w:ind w:left="640" w:right="0" w:hanging="482"/>
        <w:jc w:val="left"/>
        <w:rPr>
          <w:i/>
          <w:sz w:val="18"/>
        </w:rPr>
      </w:pPr>
      <w:r>
        <w:rPr>
          <w:i/>
          <w:color w:val="009483"/>
          <w:sz w:val="18"/>
        </w:rPr>
        <w:t>Prices</w:t>
      </w:r>
    </w:p>
    <w:p>
      <w:pPr>
        <w:pStyle w:val="BodyText"/>
        <w:spacing w:before="2"/>
        <w:rPr>
          <w:i/>
          <w:sz w:val="17"/>
        </w:rPr>
      </w:pPr>
    </w:p>
    <w:p>
      <w:pPr>
        <w:pStyle w:val="ListParagraph"/>
        <w:numPr>
          <w:ilvl w:val="0"/>
          <w:numId w:val="37"/>
        </w:numPr>
        <w:tabs>
          <w:tab w:pos="639" w:val="left" w:leader="none"/>
          <w:tab w:pos="641" w:val="left" w:leader="none"/>
        </w:tabs>
        <w:spacing w:line="232" w:lineRule="auto" w:before="0" w:after="0"/>
        <w:ind w:left="159" w:right="57" w:firstLine="0"/>
        <w:jc w:val="left"/>
        <w:rPr>
          <w:sz w:val="18"/>
        </w:rPr>
      </w:pPr>
      <w:r>
        <w:rPr>
          <w:color w:val="231F20"/>
          <w:sz w:val="18"/>
        </w:rPr>
        <w:t>The Bank’s commodity price index fell by 1.6% </w:t>
      </w:r>
      <w:r>
        <w:rPr>
          <w:color w:val="231F20"/>
          <w:spacing w:val="-2"/>
          <w:sz w:val="18"/>
        </w:rPr>
        <w:t>(provisional </w:t>
      </w:r>
      <w:r>
        <w:rPr>
          <w:color w:val="231F20"/>
          <w:sz w:val="18"/>
        </w:rPr>
        <w:t>figure) in June, having risen by 1.1% (revised figure) in May. These variations were partly explained by volatility in oil prices.</w:t>
      </w:r>
    </w:p>
    <w:p>
      <w:pPr>
        <w:pStyle w:val="BodyText"/>
        <w:spacing w:before="2"/>
        <w:rPr>
          <w:sz w:val="17"/>
        </w:rPr>
      </w:pPr>
    </w:p>
    <w:p>
      <w:pPr>
        <w:pStyle w:val="ListParagraph"/>
        <w:numPr>
          <w:ilvl w:val="0"/>
          <w:numId w:val="37"/>
        </w:numPr>
        <w:tabs>
          <w:tab w:pos="639" w:val="left" w:leader="none"/>
          <w:tab w:pos="641" w:val="left" w:leader="none"/>
        </w:tabs>
        <w:spacing w:line="232" w:lineRule="auto" w:before="0" w:after="0"/>
        <w:ind w:left="159" w:right="48" w:firstLine="0"/>
        <w:jc w:val="left"/>
        <w:rPr>
          <w:sz w:val="18"/>
        </w:rPr>
      </w:pPr>
      <w:r>
        <w:rPr>
          <w:color w:val="231F20"/>
          <w:sz w:val="18"/>
        </w:rPr>
        <w:t>Non-oil import prices fell by a further 0.2% in May, and prices of non-oil imports from non-EU countries rose by 0.1% in June. Producer input prices fell by 0.8% in June and by a further 0.4% in July, when they were 9.0% lower than a year earlier. Producer output prices did not change in June or July, and in July they were 0.6% higher than a year earlier. The index excluding excise duties (PPIY) rose by 0.1% in June but did not change in July, when it was 0.4% higher than a year earlier. The CBI industrial trends survey did not suggest that producer output prices were likely to accelerate significantly. Non-oil export prices fell </w:t>
      </w:r>
      <w:r>
        <w:rPr>
          <w:color w:val="231F20"/>
          <w:spacing w:val="-9"/>
          <w:sz w:val="18"/>
        </w:rPr>
        <w:t>by </w:t>
      </w:r>
      <w:r>
        <w:rPr>
          <w:color w:val="231F20"/>
          <w:sz w:val="18"/>
        </w:rPr>
        <w:t>a further 0.2% in May, though prices of non-oil exports to non-EU countries rose by 0.1% in June.</w:t>
      </w:r>
    </w:p>
    <w:p>
      <w:pPr>
        <w:pStyle w:val="BodyText"/>
        <w:spacing w:before="7"/>
        <w:rPr>
          <w:sz w:val="16"/>
        </w:rPr>
      </w:pPr>
    </w:p>
    <w:p>
      <w:pPr>
        <w:pStyle w:val="ListParagraph"/>
        <w:numPr>
          <w:ilvl w:val="0"/>
          <w:numId w:val="37"/>
        </w:numPr>
        <w:tabs>
          <w:tab w:pos="639" w:val="left" w:leader="none"/>
          <w:tab w:pos="640" w:val="left" w:leader="none"/>
        </w:tabs>
        <w:spacing w:line="232" w:lineRule="auto" w:before="0" w:after="0"/>
        <w:ind w:left="159" w:right="127" w:firstLine="0"/>
        <w:jc w:val="left"/>
        <w:rPr>
          <w:sz w:val="18"/>
        </w:rPr>
      </w:pPr>
      <w:r>
        <w:rPr>
          <w:color w:val="231F20"/>
          <w:sz w:val="18"/>
        </w:rPr>
        <w:t>Twelve-month RPIX inflation rose from 2.5% in May to 2.7% in June, with the increase largely accounted for by seasonal food prices. RPI inflation rose from 2.6% in May to 2.9% in </w:t>
      </w:r>
      <w:r>
        <w:rPr>
          <w:color w:val="231F20"/>
          <w:spacing w:val="-4"/>
          <w:sz w:val="18"/>
        </w:rPr>
        <w:t>June, </w:t>
      </w:r>
      <w:r>
        <w:rPr>
          <w:color w:val="231F20"/>
          <w:sz w:val="18"/>
        </w:rPr>
        <w:t>partly because of rises in mortgage rates. The EU Harmonised Consumer Price Index in June was 1.7% higher than a year</w:t>
      </w:r>
      <w:r>
        <w:rPr>
          <w:color w:val="231F20"/>
          <w:spacing w:val="-16"/>
          <w:sz w:val="18"/>
        </w:rPr>
        <w:t> </w:t>
      </w:r>
      <w:r>
        <w:rPr>
          <w:color w:val="231F20"/>
          <w:sz w:val="18"/>
        </w:rPr>
        <w:t>earlier.</w:t>
      </w:r>
    </w:p>
    <w:p>
      <w:pPr>
        <w:pStyle w:val="BodyText"/>
        <w:rPr>
          <w:sz w:val="17"/>
        </w:rPr>
      </w:pPr>
    </w:p>
    <w:p>
      <w:pPr>
        <w:pStyle w:val="ListParagraph"/>
        <w:numPr>
          <w:ilvl w:val="0"/>
          <w:numId w:val="37"/>
        </w:numPr>
        <w:tabs>
          <w:tab w:pos="639" w:val="left" w:leader="none"/>
          <w:tab w:pos="640" w:val="left" w:leader="none"/>
        </w:tabs>
        <w:spacing w:line="232" w:lineRule="auto" w:before="0" w:after="0"/>
        <w:ind w:left="159" w:right="62" w:firstLine="0"/>
        <w:jc w:val="left"/>
        <w:rPr>
          <w:sz w:val="18"/>
        </w:rPr>
      </w:pPr>
      <w:r>
        <w:rPr>
          <w:color w:val="231F20"/>
          <w:sz w:val="18"/>
        </w:rPr>
        <w:t>Food price inflation had been falling during the last twelve months and accounted for half of the fall in RPIX inflation from 3.3% to 2.5% between November 1996 and May 1997. This reflected both favourable supply conditions in 1996 and sterling’s appreciation, which had had a much greater effect on food prices than on most other goods prices. Looking ahead, supply conditions in 1997 were likely to be less favourable and the effect of sterling’s appreciation on the rate of food price inflation would at some point begin to wear off.</w:t>
      </w:r>
    </w:p>
    <w:p>
      <w:pPr>
        <w:pStyle w:val="BodyText"/>
        <w:spacing w:before="4"/>
        <w:rPr>
          <w:sz w:val="16"/>
        </w:rPr>
      </w:pPr>
    </w:p>
    <w:p>
      <w:pPr>
        <w:pStyle w:val="ListParagraph"/>
        <w:numPr>
          <w:ilvl w:val="0"/>
          <w:numId w:val="39"/>
        </w:numPr>
        <w:tabs>
          <w:tab w:pos="639" w:val="left" w:leader="none"/>
          <w:tab w:pos="640" w:val="left" w:leader="none"/>
        </w:tabs>
        <w:spacing w:line="240" w:lineRule="auto" w:before="0" w:after="0"/>
        <w:ind w:left="639" w:right="0" w:hanging="481"/>
        <w:jc w:val="left"/>
        <w:rPr>
          <w:i/>
          <w:sz w:val="18"/>
        </w:rPr>
      </w:pPr>
      <w:r>
        <w:rPr>
          <w:i/>
          <w:color w:val="009483"/>
          <w:sz w:val="18"/>
        </w:rPr>
        <w:t>Information from financial markets</w:t>
      </w:r>
    </w:p>
    <w:p>
      <w:pPr>
        <w:pStyle w:val="BodyText"/>
        <w:spacing w:before="3"/>
        <w:rPr>
          <w:i/>
          <w:sz w:val="17"/>
        </w:rPr>
      </w:pPr>
    </w:p>
    <w:p>
      <w:pPr>
        <w:pStyle w:val="ListParagraph"/>
        <w:numPr>
          <w:ilvl w:val="0"/>
          <w:numId w:val="37"/>
        </w:numPr>
        <w:tabs>
          <w:tab w:pos="639" w:val="left" w:leader="none"/>
          <w:tab w:pos="640" w:val="left" w:leader="none"/>
        </w:tabs>
        <w:spacing w:line="232" w:lineRule="auto" w:before="0" w:after="0"/>
        <w:ind w:left="159" w:right="161" w:firstLine="0"/>
        <w:jc w:val="left"/>
        <w:rPr>
          <w:sz w:val="18"/>
        </w:rPr>
      </w:pPr>
      <w:r>
        <w:rPr>
          <w:color w:val="231F20"/>
          <w:sz w:val="18"/>
        </w:rPr>
        <w:t>The sterling ERI stood at 103.9 (1990 average = 100) at </w:t>
      </w:r>
      <w:r>
        <w:rPr>
          <w:color w:val="231F20"/>
          <w:spacing w:val="-6"/>
          <w:sz w:val="18"/>
        </w:rPr>
        <w:t>the </w:t>
      </w:r>
      <w:r>
        <w:rPr>
          <w:color w:val="231F20"/>
          <w:sz w:val="18"/>
        </w:rPr>
        <w:t>close of business on 6 August.  It had fallen by around </w:t>
      </w:r>
      <w:r>
        <w:rPr>
          <w:color w:val="231F20"/>
          <w:position w:val="6"/>
          <w:sz w:val="9"/>
        </w:rPr>
        <w:t>1</w:t>
      </w:r>
      <w:r>
        <w:rPr>
          <w:color w:val="231F20"/>
          <w:sz w:val="18"/>
        </w:rPr>
        <w:t>/</w:t>
      </w:r>
      <w:r>
        <w:rPr>
          <w:color w:val="231F20"/>
          <w:sz w:val="9"/>
        </w:rPr>
        <w:t>4</w:t>
      </w:r>
      <w:r>
        <w:rPr>
          <w:color w:val="231F20"/>
          <w:sz w:val="18"/>
        </w:rPr>
        <w:t>% since 9 July but had risen by nearly 24% since 2 August 1996.</w:t>
      </w:r>
      <w:r>
        <w:rPr>
          <w:color w:val="231F20"/>
          <w:spacing w:val="44"/>
          <w:sz w:val="18"/>
        </w:rPr>
        <w:t> </w:t>
      </w:r>
      <w:r>
        <w:rPr>
          <w:color w:val="231F20"/>
          <w:sz w:val="18"/>
        </w:rPr>
        <w:t>Since</w:t>
      </w:r>
    </w:p>
    <w:p>
      <w:pPr>
        <w:pStyle w:val="BodyText"/>
        <w:spacing w:line="232" w:lineRule="auto"/>
        <w:ind w:left="159" w:right="101"/>
      </w:pPr>
      <w:r>
        <w:rPr>
          <w:color w:val="231F20"/>
        </w:rPr>
        <w:t>9 July, sterling was up by 1.1% against the Deutsche Mark and down by 5% against the dollar. It had fallen by over 1.5% on the ERI on 6 August itself.</w:t>
      </w:r>
    </w:p>
    <w:p>
      <w:pPr>
        <w:pStyle w:val="BodyText"/>
        <w:rPr>
          <w:sz w:val="17"/>
        </w:rPr>
      </w:pPr>
    </w:p>
    <w:p>
      <w:pPr>
        <w:pStyle w:val="BodyText"/>
        <w:tabs>
          <w:tab w:pos="639" w:val="left" w:leader="none"/>
        </w:tabs>
        <w:spacing w:line="232" w:lineRule="auto"/>
        <w:ind w:left="159" w:right="48"/>
      </w:pPr>
      <w:r>
        <w:rPr>
          <w:color w:val="231F20"/>
        </w:rPr>
        <w:t>37</w:t>
        <w:tab/>
        <w:t>The main feature of foreign exchange markets during the </w:t>
      </w:r>
      <w:r>
        <w:rPr>
          <w:color w:val="231F20"/>
          <w:spacing w:val="-5"/>
        </w:rPr>
        <w:t>last </w:t>
      </w:r>
      <w:r>
        <w:rPr>
          <w:color w:val="231F20"/>
        </w:rPr>
        <w:t>month had been the global strength of the dollar, reflecting optimistic assessments of the US economy and the perceived increased likelihood of EMU going ahead on schedule following the French budget package. Sterling fell slightly after the</w:t>
      </w:r>
    </w:p>
    <w:p>
      <w:pPr>
        <w:pStyle w:val="BodyText"/>
        <w:spacing w:line="195" w:lineRule="exact"/>
        <w:ind w:left="160"/>
      </w:pPr>
      <w:r>
        <w:rPr>
          <w:color w:val="231F20"/>
          <w:position w:val="6"/>
          <w:sz w:val="9"/>
        </w:rPr>
        <w:t>1</w:t>
      </w:r>
      <w:r>
        <w:rPr>
          <w:color w:val="231F20"/>
        </w:rPr>
        <w:t>/</w:t>
      </w:r>
      <w:r>
        <w:rPr>
          <w:color w:val="231F20"/>
          <w:sz w:val="9"/>
        </w:rPr>
        <w:t>4  </w:t>
      </w:r>
      <w:r>
        <w:rPr>
          <w:color w:val="231F20"/>
        </w:rPr>
        <w:t>percentage point rise in interest rates had been announced on</w:t>
      </w:r>
    </w:p>
    <w:p>
      <w:pPr>
        <w:pStyle w:val="BodyText"/>
        <w:spacing w:line="232" w:lineRule="auto" w:before="2"/>
        <w:ind w:left="159" w:right="101"/>
      </w:pPr>
      <w:r>
        <w:rPr>
          <w:color w:val="231F20"/>
        </w:rPr>
        <w:t>10 July, which suggested that some in the market had seen a </w:t>
      </w:r>
      <w:r>
        <w:rPr>
          <w:color w:val="231F20"/>
          <w:spacing w:val="-3"/>
        </w:rPr>
        <w:t>larger </w:t>
      </w:r>
      <w:r>
        <w:rPr>
          <w:color w:val="231F20"/>
        </w:rPr>
        <w:t>rise in interest rates at that time as a possibility. Thereafter, for much of July sterling had moved up in parallel with the dollar, but it had weakened after the Bundesbank had announced fixed rate repos for the coming two weeks rather than the expected four, which had encouraged market expectations of higher interest rates in Germany. Analysis of options prices gave no reason to think</w:t>
      </w:r>
    </w:p>
    <w:p>
      <w:pPr>
        <w:pStyle w:val="BodyText"/>
        <w:spacing w:before="5"/>
      </w:pPr>
      <w:r>
        <w:rPr/>
        <w:br w:type="column"/>
      </w:r>
      <w:r>
        <w:rPr/>
      </w:r>
    </w:p>
    <w:p>
      <w:pPr>
        <w:pStyle w:val="BodyText"/>
        <w:spacing w:line="232" w:lineRule="auto"/>
        <w:ind w:left="159" w:right="347"/>
      </w:pPr>
      <w:r>
        <w:rPr>
          <w:color w:val="231F20"/>
        </w:rPr>
        <w:t>that the market attached an unusually high probability to the prospect of a fall in sterling, though uncertainty had increased as sterling had appreciated. Likewise, chart analysis suggested no reason to think that sterling had peaked.</w:t>
      </w:r>
    </w:p>
    <w:p>
      <w:pPr>
        <w:pStyle w:val="BodyText"/>
        <w:spacing w:before="2"/>
        <w:rPr>
          <w:sz w:val="17"/>
        </w:rPr>
      </w:pPr>
    </w:p>
    <w:p>
      <w:pPr>
        <w:pStyle w:val="ListParagraph"/>
        <w:numPr>
          <w:ilvl w:val="0"/>
          <w:numId w:val="40"/>
        </w:numPr>
        <w:tabs>
          <w:tab w:pos="639" w:val="left" w:leader="none"/>
          <w:tab w:pos="640" w:val="left" w:leader="none"/>
        </w:tabs>
        <w:spacing w:line="232" w:lineRule="auto" w:before="0" w:after="0"/>
        <w:ind w:left="159" w:right="134" w:firstLine="0"/>
        <w:jc w:val="left"/>
        <w:rPr>
          <w:sz w:val="18"/>
        </w:rPr>
      </w:pPr>
      <w:r>
        <w:rPr>
          <w:color w:val="231F20"/>
          <w:sz w:val="18"/>
        </w:rPr>
        <w:t>In the domestic money market, the announcement of a rise </w:t>
      </w:r>
      <w:r>
        <w:rPr>
          <w:color w:val="231F20"/>
          <w:spacing w:val="-9"/>
          <w:sz w:val="18"/>
        </w:rPr>
        <w:t>in </w:t>
      </w:r>
      <w:r>
        <w:rPr>
          <w:color w:val="231F20"/>
          <w:sz w:val="18"/>
        </w:rPr>
        <w:t>interest rates on 10 July had very little effect, except for a slight </w:t>
      </w:r>
      <w:r>
        <w:rPr>
          <w:color w:val="231F20"/>
          <w:spacing w:val="-3"/>
          <w:sz w:val="18"/>
        </w:rPr>
        <w:t>fall </w:t>
      </w:r>
      <w:r>
        <w:rPr>
          <w:color w:val="231F20"/>
          <w:sz w:val="18"/>
        </w:rPr>
        <w:t>in one-month rates, which suggested (like the small fall in sterling) that a larger rise had been seen as possible. Three-month L</w:t>
      </w:r>
      <w:r>
        <w:rPr>
          <w:color w:val="231F20"/>
          <w:sz w:val="14"/>
        </w:rPr>
        <w:t>IBOR </w:t>
      </w:r>
      <w:r>
        <w:rPr>
          <w:color w:val="231F20"/>
          <w:sz w:val="18"/>
        </w:rPr>
        <w:t>on 6 August was 7.13%; the levels implied by futures markets for September 1997, December 1997 and December 1998 were 7.28%, 7.45% and 7.33% respectively. The rates implied for December 1998 had fallen by 21 basis points during the month, and rates were now expected to peak in the spring. This appeared to reflect a perception that a slowdown in economic growth next year was possible, influenced in particular by the strength of sterling, by the fiscal tightening in the Budget, and by the vote not to demutualise the Nationwide Building Society. Analysis of option prices suggested that the fall in the level of short-term interest rates implied for March 1998 was accompanied by a fall in the probability attached to the prospect of sharply higher rates, while the probability attached to sharply lower rates was little changed.</w:t>
      </w:r>
    </w:p>
    <w:p>
      <w:pPr>
        <w:pStyle w:val="BodyText"/>
        <w:spacing w:before="2"/>
        <w:rPr>
          <w:sz w:val="16"/>
        </w:rPr>
      </w:pPr>
    </w:p>
    <w:p>
      <w:pPr>
        <w:pStyle w:val="ListParagraph"/>
        <w:numPr>
          <w:ilvl w:val="0"/>
          <w:numId w:val="40"/>
        </w:numPr>
        <w:tabs>
          <w:tab w:pos="639" w:val="left" w:leader="none"/>
          <w:tab w:pos="640" w:val="left" w:leader="none"/>
        </w:tabs>
        <w:spacing w:line="232" w:lineRule="auto" w:before="1" w:after="0"/>
        <w:ind w:left="159" w:right="119" w:firstLine="0"/>
        <w:jc w:val="left"/>
        <w:rPr>
          <w:sz w:val="18"/>
        </w:rPr>
      </w:pPr>
      <w:r>
        <w:rPr>
          <w:color w:val="231F20"/>
          <w:sz w:val="18"/>
        </w:rPr>
        <w:t>Short-term interest rates implied by gilt prices for periods further in the future had also fallen since the last meeting: the implied profile was gently falling for periods up to 10 years, at which point the implied short-term interest rate was around 7.0%. This rate was broadly similar to comparable rates implied for the United States and Germany. Short-term market uncertainty about long-term interest rates (as measured from short term options on </w:t>
      </w:r>
      <w:r>
        <w:rPr>
          <w:color w:val="231F20"/>
          <w:spacing w:val="-6"/>
          <w:sz w:val="18"/>
        </w:rPr>
        <w:t>the </w:t>
      </w:r>
      <w:r>
        <w:rPr>
          <w:color w:val="231F20"/>
          <w:sz w:val="18"/>
        </w:rPr>
        <w:t>long gilt future and interest rate swaps) had decreased during the last month.</w:t>
      </w:r>
    </w:p>
    <w:p>
      <w:pPr>
        <w:pStyle w:val="BodyText"/>
        <w:spacing w:before="5"/>
      </w:pPr>
    </w:p>
    <w:p>
      <w:pPr>
        <w:pStyle w:val="ListParagraph"/>
        <w:numPr>
          <w:ilvl w:val="0"/>
          <w:numId w:val="40"/>
        </w:numPr>
        <w:tabs>
          <w:tab w:pos="639" w:val="left" w:leader="none"/>
          <w:tab w:pos="640" w:val="left" w:leader="none"/>
        </w:tabs>
        <w:spacing w:line="232" w:lineRule="auto" w:before="0" w:after="0"/>
        <w:ind w:left="159" w:right="224" w:firstLine="0"/>
        <w:jc w:val="left"/>
        <w:rPr>
          <w:sz w:val="18"/>
        </w:rPr>
      </w:pPr>
      <w:r>
        <w:rPr>
          <w:color w:val="231F20"/>
          <w:sz w:val="18"/>
        </w:rPr>
        <w:t>Future short-term interest rates implied for the average of large overseas industrial countries had risen for periods up to two years since 9 July, but had fallen for longer periods. There was </w:t>
      </w:r>
      <w:r>
        <w:rPr>
          <w:color w:val="231F20"/>
          <w:spacing w:val="-8"/>
          <w:sz w:val="18"/>
        </w:rPr>
        <w:t>no </w:t>
      </w:r>
      <w:r>
        <w:rPr>
          <w:color w:val="231F20"/>
          <w:sz w:val="18"/>
        </w:rPr>
        <w:t>clear relationship between relative yield curve movements and changes in sterling’s exchange rate during the month.</w:t>
      </w:r>
    </w:p>
    <w:p>
      <w:pPr>
        <w:pStyle w:val="BodyText"/>
        <w:spacing w:before="9"/>
      </w:pPr>
    </w:p>
    <w:p>
      <w:pPr>
        <w:pStyle w:val="ListParagraph"/>
        <w:numPr>
          <w:ilvl w:val="0"/>
          <w:numId w:val="40"/>
        </w:numPr>
        <w:tabs>
          <w:tab w:pos="639" w:val="left" w:leader="none"/>
          <w:tab w:pos="640" w:val="left" w:leader="none"/>
        </w:tabs>
        <w:spacing w:line="232" w:lineRule="auto" w:before="0" w:after="0"/>
        <w:ind w:left="159" w:right="154" w:firstLine="0"/>
        <w:jc w:val="left"/>
        <w:rPr>
          <w:sz w:val="18"/>
        </w:rPr>
      </w:pPr>
      <w:r>
        <w:rPr>
          <w:color w:val="231F20"/>
          <w:sz w:val="18"/>
        </w:rPr>
        <w:t>Analysis of money-market rates suggested that the market saw a material likelihood of a further increase in interest rates in August, and of a further rise later this year. Expectations of a rise in August rather than September had been growing in the last few days. It appeared that the market had not regarded substantial movements in sterling as a constraint on interest rate changes in </w:t>
      </w:r>
      <w:r>
        <w:rPr>
          <w:color w:val="231F20"/>
          <w:spacing w:val="-6"/>
          <w:sz w:val="18"/>
        </w:rPr>
        <w:t>the </w:t>
      </w:r>
      <w:r>
        <w:rPr>
          <w:color w:val="231F20"/>
          <w:sz w:val="18"/>
        </w:rPr>
        <w:t>immediate future, though they perhaps had affected the market view of the longer-term outlook for interest rates.</w:t>
      </w:r>
    </w:p>
    <w:p>
      <w:pPr>
        <w:pStyle w:val="BodyText"/>
        <w:spacing w:before="8"/>
      </w:pPr>
    </w:p>
    <w:p>
      <w:pPr>
        <w:pStyle w:val="ListParagraph"/>
        <w:numPr>
          <w:ilvl w:val="0"/>
          <w:numId w:val="40"/>
        </w:numPr>
        <w:tabs>
          <w:tab w:pos="639" w:val="left" w:leader="none"/>
          <w:tab w:pos="640" w:val="left" w:leader="none"/>
        </w:tabs>
        <w:spacing w:line="232" w:lineRule="auto" w:before="0" w:after="0"/>
        <w:ind w:left="159" w:right="128" w:firstLine="0"/>
        <w:jc w:val="left"/>
        <w:rPr>
          <w:sz w:val="18"/>
        </w:rPr>
      </w:pPr>
      <w:r>
        <w:rPr>
          <w:color w:val="231F20"/>
          <w:sz w:val="18"/>
        </w:rPr>
        <w:t>In equity markets, the F</w:t>
      </w:r>
      <w:r>
        <w:rPr>
          <w:color w:val="231F20"/>
          <w:sz w:val="14"/>
        </w:rPr>
        <w:t>T-SE </w:t>
      </w:r>
      <w:r>
        <w:rPr>
          <w:color w:val="231F20"/>
          <w:sz w:val="18"/>
        </w:rPr>
        <w:t>100 index had risen by 5.5% to 5026 since 9 July, and the F</w:t>
      </w:r>
      <w:r>
        <w:rPr>
          <w:color w:val="231F20"/>
          <w:sz w:val="14"/>
        </w:rPr>
        <w:t>T-SE </w:t>
      </w:r>
      <w:r>
        <w:rPr>
          <w:color w:val="231F20"/>
          <w:sz w:val="18"/>
        </w:rPr>
        <w:t>250 index by 2.8% to 4517, but </w:t>
      </w:r>
      <w:r>
        <w:rPr>
          <w:color w:val="231F20"/>
          <w:spacing w:val="-6"/>
          <w:sz w:val="18"/>
        </w:rPr>
        <w:t>the </w:t>
      </w:r>
      <w:r>
        <w:rPr>
          <w:color w:val="231F20"/>
          <w:sz w:val="18"/>
        </w:rPr>
        <w:t>F</w:t>
      </w:r>
      <w:r>
        <w:rPr>
          <w:color w:val="231F20"/>
          <w:sz w:val="14"/>
        </w:rPr>
        <w:t>T-SE </w:t>
      </w:r>
      <w:r>
        <w:rPr>
          <w:color w:val="231F20"/>
          <w:sz w:val="18"/>
        </w:rPr>
        <w:t>Small Capitalisation index had fallen by 0.9% to</w:t>
      </w:r>
      <w:r>
        <w:rPr>
          <w:color w:val="231F20"/>
          <w:spacing w:val="9"/>
          <w:sz w:val="18"/>
        </w:rPr>
        <w:t> </w:t>
      </w:r>
      <w:r>
        <w:rPr>
          <w:color w:val="231F20"/>
          <w:sz w:val="18"/>
        </w:rPr>
        <w:t>2189.</w:t>
      </w:r>
    </w:p>
    <w:p>
      <w:pPr>
        <w:pStyle w:val="BodyText"/>
        <w:spacing w:line="232" w:lineRule="auto"/>
        <w:ind w:left="159" w:right="139"/>
      </w:pPr>
      <w:r>
        <w:rPr>
          <w:color w:val="231F20"/>
        </w:rPr>
        <w:t>These indices account for around 75%, 20% and 5% of total market capitalisation respectively. During the last three months, during which the F</w:t>
      </w:r>
      <w:r>
        <w:rPr>
          <w:color w:val="231F20"/>
          <w:sz w:val="14"/>
        </w:rPr>
        <w:t>T-SE </w:t>
      </w:r>
      <w:r>
        <w:rPr>
          <w:color w:val="231F20"/>
        </w:rPr>
        <w:t>100 index had risen from 4436 to 5026, the probabilities attached by the market to high absolute levels of the F</w:t>
      </w:r>
      <w:r>
        <w:rPr>
          <w:color w:val="231F20"/>
          <w:sz w:val="14"/>
        </w:rPr>
        <w:t>T-SE </w:t>
      </w:r>
      <w:r>
        <w:rPr>
          <w:color w:val="231F20"/>
        </w:rPr>
        <w:t>100 share index in the future had increased, while the probabilities attached to low absolute levels were little changed. In conjunction with this, the probability attached to a large fall from current levels had increased.</w:t>
      </w:r>
    </w:p>
    <w:p>
      <w:pPr>
        <w:pStyle w:val="BodyText"/>
        <w:spacing w:before="1"/>
        <w:rPr>
          <w:sz w:val="25"/>
        </w:rPr>
      </w:pPr>
    </w:p>
    <w:p>
      <w:pPr>
        <w:pStyle w:val="Heading7"/>
        <w:numPr>
          <w:ilvl w:val="0"/>
          <w:numId w:val="38"/>
        </w:numPr>
        <w:tabs>
          <w:tab w:pos="639" w:val="left" w:leader="none"/>
          <w:tab w:pos="640" w:val="left" w:leader="none"/>
        </w:tabs>
        <w:spacing w:line="240" w:lineRule="auto" w:before="1" w:after="0"/>
        <w:ind w:left="639" w:right="0" w:hanging="481"/>
        <w:jc w:val="left"/>
      </w:pPr>
      <w:r>
        <w:rPr>
          <w:color w:val="009483"/>
        </w:rPr>
        <w:t>Policy</w:t>
      </w:r>
      <w:r>
        <w:rPr>
          <w:color w:val="009483"/>
          <w:spacing w:val="-1"/>
        </w:rPr>
        <w:t> </w:t>
      </w:r>
      <w:r>
        <w:rPr>
          <w:color w:val="009483"/>
        </w:rPr>
        <w:t>implications</w:t>
      </w:r>
    </w:p>
    <w:p>
      <w:pPr>
        <w:pStyle w:val="ListParagraph"/>
        <w:numPr>
          <w:ilvl w:val="0"/>
          <w:numId w:val="40"/>
        </w:numPr>
        <w:tabs>
          <w:tab w:pos="639" w:val="left" w:leader="none"/>
          <w:tab w:pos="640" w:val="left" w:leader="none"/>
        </w:tabs>
        <w:spacing w:line="232" w:lineRule="auto" w:before="189" w:after="0"/>
        <w:ind w:left="159" w:right="178" w:firstLine="0"/>
        <w:jc w:val="left"/>
        <w:rPr>
          <w:sz w:val="18"/>
        </w:rPr>
      </w:pPr>
      <w:r>
        <w:rPr>
          <w:color w:val="231F20"/>
          <w:sz w:val="18"/>
        </w:rPr>
        <w:t>This section of the minutes summarises the Monetary </w:t>
      </w:r>
      <w:r>
        <w:rPr>
          <w:color w:val="231F20"/>
          <w:spacing w:val="-3"/>
          <w:sz w:val="18"/>
        </w:rPr>
        <w:t>Policy </w:t>
      </w:r>
      <w:r>
        <w:rPr>
          <w:color w:val="231F20"/>
          <w:sz w:val="18"/>
        </w:rPr>
        <w:t>Committee’s analysis of the data and its policy implications, </w:t>
      </w:r>
      <w:r>
        <w:rPr>
          <w:color w:val="231F20"/>
          <w:spacing w:val="-4"/>
          <w:sz w:val="18"/>
        </w:rPr>
        <w:t>which </w:t>
      </w:r>
      <w:r>
        <w:rPr>
          <w:color w:val="231F20"/>
          <w:sz w:val="18"/>
        </w:rPr>
        <w:t>it assessed together with the inflation forecast and analysis to be published the following week in the Bank’s August </w:t>
      </w:r>
      <w:r>
        <w:rPr>
          <w:i/>
          <w:color w:val="231F20"/>
          <w:sz w:val="18"/>
        </w:rPr>
        <w:t>Inflation </w:t>
      </w:r>
      <w:r>
        <w:rPr>
          <w:i/>
          <w:color w:val="231F20"/>
          <w:sz w:val="18"/>
        </w:rPr>
        <w:t>Report</w:t>
      </w:r>
      <w:r>
        <w:rPr>
          <w:color w:val="231F20"/>
          <w:sz w:val="18"/>
        </w:rPr>
        <w:t>.</w:t>
      </w:r>
    </w:p>
    <w:p>
      <w:pPr>
        <w:pStyle w:val="BodyText"/>
        <w:rPr>
          <w:sz w:val="17"/>
        </w:rPr>
      </w:pPr>
    </w:p>
    <w:p>
      <w:pPr>
        <w:pStyle w:val="ListParagraph"/>
        <w:numPr>
          <w:ilvl w:val="0"/>
          <w:numId w:val="40"/>
        </w:numPr>
        <w:tabs>
          <w:tab w:pos="639" w:val="left" w:leader="none"/>
          <w:tab w:pos="640" w:val="left" w:leader="none"/>
        </w:tabs>
        <w:spacing w:line="232" w:lineRule="auto" w:before="0" w:after="0"/>
        <w:ind w:left="159" w:right="319" w:firstLine="0"/>
        <w:jc w:val="left"/>
        <w:rPr>
          <w:sz w:val="18"/>
        </w:rPr>
      </w:pPr>
      <w:r>
        <w:rPr>
          <w:color w:val="231F20"/>
          <w:sz w:val="18"/>
        </w:rPr>
        <w:t>The Committee reviewed the current position of the economy. Non-oil GDP was growing at an annual rate of </w:t>
      </w:r>
      <w:r>
        <w:rPr>
          <w:color w:val="231F20"/>
          <w:spacing w:val="-3"/>
          <w:sz w:val="18"/>
        </w:rPr>
        <w:t>around </w:t>
      </w:r>
      <w:r>
        <w:rPr>
          <w:color w:val="231F20"/>
          <w:sz w:val="18"/>
        </w:rPr>
        <w:t>4%, well above any plausible estimate of capacity growth. Most</w:t>
      </w:r>
    </w:p>
    <w:p>
      <w:pPr>
        <w:spacing w:after="0" w:line="232" w:lineRule="auto"/>
        <w:jc w:val="left"/>
        <w:rPr>
          <w:sz w:val="18"/>
        </w:rPr>
        <w:sectPr>
          <w:type w:val="continuous"/>
          <w:pgSz w:w="11900" w:h="16840"/>
          <w:pgMar w:top="1040" w:bottom="280" w:left="660" w:right="680"/>
          <w:cols w:num="2" w:equalWidth="0">
            <w:col w:w="5094" w:space="286"/>
            <w:col w:w="5180"/>
          </w:cols>
        </w:sectPr>
      </w:pPr>
    </w:p>
    <w:p>
      <w:pPr>
        <w:pStyle w:val="BodyText"/>
        <w:rPr>
          <w:sz w:val="20"/>
        </w:rPr>
      </w:pPr>
    </w:p>
    <w:p>
      <w:pPr>
        <w:spacing w:after="0"/>
        <w:rPr>
          <w:sz w:val="20"/>
        </w:rPr>
        <w:sectPr>
          <w:pgSz w:w="11900" w:h="16840"/>
          <w:pgMar w:header="566" w:footer="597" w:top="800" w:bottom="780" w:left="660" w:right="680"/>
        </w:sectPr>
      </w:pPr>
    </w:p>
    <w:p>
      <w:pPr>
        <w:pStyle w:val="BodyText"/>
        <w:spacing w:before="3"/>
        <w:rPr>
          <w:sz w:val="19"/>
        </w:rPr>
      </w:pPr>
    </w:p>
    <w:p>
      <w:pPr>
        <w:pStyle w:val="BodyText"/>
        <w:spacing w:line="232" w:lineRule="auto"/>
        <w:ind w:left="145" w:right="55"/>
      </w:pPr>
      <w:r>
        <w:rPr>
          <w:color w:val="231F20"/>
        </w:rPr>
        <w:t>commentators now estimated that the output gap was close to zero. If that were so, it followed that, unless output growth fell back fairly rapidly towards trend, a period of below—trend output growth would eventually prove inevitable if the consequent upward pressures on inflation were to be relieved. It was however very difficult to judge the size of the output gap, and important to examine direct evidence about the extent of unused resources.</w:t>
      </w:r>
    </w:p>
    <w:p>
      <w:pPr>
        <w:pStyle w:val="BodyText"/>
        <w:spacing w:before="5"/>
        <w:rPr>
          <w:sz w:val="20"/>
        </w:rPr>
      </w:pPr>
    </w:p>
    <w:p>
      <w:pPr>
        <w:pStyle w:val="ListParagraph"/>
        <w:numPr>
          <w:ilvl w:val="0"/>
          <w:numId w:val="40"/>
        </w:numPr>
        <w:tabs>
          <w:tab w:pos="625" w:val="left" w:leader="none"/>
          <w:tab w:pos="626" w:val="left" w:leader="none"/>
        </w:tabs>
        <w:spacing w:line="232" w:lineRule="auto" w:before="0" w:after="0"/>
        <w:ind w:left="145" w:right="38" w:firstLine="0"/>
        <w:jc w:val="left"/>
        <w:rPr>
          <w:sz w:val="18"/>
        </w:rPr>
      </w:pPr>
      <w:r>
        <w:rPr>
          <w:color w:val="231F20"/>
          <w:sz w:val="18"/>
        </w:rPr>
        <w:t>Important evidence was to be found in the labour market. The rate of short-term unemployment, at 4.5% according to the LFS, was lower than at any point since the early 1980s, and was close to the rate in the United States, while earnings growth was surprisingly low. It was possible that the natural rate of unemployment—the rate of unemployment consistent with a stable rate of inflation—had fallen, perhaps reflecting the cumulative effects of almost two decades of labour market reforms. The </w:t>
      </w:r>
      <w:r>
        <w:rPr>
          <w:color w:val="231F20"/>
          <w:spacing w:val="-3"/>
          <w:sz w:val="18"/>
        </w:rPr>
        <w:t>labour </w:t>
      </w:r>
      <w:r>
        <w:rPr>
          <w:color w:val="231F20"/>
          <w:sz w:val="18"/>
        </w:rPr>
        <w:t>market had continued to tighten as the current upswing progressed, with gathering concerns throughout the economy about skill shortages, as reported by the Bank’s Agencies and others. The Committee recalled its discussion at the previous month’s meeting about earnings growth. Having been around 3</w:t>
      </w:r>
      <w:r>
        <w:rPr>
          <w:color w:val="231F20"/>
          <w:position w:val="6"/>
          <w:sz w:val="9"/>
        </w:rPr>
        <w:t>3</w:t>
      </w:r>
      <w:r>
        <w:rPr>
          <w:color w:val="231F20"/>
          <w:sz w:val="18"/>
        </w:rPr>
        <w:t>/</w:t>
      </w:r>
      <w:r>
        <w:rPr>
          <w:color w:val="231F20"/>
          <w:sz w:val="9"/>
        </w:rPr>
        <w:t>4</w:t>
      </w:r>
      <w:r>
        <w:rPr>
          <w:color w:val="231F20"/>
          <w:sz w:val="18"/>
        </w:rPr>
        <w:t>% in spring 1996, earnings growth had recently been in a range of 4</w:t>
      </w:r>
      <w:r>
        <w:rPr>
          <w:color w:val="231F20"/>
          <w:position w:val="6"/>
          <w:sz w:val="9"/>
        </w:rPr>
        <w:t>1</w:t>
      </w:r>
      <w:r>
        <w:rPr>
          <w:color w:val="231F20"/>
          <w:sz w:val="18"/>
        </w:rPr>
        <w:t>/</w:t>
      </w:r>
      <w:r>
        <w:rPr>
          <w:color w:val="231F20"/>
          <w:sz w:val="9"/>
        </w:rPr>
        <w:t>4</w:t>
      </w:r>
      <w:r>
        <w:rPr>
          <w:color w:val="231F20"/>
          <w:sz w:val="18"/>
        </w:rPr>
        <w:t>%–4</w:t>
      </w:r>
      <w:r>
        <w:rPr>
          <w:color w:val="231F20"/>
          <w:position w:val="6"/>
          <w:sz w:val="9"/>
        </w:rPr>
        <w:t>1</w:t>
      </w:r>
      <w:r>
        <w:rPr>
          <w:color w:val="231F20"/>
          <w:sz w:val="18"/>
        </w:rPr>
        <w:t>/</w:t>
      </w:r>
      <w:r>
        <w:rPr>
          <w:color w:val="231F20"/>
          <w:sz w:val="9"/>
        </w:rPr>
        <w:t>2</w:t>
      </w:r>
      <w:r>
        <w:rPr>
          <w:color w:val="231F20"/>
          <w:sz w:val="18"/>
        </w:rPr>
        <w:t>%, broadly consistent with the inflation target. It remained surprising that earnings had not accelerated more. The Committee agreed that the possibility of faster earnings growth should be treated as an upside risk to the Bank’s central projection of inflation.</w:t>
      </w:r>
    </w:p>
    <w:p>
      <w:pPr>
        <w:pStyle w:val="BodyText"/>
        <w:spacing w:before="7"/>
        <w:rPr>
          <w:sz w:val="19"/>
        </w:rPr>
      </w:pPr>
    </w:p>
    <w:p>
      <w:pPr>
        <w:pStyle w:val="ListParagraph"/>
        <w:numPr>
          <w:ilvl w:val="0"/>
          <w:numId w:val="40"/>
        </w:numPr>
        <w:tabs>
          <w:tab w:pos="625" w:val="left" w:leader="none"/>
          <w:tab w:pos="626" w:val="left" w:leader="none"/>
        </w:tabs>
        <w:spacing w:line="232" w:lineRule="auto" w:before="0" w:after="0"/>
        <w:ind w:left="145" w:right="92" w:firstLine="0"/>
        <w:jc w:val="left"/>
        <w:rPr>
          <w:sz w:val="18"/>
        </w:rPr>
      </w:pPr>
      <w:r>
        <w:rPr>
          <w:color w:val="231F20"/>
          <w:sz w:val="18"/>
        </w:rPr>
        <w:t>The Committee turned to other key elements of the quarter’s data bearing on the outlook for inflation.</w:t>
      </w:r>
    </w:p>
    <w:p>
      <w:pPr>
        <w:pStyle w:val="BodyText"/>
        <w:rPr>
          <w:sz w:val="19"/>
        </w:rPr>
      </w:pPr>
    </w:p>
    <w:p>
      <w:pPr>
        <w:pStyle w:val="ListParagraph"/>
        <w:numPr>
          <w:ilvl w:val="0"/>
          <w:numId w:val="40"/>
        </w:numPr>
        <w:tabs>
          <w:tab w:pos="625" w:val="left" w:leader="none"/>
          <w:tab w:pos="626" w:val="left" w:leader="none"/>
        </w:tabs>
        <w:spacing w:line="232" w:lineRule="auto" w:before="0" w:after="0"/>
        <w:ind w:left="145" w:right="42" w:firstLine="0"/>
        <w:jc w:val="left"/>
        <w:rPr>
          <w:sz w:val="18"/>
        </w:rPr>
      </w:pPr>
      <w:r>
        <w:rPr>
          <w:color w:val="231F20"/>
          <w:sz w:val="18"/>
        </w:rPr>
        <w:t>July’s narrow money growth had been weak compared with the past year. Put together with the low May figure, it was possible that a lasting deceleration was occurring. It was, however, difficult to interpret the significance of such a change. On the one hand, it might reflect the flatter growth in retail sales values during 1997: lower retail price inflation had partly offset robust growth in retail sales volumes. On the other hand, if the earlier rapid growth had been caused by adjustment to a low-inflation environment in which individuals wanted to hold higher levels of cash in relation to income or wealth, some deceleration might be expected. Once the adjustment to low inflation was completed, velocity could begin to rise again, and the growth rate of narrow money could decline, given the continuing incentive to economise on cash holdings. It was not possible to conclude from just a few months’ data that this was now happening. Narrow money data were therefore difficult </w:t>
      </w:r>
      <w:r>
        <w:rPr>
          <w:color w:val="231F20"/>
          <w:spacing w:val="-9"/>
          <w:sz w:val="18"/>
        </w:rPr>
        <w:t>to </w:t>
      </w:r>
      <w:r>
        <w:rPr>
          <w:color w:val="231F20"/>
          <w:sz w:val="18"/>
        </w:rPr>
        <w:t>interpret, at least for the moment.</w:t>
      </w:r>
    </w:p>
    <w:p>
      <w:pPr>
        <w:pStyle w:val="BodyText"/>
        <w:spacing w:before="9"/>
        <w:rPr>
          <w:sz w:val="19"/>
        </w:rPr>
      </w:pPr>
    </w:p>
    <w:p>
      <w:pPr>
        <w:pStyle w:val="ListParagraph"/>
        <w:numPr>
          <w:ilvl w:val="0"/>
          <w:numId w:val="40"/>
        </w:numPr>
        <w:tabs>
          <w:tab w:pos="625" w:val="left" w:leader="none"/>
          <w:tab w:pos="626" w:val="left" w:leader="none"/>
        </w:tabs>
        <w:spacing w:line="232" w:lineRule="auto" w:before="0" w:after="0"/>
        <w:ind w:left="145" w:right="97" w:firstLine="0"/>
        <w:jc w:val="left"/>
        <w:rPr>
          <w:sz w:val="18"/>
        </w:rPr>
      </w:pPr>
      <w:r>
        <w:rPr>
          <w:color w:val="231F20"/>
          <w:sz w:val="18"/>
        </w:rPr>
        <w:t>Broad money and credit growth also posed important and difficult questions about the outlook for inflation. Much of the recent growth related to the OFI sector of the economy. There had also been a long-term trend decline in broad money velocity. Allowing for these factors, could current broad money growth in real terms of 8</w:t>
      </w:r>
      <w:r>
        <w:rPr>
          <w:color w:val="231F20"/>
          <w:position w:val="6"/>
          <w:sz w:val="9"/>
        </w:rPr>
        <w:t>1</w:t>
      </w:r>
      <w:r>
        <w:rPr>
          <w:color w:val="231F20"/>
          <w:sz w:val="18"/>
        </w:rPr>
        <w:t>/</w:t>
      </w:r>
      <w:r>
        <w:rPr>
          <w:color w:val="231F20"/>
          <w:sz w:val="9"/>
        </w:rPr>
        <w:t>2</w:t>
      </w:r>
      <w:r>
        <w:rPr>
          <w:color w:val="231F20"/>
          <w:sz w:val="18"/>
        </w:rPr>
        <w:t>% be reconciled with the widely-shared expectations of a slowdown in consumption and activity growth over the next year or so? Put another way, did nominal M4 </w:t>
      </w:r>
      <w:r>
        <w:rPr>
          <w:color w:val="231F20"/>
          <w:spacing w:val="-3"/>
          <w:sz w:val="18"/>
        </w:rPr>
        <w:t>growth </w:t>
      </w:r>
      <w:r>
        <w:rPr>
          <w:color w:val="231F20"/>
          <w:sz w:val="18"/>
        </w:rPr>
        <w:t>of between 11% and 12%, an increase from the second half of 1996, indicate a rise in inflation two years or so ahead once potentially temporary downward pressures on inflation, including sterling’s appreciation, had abated or unwound?</w:t>
      </w:r>
    </w:p>
    <w:p>
      <w:pPr>
        <w:pStyle w:val="BodyText"/>
        <w:spacing w:before="1"/>
        <w:rPr>
          <w:sz w:val="20"/>
        </w:rPr>
      </w:pPr>
    </w:p>
    <w:p>
      <w:pPr>
        <w:pStyle w:val="ListParagraph"/>
        <w:numPr>
          <w:ilvl w:val="0"/>
          <w:numId w:val="40"/>
        </w:numPr>
        <w:tabs>
          <w:tab w:pos="625" w:val="left" w:leader="none"/>
          <w:tab w:pos="626" w:val="left" w:leader="none"/>
        </w:tabs>
        <w:spacing w:line="232" w:lineRule="auto" w:before="0" w:after="0"/>
        <w:ind w:left="145" w:right="42" w:firstLine="0"/>
        <w:jc w:val="left"/>
        <w:rPr>
          <w:sz w:val="18"/>
        </w:rPr>
      </w:pPr>
      <w:r>
        <w:rPr>
          <w:color w:val="231F20"/>
          <w:sz w:val="18"/>
        </w:rPr>
        <w:t>The Committee noted that the rates of growth of the various sectoral components of M4 were different, although all were high. In addition, Divisia money—a measure of transaction balances, largely accounted for by personal sector money holdings—had grown by 10.2% in the year to second quarter, a modest increase in the growth rate during the last year. The growth of personal sector and company sector money could put upward pressure on inflation via effects on consumption and investment. The Committee concluded that both represented upside risks to the inflation </w:t>
      </w:r>
      <w:r>
        <w:rPr>
          <w:color w:val="231F20"/>
          <w:spacing w:val="-3"/>
          <w:sz w:val="18"/>
        </w:rPr>
        <w:t>outlook </w:t>
      </w:r>
      <w:r>
        <w:rPr>
          <w:color w:val="231F20"/>
          <w:sz w:val="18"/>
        </w:rPr>
        <w:t>given the lack of supportive evidence for a permanent velocity shift.</w:t>
      </w:r>
    </w:p>
    <w:p>
      <w:pPr>
        <w:pStyle w:val="BodyText"/>
        <w:spacing w:before="3"/>
        <w:rPr>
          <w:sz w:val="19"/>
        </w:rPr>
      </w:pPr>
      <w:r>
        <w:rPr/>
        <w:br w:type="column"/>
      </w:r>
      <w:r>
        <w:rPr>
          <w:sz w:val="19"/>
        </w:rPr>
      </w:r>
    </w:p>
    <w:p>
      <w:pPr>
        <w:pStyle w:val="ListParagraph"/>
        <w:numPr>
          <w:ilvl w:val="0"/>
          <w:numId w:val="40"/>
        </w:numPr>
        <w:tabs>
          <w:tab w:pos="625" w:val="left" w:leader="none"/>
          <w:tab w:pos="626" w:val="left" w:leader="none"/>
        </w:tabs>
        <w:spacing w:line="232" w:lineRule="auto" w:before="0" w:after="0"/>
        <w:ind w:left="145" w:right="133" w:firstLine="0"/>
        <w:jc w:val="left"/>
        <w:rPr>
          <w:sz w:val="18"/>
        </w:rPr>
      </w:pPr>
      <w:r>
        <w:rPr>
          <w:color w:val="231F20"/>
          <w:sz w:val="18"/>
        </w:rPr>
        <w:t>The Committee discussed the possible implications for future demand and output of the recent rapid growth of OFIs’ money, which accounted for about half of the increase in M4 in 1997 Q2. One possibility was that the sector was temporarily holding a high level of balances compared with long-run demand, perhaps partly as a result of the strength of cash-financed merger and acquisition activity and corporate share repurchases during 1995 and 1996. Intermediaries might have deliberately built up money holdings on a view that the rise in financial asset prices would not be sustained. If so, that money could eventually find its way back into asset markets if intermediaries eventually concluded that financial market valuations were robust after all, and so reinvested part of their money holdings. Some of the money would then pass to the company sector (for example via share issues) or to the personal sector (for example as demutualisation shares were sold). In either case, demand for consumption goods and services could be fuelled and a stimulus provided to investment if the cost </w:t>
      </w:r>
      <w:r>
        <w:rPr>
          <w:color w:val="231F20"/>
          <w:spacing w:val="-9"/>
          <w:sz w:val="18"/>
        </w:rPr>
        <w:t>of </w:t>
      </w:r>
      <w:r>
        <w:rPr>
          <w:color w:val="231F20"/>
          <w:sz w:val="18"/>
        </w:rPr>
        <w:t>capital were reduced by further rises in financial asset prices. Alternatively, OFIs’ demand for money might have increased because portfolios had been adjusted to achieve desired asset allocations following the sharp rise in equity prices. In that case, intermediaries would not seek to reduce their money holdings unless financial asset prices fell, changing the value of their portfolios and relative prices. The Committee’s view was that because so much of the recent acceleration in M4 was attributable to OFIs’ holdings, it was perhaps less alarming than if the acceleration had been concentrated in either the personal or company sectors, but it represented an upside risk to the inflation outlook nevertheless.</w:t>
      </w:r>
    </w:p>
    <w:p>
      <w:pPr>
        <w:pStyle w:val="ListParagraph"/>
        <w:numPr>
          <w:ilvl w:val="0"/>
          <w:numId w:val="40"/>
        </w:numPr>
        <w:tabs>
          <w:tab w:pos="625" w:val="left" w:leader="none"/>
          <w:tab w:pos="626" w:val="left" w:leader="none"/>
        </w:tabs>
        <w:spacing w:line="232" w:lineRule="auto" w:before="177" w:after="0"/>
        <w:ind w:left="145" w:right="159" w:firstLine="0"/>
        <w:jc w:val="left"/>
        <w:rPr>
          <w:sz w:val="18"/>
        </w:rPr>
      </w:pPr>
      <w:r>
        <w:rPr>
          <w:color w:val="231F20"/>
          <w:sz w:val="18"/>
        </w:rPr>
        <w:t>The Committee discussed the outlook for consumption and the effect of windfall gains to the personal sector via demutualisation, reviewing its analysis at earlier meetings. On the basis of half-yearly growth rates, consumption had been growing at over 4% per annum for more than a year. A number of factors could plausibly explain this. Household wealth had increased rapidly, via the asset price appreciation discussed in the context of money demand. Consumer confidence remained at almost record levels. Short-maturity real interest rates had, during 1996 and </w:t>
      </w:r>
      <w:r>
        <w:rPr>
          <w:color w:val="231F20"/>
          <w:spacing w:val="-3"/>
          <w:sz w:val="18"/>
        </w:rPr>
        <w:t>early </w:t>
      </w:r>
      <w:r>
        <w:rPr>
          <w:color w:val="231F20"/>
          <w:sz w:val="18"/>
        </w:rPr>
        <w:t>1997, been relatively low for that point in the cycle. Strong consumption was not therefore a surprise even in the absence of </w:t>
      </w:r>
      <w:r>
        <w:rPr>
          <w:color w:val="231F20"/>
          <w:spacing w:val="-6"/>
          <w:sz w:val="18"/>
        </w:rPr>
        <w:t>the </w:t>
      </w:r>
      <w:r>
        <w:rPr>
          <w:color w:val="231F20"/>
          <w:sz w:val="18"/>
        </w:rPr>
        <w:t>windfalls.</w:t>
      </w:r>
    </w:p>
    <w:p>
      <w:pPr>
        <w:pStyle w:val="BodyText"/>
        <w:spacing w:before="6"/>
        <w:rPr>
          <w:sz w:val="16"/>
        </w:rPr>
      </w:pPr>
    </w:p>
    <w:p>
      <w:pPr>
        <w:pStyle w:val="ListParagraph"/>
        <w:numPr>
          <w:ilvl w:val="0"/>
          <w:numId w:val="40"/>
        </w:numPr>
        <w:tabs>
          <w:tab w:pos="625" w:val="left" w:leader="none"/>
          <w:tab w:pos="626" w:val="left" w:leader="none"/>
        </w:tabs>
        <w:spacing w:line="232" w:lineRule="auto" w:before="0" w:after="0"/>
        <w:ind w:left="145" w:right="133" w:firstLine="0"/>
        <w:jc w:val="left"/>
        <w:rPr>
          <w:sz w:val="18"/>
        </w:rPr>
      </w:pPr>
      <w:r>
        <w:rPr>
          <w:color w:val="231F20"/>
          <w:sz w:val="18"/>
        </w:rPr>
        <w:t>The effect of the windfalls on consumption depended upon the circumstances of households and the pattern of spending. The Committee’s assessment was based on a view that households which were not constrained in their access to credit would treat the windfalls as providing an annuity income. Nevertheless, in the short run spending on durable goods—for example cars, furniture, major household appliances—might be boosted.  This was a form of investment since durable goods were not instantly consumed, but were paid for upfront, increasing measured consumption expenditure. A minority of households were, however, judged likely to be credit-constrained. They would be more likely to increase consumption by more than the annuity value when windfall share allocations were sold for cash or used as newly available collateral for loans. Once these initial effects had worked their way through, growth in consumption should revert to a rate unaltered by windfalls, though the level of consumption would be higher because of the annuity effect. The emerging evidence was broadly consistent with this story. Retail sales had been strong again in June after a very strong May. The less timely data on sales of durable goods did not show a marked pick-up, but there was a </w:t>
      </w:r>
      <w:r>
        <w:rPr>
          <w:color w:val="231F20"/>
          <w:spacing w:val="-6"/>
          <w:sz w:val="18"/>
        </w:rPr>
        <w:t>lot </w:t>
      </w:r>
      <w:r>
        <w:rPr>
          <w:color w:val="231F20"/>
          <w:sz w:val="18"/>
        </w:rPr>
        <w:t>of anecdotal evidence suggesting strength. Though the Bank’s analysis seemed consistent with developments so far and with survey evidence, substantial uncertainties remained and the Committee agreed that Bank staff should encourage further surveys designed to find out how people had in fact used the windfalls once they had been received.</w:t>
      </w:r>
    </w:p>
    <w:p>
      <w:pPr>
        <w:pStyle w:val="ListParagraph"/>
        <w:numPr>
          <w:ilvl w:val="0"/>
          <w:numId w:val="40"/>
        </w:numPr>
        <w:tabs>
          <w:tab w:pos="625" w:val="left" w:leader="none"/>
          <w:tab w:pos="626" w:val="left" w:leader="none"/>
        </w:tabs>
        <w:spacing w:line="232" w:lineRule="auto" w:before="160" w:after="0"/>
        <w:ind w:left="145" w:right="693" w:firstLine="0"/>
        <w:jc w:val="left"/>
        <w:rPr>
          <w:sz w:val="18"/>
        </w:rPr>
      </w:pPr>
      <w:r>
        <w:rPr>
          <w:color w:val="231F20"/>
          <w:sz w:val="18"/>
        </w:rPr>
        <w:t>The Committee noted that developments in </w:t>
      </w:r>
      <w:r>
        <w:rPr>
          <w:color w:val="231F20"/>
          <w:spacing w:val="-3"/>
          <w:sz w:val="18"/>
        </w:rPr>
        <w:t>consumer </w:t>
      </w:r>
      <w:r>
        <w:rPr>
          <w:color w:val="231F20"/>
          <w:sz w:val="18"/>
        </w:rPr>
        <w:t>borrowing might also be linked to the windfalls. Unsecured</w:t>
      </w:r>
    </w:p>
    <w:p>
      <w:pPr>
        <w:spacing w:after="0" w:line="232" w:lineRule="auto"/>
        <w:jc w:val="left"/>
        <w:rPr>
          <w:sz w:val="18"/>
        </w:rPr>
        <w:sectPr>
          <w:type w:val="continuous"/>
          <w:pgSz w:w="11900" w:h="16840"/>
          <w:pgMar w:top="1040" w:bottom="280" w:left="660" w:right="680"/>
          <w:cols w:num="2" w:equalWidth="0">
            <w:col w:w="5084" w:space="296"/>
            <w:col w:w="5180"/>
          </w:cols>
        </w:sectPr>
      </w:pPr>
    </w:p>
    <w:p>
      <w:pPr>
        <w:pStyle w:val="BodyText"/>
        <w:spacing w:before="10"/>
        <w:rPr>
          <w:sz w:val="29"/>
        </w:rPr>
      </w:pPr>
    </w:p>
    <w:p>
      <w:pPr>
        <w:spacing w:after="0"/>
        <w:rPr>
          <w:sz w:val="29"/>
        </w:rPr>
        <w:sectPr>
          <w:pgSz w:w="11900" w:h="16840"/>
          <w:pgMar w:header="566" w:footer="597" w:top="800" w:bottom="780" w:left="660" w:right="680"/>
        </w:sectPr>
      </w:pPr>
    </w:p>
    <w:p>
      <w:pPr>
        <w:pStyle w:val="BodyText"/>
        <w:spacing w:line="232" w:lineRule="auto" w:before="99"/>
        <w:ind w:left="160" w:right="100"/>
      </w:pPr>
      <w:r>
        <w:rPr>
          <w:color w:val="231F20"/>
        </w:rPr>
        <w:t>consumer borrowing had been very strong and continued to accelerate. These loans might have been taken out in anticipation of the prospective increase in realisable wealth, with growth in unsecured borrowing accelerating as equity prices—and so the value of windfalls—rose. It would therefore be important to monitor future patterns of consumer credit.</w:t>
      </w:r>
    </w:p>
    <w:p>
      <w:pPr>
        <w:pStyle w:val="BodyText"/>
        <w:rPr>
          <w:sz w:val="17"/>
        </w:rPr>
      </w:pPr>
    </w:p>
    <w:p>
      <w:pPr>
        <w:pStyle w:val="ListParagraph"/>
        <w:numPr>
          <w:ilvl w:val="0"/>
          <w:numId w:val="40"/>
        </w:numPr>
        <w:tabs>
          <w:tab w:pos="639" w:val="left" w:leader="none"/>
          <w:tab w:pos="641" w:val="left" w:leader="none"/>
        </w:tabs>
        <w:spacing w:line="232" w:lineRule="auto" w:before="0" w:after="0"/>
        <w:ind w:left="160" w:right="62" w:firstLine="0"/>
        <w:jc w:val="left"/>
        <w:rPr>
          <w:sz w:val="18"/>
        </w:rPr>
      </w:pPr>
      <w:r>
        <w:rPr>
          <w:color w:val="231F20"/>
          <w:sz w:val="18"/>
        </w:rPr>
        <w:t>The Committee agreed that the windfalls were most likely </w:t>
      </w:r>
      <w:r>
        <w:rPr>
          <w:color w:val="231F20"/>
          <w:spacing w:val="-9"/>
          <w:sz w:val="18"/>
        </w:rPr>
        <w:t>to </w:t>
      </w:r>
      <w:r>
        <w:rPr>
          <w:color w:val="231F20"/>
          <w:sz w:val="18"/>
        </w:rPr>
        <w:t>have their largest effect on consumption during 1997, and that this should be reflected in the central projection incorporated in the </w:t>
      </w:r>
      <w:r>
        <w:rPr>
          <w:i/>
          <w:color w:val="231F20"/>
          <w:sz w:val="18"/>
        </w:rPr>
        <w:t>Inflation Report</w:t>
      </w:r>
      <w:r>
        <w:rPr>
          <w:color w:val="231F20"/>
          <w:sz w:val="18"/>
        </w:rPr>
        <w:t>. There was in addition an upside risk from the possibility that there are more credit-constrained households than the Bank had assumed and, separately, from the possibility that behaviour would be affected by expectations of further demutualisations in the future; this risk remained even after the vote of members of the Nationwide Building Society against demutualisation. A more important upside risk to the longer-run inflation outlook stemmed from the rise in wealth brought about </w:t>
      </w:r>
      <w:r>
        <w:rPr>
          <w:color w:val="231F20"/>
          <w:spacing w:val="-7"/>
          <w:sz w:val="18"/>
        </w:rPr>
        <w:t>by </w:t>
      </w:r>
      <w:r>
        <w:rPr>
          <w:color w:val="231F20"/>
          <w:sz w:val="18"/>
        </w:rPr>
        <w:t>the rise in financial asset prices.</w:t>
      </w:r>
    </w:p>
    <w:p>
      <w:pPr>
        <w:pStyle w:val="BodyText"/>
        <w:spacing w:before="6"/>
        <w:rPr>
          <w:sz w:val="16"/>
        </w:rPr>
      </w:pPr>
    </w:p>
    <w:p>
      <w:pPr>
        <w:pStyle w:val="ListParagraph"/>
        <w:numPr>
          <w:ilvl w:val="0"/>
          <w:numId w:val="40"/>
        </w:numPr>
        <w:tabs>
          <w:tab w:pos="639" w:val="left" w:leader="none"/>
          <w:tab w:pos="641" w:val="left" w:leader="none"/>
        </w:tabs>
        <w:spacing w:line="232" w:lineRule="auto" w:before="0" w:after="0"/>
        <w:ind w:left="159" w:right="42" w:firstLine="0"/>
        <w:jc w:val="left"/>
        <w:rPr>
          <w:sz w:val="18"/>
        </w:rPr>
      </w:pPr>
      <w:r>
        <w:rPr>
          <w:color w:val="231F20"/>
          <w:sz w:val="18"/>
        </w:rPr>
        <w:t>The Committee reviewed their July discussion of the effect of the fiscal position. Fiscal contraction had been in place for </w:t>
      </w:r>
      <w:r>
        <w:rPr>
          <w:color w:val="231F20"/>
          <w:spacing w:val="-4"/>
          <w:sz w:val="18"/>
        </w:rPr>
        <w:t>some </w:t>
      </w:r>
      <w:r>
        <w:rPr>
          <w:color w:val="231F20"/>
          <w:sz w:val="18"/>
        </w:rPr>
        <w:t>time as a result of Budgets in 1993 and later years, including the most recent Budget in July. The general government deficit was expected by the Government to fall from 4% of GDP in 1996/97, </w:t>
      </w:r>
      <w:r>
        <w:rPr>
          <w:color w:val="231F20"/>
          <w:spacing w:val="-9"/>
          <w:sz w:val="18"/>
        </w:rPr>
        <w:t>to </w:t>
      </w:r>
      <w:r>
        <w:rPr>
          <w:color w:val="231F20"/>
          <w:sz w:val="18"/>
        </w:rPr>
        <w:t>1</w:t>
      </w:r>
      <w:r>
        <w:rPr>
          <w:color w:val="231F20"/>
          <w:position w:val="6"/>
          <w:sz w:val="9"/>
        </w:rPr>
        <w:t>1</w:t>
      </w:r>
      <w:r>
        <w:rPr>
          <w:color w:val="231F20"/>
          <w:sz w:val="18"/>
        </w:rPr>
        <w:t>/</w:t>
      </w:r>
      <w:r>
        <w:rPr>
          <w:color w:val="231F20"/>
          <w:sz w:val="9"/>
        </w:rPr>
        <w:t>2</w:t>
      </w:r>
      <w:r>
        <w:rPr>
          <w:color w:val="231F20"/>
          <w:sz w:val="18"/>
        </w:rPr>
        <w:t>% in 1997/98, and to virtual balance the next financial year. It was likely to restrain demand, although the incidence of some of the recent measures was delayed. The precise effect, including its timing, was also uncertain. The assumption made in the Bank’s inflation forecast would be that the nominal spending control total was met.</w:t>
      </w:r>
    </w:p>
    <w:p>
      <w:pPr>
        <w:pStyle w:val="BodyText"/>
        <w:spacing w:before="8"/>
        <w:rPr>
          <w:sz w:val="16"/>
        </w:rPr>
      </w:pPr>
    </w:p>
    <w:p>
      <w:pPr>
        <w:pStyle w:val="ListParagraph"/>
        <w:numPr>
          <w:ilvl w:val="0"/>
          <w:numId w:val="40"/>
        </w:numPr>
        <w:tabs>
          <w:tab w:pos="639" w:val="left" w:leader="none"/>
          <w:tab w:pos="641" w:val="left" w:leader="none"/>
        </w:tabs>
        <w:spacing w:line="232" w:lineRule="auto" w:before="0" w:after="0"/>
        <w:ind w:left="159" w:right="82" w:firstLine="0"/>
        <w:jc w:val="left"/>
        <w:rPr>
          <w:sz w:val="18"/>
        </w:rPr>
      </w:pPr>
      <w:r>
        <w:rPr>
          <w:color w:val="231F20"/>
          <w:sz w:val="18"/>
        </w:rPr>
        <w:t>The Committee reviewed the recent behaviour of sterling. At the close of business on 6 August it had appreciated by about 5% in effective terms since the May </w:t>
      </w:r>
      <w:r>
        <w:rPr>
          <w:i/>
          <w:color w:val="231F20"/>
          <w:sz w:val="18"/>
        </w:rPr>
        <w:t>Inflation Report</w:t>
      </w:r>
      <w:r>
        <w:rPr>
          <w:color w:val="231F20"/>
          <w:sz w:val="18"/>
        </w:rPr>
        <w:t>, and so by around nearly 24% during the previous twelve months. There had been, in comparison, relatively little change since the Committee’s last meeting, though the Committee noted that sterling had been volatile in the immediate run-up to the meeting on account of speculation about what it would decide. Looking at the period since May, the Committee observed that around half of the appreciation was consistent with changes in UK and overseas</w:t>
      </w:r>
      <w:r>
        <w:rPr>
          <w:color w:val="231F20"/>
          <w:spacing w:val="3"/>
          <w:sz w:val="18"/>
        </w:rPr>
        <w:t> </w:t>
      </w:r>
      <w:r>
        <w:rPr>
          <w:color w:val="231F20"/>
          <w:spacing w:val="-4"/>
          <w:sz w:val="18"/>
        </w:rPr>
        <w:t>yield</w:t>
      </w:r>
    </w:p>
    <w:p>
      <w:pPr>
        <w:pStyle w:val="BodyText"/>
        <w:spacing w:line="232" w:lineRule="auto"/>
        <w:ind w:left="160" w:right="38"/>
      </w:pPr>
      <w:r>
        <w:rPr>
          <w:color w:val="231F20"/>
        </w:rPr>
        <w:t>curves (assuming no change in any exchange rate risk premium </w:t>
      </w:r>
      <w:r>
        <w:rPr>
          <w:color w:val="231F20"/>
          <w:spacing w:val="-6"/>
        </w:rPr>
        <w:t>and </w:t>
      </w:r>
      <w:r>
        <w:rPr>
          <w:color w:val="231F20"/>
        </w:rPr>
        <w:t>in the long run no change in the real exchange rate) and so did not reflect any extra tightening of monetary conditions beyond what was already implied by the yield curves themselves. This element of the pound’s appreciation could be expected to unwind gradually on the assumption of uncovered interest parity. Explanations of </w:t>
      </w:r>
      <w:r>
        <w:rPr>
          <w:color w:val="231F20"/>
          <w:spacing w:val="-5"/>
        </w:rPr>
        <w:t>the </w:t>
      </w:r>
      <w:r>
        <w:rPr>
          <w:color w:val="231F20"/>
        </w:rPr>
        <w:t>remainder of the appreciation since May were difficult to identify and assess. It was widely suggested by commentators that it partly reflected portfolio shifts associated with uncertainty about EMU, possibly reducing any risk premium on sterling relative to some other European currencies.  Some corroboration for this explanation was offered by the weakness of the Deutsche Mark against other currencies, including notably the US dollar. It was possible that the EMU outlook would become clearer during the coming months, in which case some of the upward pressure on sterling might be alleviated. However, this could not be counted on. If EMU did not lie behind much of sterling’s appreciation, it was even less obvious what kind of news would affect its level.</w:t>
      </w:r>
    </w:p>
    <w:p>
      <w:pPr>
        <w:pStyle w:val="BodyText"/>
        <w:spacing w:line="184" w:lineRule="exact"/>
        <w:ind w:left="160"/>
        <w:rPr>
          <w:i/>
        </w:rPr>
      </w:pPr>
      <w:r>
        <w:rPr>
          <w:color w:val="231F20"/>
        </w:rPr>
        <w:t>The Committee agreed that the central projection in the</w:t>
      </w:r>
      <w:r>
        <w:rPr>
          <w:color w:val="231F20"/>
          <w:spacing w:val="-1"/>
        </w:rPr>
        <w:t> </w:t>
      </w:r>
      <w:r>
        <w:rPr>
          <w:i/>
          <w:color w:val="231F20"/>
        </w:rPr>
        <w:t>Inflation</w:t>
      </w:r>
    </w:p>
    <w:p>
      <w:pPr>
        <w:pStyle w:val="BodyText"/>
        <w:spacing w:line="232" w:lineRule="auto"/>
        <w:ind w:left="160" w:right="65"/>
      </w:pPr>
      <w:r>
        <w:rPr>
          <w:i/>
          <w:color w:val="231F20"/>
        </w:rPr>
        <w:t>Report </w:t>
      </w:r>
      <w:r>
        <w:rPr>
          <w:color w:val="231F20"/>
        </w:rPr>
        <w:t>should be based on the assumption that sterling would depreciate by slightly more than would be implied by uncovered interest parity (based on the assumption of constant UK interest rates), reflecting a gradual and partial unwinding of that element of the appreciation over the last year that was not associated with changes in relative yield curves.</w:t>
      </w:r>
    </w:p>
    <w:p>
      <w:pPr>
        <w:pStyle w:val="BodyText"/>
        <w:spacing w:before="5"/>
        <w:rPr>
          <w:sz w:val="16"/>
        </w:rPr>
      </w:pPr>
    </w:p>
    <w:p>
      <w:pPr>
        <w:pStyle w:val="ListParagraph"/>
        <w:numPr>
          <w:ilvl w:val="0"/>
          <w:numId w:val="40"/>
        </w:numPr>
        <w:tabs>
          <w:tab w:pos="640" w:val="left" w:leader="none"/>
          <w:tab w:pos="641" w:val="left" w:leader="none"/>
        </w:tabs>
        <w:spacing w:line="232" w:lineRule="auto" w:before="0" w:after="0"/>
        <w:ind w:left="160" w:right="72" w:firstLine="0"/>
        <w:jc w:val="left"/>
        <w:rPr>
          <w:sz w:val="18"/>
        </w:rPr>
      </w:pPr>
      <w:r>
        <w:rPr>
          <w:color w:val="231F20"/>
          <w:sz w:val="18"/>
        </w:rPr>
        <w:t>The Committee noted that surveys of business opinion were now showing consistently that export orders were suffering significantly from sterling’s rise. The trade performance so far </w:t>
      </w:r>
      <w:r>
        <w:rPr>
          <w:color w:val="231F20"/>
          <w:spacing w:val="-5"/>
          <w:sz w:val="18"/>
        </w:rPr>
        <w:t>this </w:t>
      </w:r>
      <w:r>
        <w:rPr>
          <w:color w:val="231F20"/>
          <w:sz w:val="18"/>
        </w:rPr>
        <w:t>year had been a puzzle, but the Committee thought it likely that </w:t>
      </w:r>
      <w:r>
        <w:rPr>
          <w:color w:val="231F20"/>
          <w:spacing w:val="-6"/>
          <w:sz w:val="18"/>
        </w:rPr>
        <w:t>the</w:t>
      </w:r>
    </w:p>
    <w:p>
      <w:pPr>
        <w:pStyle w:val="BodyText"/>
        <w:spacing w:line="232" w:lineRule="auto" w:before="98"/>
        <w:ind w:left="160" w:right="124"/>
      </w:pPr>
      <w:r>
        <w:rPr/>
        <w:br w:type="column"/>
      </w:r>
      <w:r>
        <w:rPr>
          <w:color w:val="231F20"/>
        </w:rPr>
        <w:t>effects of the appreciation would soon be evident in the data.  It was agreed that the forecast should incorporate a significant impact from net trade on output during the coming year, and that this should feed primarily into the central projection rather than just as </w:t>
      </w:r>
      <w:r>
        <w:rPr>
          <w:color w:val="231F20"/>
          <w:spacing w:val="-18"/>
        </w:rPr>
        <w:t>a </w:t>
      </w:r>
      <w:r>
        <w:rPr>
          <w:color w:val="231F20"/>
        </w:rPr>
        <w:t>downside risk to inflation. On the other hand, the possibility of a rapid unwinding of sterling’s appreciation represented an upside risk for inflation.</w:t>
      </w:r>
    </w:p>
    <w:p>
      <w:pPr>
        <w:pStyle w:val="BodyText"/>
        <w:spacing w:before="4"/>
        <w:rPr>
          <w:sz w:val="20"/>
        </w:rPr>
      </w:pPr>
    </w:p>
    <w:p>
      <w:pPr>
        <w:pStyle w:val="ListParagraph"/>
        <w:numPr>
          <w:ilvl w:val="0"/>
          <w:numId w:val="40"/>
        </w:numPr>
        <w:tabs>
          <w:tab w:pos="640" w:val="left" w:leader="none"/>
          <w:tab w:pos="641" w:val="left" w:leader="none"/>
        </w:tabs>
        <w:spacing w:line="232" w:lineRule="auto" w:before="0" w:after="0"/>
        <w:ind w:left="160" w:right="474" w:firstLine="0"/>
        <w:jc w:val="left"/>
        <w:rPr>
          <w:sz w:val="18"/>
        </w:rPr>
      </w:pPr>
      <w:r>
        <w:rPr>
          <w:color w:val="231F20"/>
          <w:sz w:val="18"/>
        </w:rPr>
        <w:t>The Committee expressed considerable concern about sterling’s level and its unbalancing effects on the economy. While members viewed estimates of equilibrium real </w:t>
      </w:r>
      <w:r>
        <w:rPr>
          <w:color w:val="231F20"/>
          <w:spacing w:val="-3"/>
          <w:sz w:val="18"/>
        </w:rPr>
        <w:t>exchange </w:t>
      </w:r>
      <w:r>
        <w:rPr>
          <w:color w:val="231F20"/>
          <w:sz w:val="18"/>
        </w:rPr>
        <w:t>rates as highly uncertain, it seemed likely that sterling was overvalued.</w:t>
      </w:r>
    </w:p>
    <w:p>
      <w:pPr>
        <w:pStyle w:val="BodyText"/>
        <w:spacing w:before="6"/>
        <w:rPr>
          <w:sz w:val="20"/>
        </w:rPr>
      </w:pPr>
    </w:p>
    <w:p>
      <w:pPr>
        <w:pStyle w:val="ListParagraph"/>
        <w:numPr>
          <w:ilvl w:val="0"/>
          <w:numId w:val="40"/>
        </w:numPr>
        <w:tabs>
          <w:tab w:pos="640" w:val="left" w:leader="none"/>
          <w:tab w:pos="641" w:val="left" w:leader="none"/>
        </w:tabs>
        <w:spacing w:line="232" w:lineRule="auto" w:before="0" w:after="0"/>
        <w:ind w:left="159" w:right="138" w:firstLine="0"/>
        <w:jc w:val="left"/>
        <w:rPr>
          <w:sz w:val="18"/>
        </w:rPr>
      </w:pPr>
      <w:r>
        <w:rPr>
          <w:color w:val="231F20"/>
          <w:sz w:val="18"/>
        </w:rPr>
        <w:t>This was at the heart of the dilemma discussed at the Committee’s previous two meetings and really had two aspects. First, sterling’s appreciation was leading to unbalanced activity, with business judgements about how to react made very difficult </w:t>
      </w:r>
      <w:r>
        <w:rPr>
          <w:color w:val="231F20"/>
          <w:spacing w:val="-8"/>
          <w:sz w:val="18"/>
        </w:rPr>
        <w:t>by </w:t>
      </w:r>
      <w:r>
        <w:rPr>
          <w:color w:val="231F20"/>
          <w:sz w:val="18"/>
        </w:rPr>
        <w:t>the uncertainty over how long the appreciation would persist. Secondly, it posed a dilemma for monetary policy. As discussed in previous </w:t>
      </w:r>
      <w:r>
        <w:rPr>
          <w:i/>
          <w:color w:val="231F20"/>
          <w:sz w:val="18"/>
        </w:rPr>
        <w:t>Inflation Reports</w:t>
      </w:r>
      <w:r>
        <w:rPr>
          <w:color w:val="231F20"/>
          <w:sz w:val="18"/>
        </w:rPr>
        <w:t>, the appreciation would have a ‘one-off’ effect on the price level via import prices and the impact on external demand, and so only a temporary effect on inflation, assuming that sterling stopped rising and gradually declined. But meanwhile there were powerful forces fuelling underlying nominal demand which, if left unchecked, would eventually emerge in higher inflation and inflation expectations.</w:t>
      </w:r>
    </w:p>
    <w:p>
      <w:pPr>
        <w:pStyle w:val="BodyText"/>
        <w:rPr>
          <w:sz w:val="20"/>
        </w:rPr>
      </w:pPr>
    </w:p>
    <w:p>
      <w:pPr>
        <w:pStyle w:val="ListParagraph"/>
        <w:numPr>
          <w:ilvl w:val="0"/>
          <w:numId w:val="40"/>
        </w:numPr>
        <w:tabs>
          <w:tab w:pos="639" w:val="left" w:leader="none"/>
          <w:tab w:pos="641" w:val="left" w:leader="none"/>
        </w:tabs>
        <w:spacing w:line="232" w:lineRule="auto" w:before="0" w:after="0"/>
        <w:ind w:left="159" w:right="124" w:firstLine="0"/>
        <w:jc w:val="left"/>
        <w:rPr>
          <w:sz w:val="18"/>
        </w:rPr>
      </w:pPr>
      <w:r>
        <w:rPr>
          <w:color w:val="231F20"/>
          <w:sz w:val="18"/>
        </w:rPr>
        <w:t>Some action to alleviate underlying inflationary pressures had already been taken in the form of the 75 basis points increase </w:t>
      </w:r>
      <w:r>
        <w:rPr>
          <w:color w:val="231F20"/>
          <w:spacing w:val="-8"/>
          <w:sz w:val="18"/>
        </w:rPr>
        <w:t>in </w:t>
      </w:r>
      <w:r>
        <w:rPr>
          <w:color w:val="231F20"/>
          <w:sz w:val="18"/>
        </w:rPr>
        <w:t>official interest rates since May. The Committee reviewed whether it needed to make any further changes now in the light of the inflation forecast. Without a further tightening in monetary conditions, the Committee agreed that the most likely outcome was that inflation would be above the Government’s inflation target of 2</w:t>
      </w:r>
      <w:r>
        <w:rPr>
          <w:color w:val="231F20"/>
          <w:position w:val="6"/>
          <w:sz w:val="9"/>
        </w:rPr>
        <w:t>1</w:t>
      </w:r>
      <w:r>
        <w:rPr>
          <w:color w:val="231F20"/>
          <w:sz w:val="18"/>
        </w:rPr>
        <w:t>/</w:t>
      </w:r>
      <w:r>
        <w:rPr>
          <w:color w:val="231F20"/>
          <w:sz w:val="9"/>
        </w:rPr>
        <w:t>2</w:t>
      </w:r>
      <w:r>
        <w:rPr>
          <w:color w:val="231F20"/>
          <w:sz w:val="18"/>
        </w:rPr>
        <w:t>% at the Bank’s forecast horizon of two years. In addition, the risks to inflation were skewed on the upside, and inflation was likely to be on an upward trend at the end of the period covered by the forecast. A 25 basis points increase in rates would reduce the central projection to broadly in line with the target but leave the risks skewed on the upside.</w:t>
      </w:r>
    </w:p>
    <w:p>
      <w:pPr>
        <w:pStyle w:val="BodyText"/>
        <w:spacing w:before="1"/>
        <w:rPr>
          <w:sz w:val="20"/>
        </w:rPr>
      </w:pPr>
    </w:p>
    <w:p>
      <w:pPr>
        <w:pStyle w:val="ListParagraph"/>
        <w:numPr>
          <w:ilvl w:val="0"/>
          <w:numId w:val="40"/>
        </w:numPr>
        <w:tabs>
          <w:tab w:pos="639" w:val="left" w:leader="none"/>
          <w:tab w:pos="641" w:val="left" w:leader="none"/>
        </w:tabs>
        <w:spacing w:line="232" w:lineRule="auto" w:before="1" w:after="0"/>
        <w:ind w:left="159" w:right="179" w:firstLine="0"/>
        <w:jc w:val="left"/>
        <w:rPr>
          <w:sz w:val="18"/>
        </w:rPr>
      </w:pPr>
      <w:r>
        <w:rPr>
          <w:color w:val="231F20"/>
          <w:sz w:val="18"/>
        </w:rPr>
        <w:t>The Committee agreed that a further tightening of monetary conditions was, on current evidence, needed to put the economy </w:t>
      </w:r>
      <w:r>
        <w:rPr>
          <w:color w:val="231F20"/>
          <w:spacing w:val="-9"/>
          <w:sz w:val="18"/>
        </w:rPr>
        <w:t>on </w:t>
      </w:r>
      <w:r>
        <w:rPr>
          <w:color w:val="231F20"/>
          <w:sz w:val="18"/>
        </w:rPr>
        <w:t>a course consistent with the inflation target. Before reaching its immediate decision, however, the Committee felt that the policy dilemma was sufficiently acute that it should consider whether there were, as is sometimes suggested, alternative policy instruments that might help to resolve the dilemma without introducing unacceptable distortions. Apart from quantitative credit controls, these were of three main types: (i) variable reserve requirements on the banking system; (ii) changes to debt management; (iii) foreign exchange market intervention.</w:t>
      </w:r>
    </w:p>
    <w:p>
      <w:pPr>
        <w:pStyle w:val="BodyText"/>
        <w:spacing w:before="1"/>
        <w:rPr>
          <w:sz w:val="20"/>
        </w:rPr>
      </w:pPr>
    </w:p>
    <w:p>
      <w:pPr>
        <w:pStyle w:val="ListParagraph"/>
        <w:numPr>
          <w:ilvl w:val="0"/>
          <w:numId w:val="40"/>
        </w:numPr>
        <w:tabs>
          <w:tab w:pos="639" w:val="left" w:leader="none"/>
          <w:tab w:pos="641" w:val="left" w:leader="none"/>
        </w:tabs>
        <w:spacing w:line="232" w:lineRule="auto" w:before="0" w:after="0"/>
        <w:ind w:left="159" w:right="119" w:firstLine="0"/>
        <w:jc w:val="left"/>
        <w:rPr>
          <w:sz w:val="18"/>
        </w:rPr>
      </w:pPr>
      <w:r>
        <w:rPr>
          <w:color w:val="231F20"/>
          <w:sz w:val="18"/>
        </w:rPr>
        <w:t>Under the first heading, Bank staff had examined the circumstances in which a call for special deposits from the banking system, which would need to be unremunerated and so act as a tax, would be passed on as an increase in loan rates, while limiting upward pressure on the exchange rate. Borrowers who did not </w:t>
      </w:r>
      <w:r>
        <w:rPr>
          <w:color w:val="231F20"/>
          <w:spacing w:val="-5"/>
          <w:sz w:val="18"/>
        </w:rPr>
        <w:t>have </w:t>
      </w:r>
      <w:r>
        <w:rPr>
          <w:color w:val="231F20"/>
          <w:sz w:val="18"/>
        </w:rPr>
        <w:t>alternative sources of credit—notably individuals and small businesses—would then be likely to choose to borrow less, and that could restrain spending. But the staff analysis pointed out that in the current financial environment measures of this kind were most unlikely to be effective. If temporary, the cost might well be absorbed by banks rather than passed on to their customers. Alternatively, if the cost of credit was increased, credit flows were likely to be diverted heavily into unaffected channels given the financial liberalisations of the past twenty years. In addition, any expectation of future use of the instrument would create market uncertainty and have serious disincentive and inefficiency effects. The Committee agreed with the analysis and rejected this course.</w:t>
      </w:r>
    </w:p>
    <w:p>
      <w:pPr>
        <w:spacing w:after="0" w:line="232" w:lineRule="auto"/>
        <w:jc w:val="left"/>
        <w:rPr>
          <w:sz w:val="18"/>
        </w:rPr>
        <w:sectPr>
          <w:type w:val="continuous"/>
          <w:pgSz w:w="11900" w:h="16840"/>
          <w:pgMar w:top="1040" w:bottom="280" w:left="660" w:right="680"/>
          <w:cols w:num="2" w:equalWidth="0">
            <w:col w:w="5079" w:space="301"/>
            <w:col w:w="5180"/>
          </w:cols>
        </w:sectPr>
      </w:pPr>
    </w:p>
    <w:p>
      <w:pPr>
        <w:pStyle w:val="BodyText"/>
        <w:spacing w:before="11"/>
        <w:rPr>
          <w:sz w:val="29"/>
        </w:rPr>
      </w:pPr>
    </w:p>
    <w:p>
      <w:pPr>
        <w:spacing w:after="0"/>
        <w:rPr>
          <w:sz w:val="29"/>
        </w:rPr>
        <w:sectPr>
          <w:pgSz w:w="11900" w:h="16840"/>
          <w:pgMar w:header="566" w:footer="597" w:top="800" w:bottom="780" w:left="660" w:right="680"/>
        </w:sectPr>
      </w:pPr>
    </w:p>
    <w:p>
      <w:pPr>
        <w:pStyle w:val="ListParagraph"/>
        <w:numPr>
          <w:ilvl w:val="0"/>
          <w:numId w:val="40"/>
        </w:numPr>
        <w:tabs>
          <w:tab w:pos="619" w:val="left" w:leader="none"/>
          <w:tab w:pos="621" w:val="left" w:leader="none"/>
        </w:tabs>
        <w:spacing w:line="232" w:lineRule="auto" w:before="98" w:after="0"/>
        <w:ind w:left="140" w:right="38" w:firstLine="0"/>
        <w:jc w:val="left"/>
        <w:rPr>
          <w:sz w:val="18"/>
        </w:rPr>
      </w:pPr>
      <w:r>
        <w:rPr>
          <w:color w:val="231F20"/>
          <w:sz w:val="18"/>
        </w:rPr>
        <w:t>Nor did the Committee see much attraction in </w:t>
      </w:r>
      <w:r>
        <w:rPr>
          <w:color w:val="231F20"/>
          <w:spacing w:val="-2"/>
          <w:sz w:val="18"/>
        </w:rPr>
        <w:t>recommending </w:t>
      </w:r>
      <w:r>
        <w:rPr>
          <w:color w:val="231F20"/>
          <w:sz w:val="18"/>
        </w:rPr>
        <w:t>to the Government a change in government debt management policy objectives towards restraining broad monetary growth, either by selling more debt than needed to finance the Government’s deficit, ie overfunding, or by skewing the pattern of issuance to stocks likely to appeal to domestic institutional investors, so possibly absorbing OFI liquidity.  The Committee was not confident that such a change would contribute usefully to addressing the current policy dilemma.</w:t>
      </w:r>
    </w:p>
    <w:p>
      <w:pPr>
        <w:pStyle w:val="BodyText"/>
        <w:spacing w:before="9"/>
        <w:rPr>
          <w:sz w:val="16"/>
        </w:rPr>
      </w:pPr>
    </w:p>
    <w:p>
      <w:pPr>
        <w:pStyle w:val="ListParagraph"/>
        <w:numPr>
          <w:ilvl w:val="0"/>
          <w:numId w:val="40"/>
        </w:numPr>
        <w:tabs>
          <w:tab w:pos="619" w:val="left" w:leader="none"/>
          <w:tab w:pos="621" w:val="left" w:leader="none"/>
        </w:tabs>
        <w:spacing w:line="232" w:lineRule="auto" w:before="0" w:after="0"/>
        <w:ind w:left="140" w:right="38" w:firstLine="0"/>
        <w:jc w:val="left"/>
        <w:rPr>
          <w:sz w:val="18"/>
        </w:rPr>
      </w:pPr>
      <w:r>
        <w:rPr>
          <w:color w:val="231F20"/>
          <w:sz w:val="18"/>
        </w:rPr>
        <w:t>The Committee discussed the possible merits of intervention in the foreign exchange markets. There was a consensus that intervention was worth contemplating but only if it was accompanied by credible actions to put the economy on a course consistent with the inflation target. In those circumstances, it could help to bring about an adjustment in the exchange rate, which </w:t>
      </w:r>
      <w:r>
        <w:rPr>
          <w:color w:val="231F20"/>
          <w:spacing w:val="-4"/>
          <w:sz w:val="18"/>
        </w:rPr>
        <w:t>might </w:t>
      </w:r>
      <w:r>
        <w:rPr>
          <w:color w:val="231F20"/>
          <w:sz w:val="18"/>
        </w:rPr>
        <w:t>otherwise be more protracted.</w:t>
      </w:r>
    </w:p>
    <w:p>
      <w:pPr>
        <w:pStyle w:val="BodyText"/>
        <w:spacing w:before="10"/>
        <w:rPr>
          <w:sz w:val="16"/>
        </w:rPr>
      </w:pPr>
    </w:p>
    <w:p>
      <w:pPr>
        <w:pStyle w:val="ListParagraph"/>
        <w:numPr>
          <w:ilvl w:val="0"/>
          <w:numId w:val="40"/>
        </w:numPr>
        <w:tabs>
          <w:tab w:pos="619" w:val="left" w:leader="none"/>
          <w:tab w:pos="621" w:val="left" w:leader="none"/>
        </w:tabs>
        <w:spacing w:line="232" w:lineRule="auto" w:before="0" w:after="0"/>
        <w:ind w:left="140" w:right="73" w:firstLine="0"/>
        <w:jc w:val="left"/>
        <w:rPr>
          <w:sz w:val="18"/>
        </w:rPr>
      </w:pPr>
      <w:r>
        <w:rPr>
          <w:color w:val="231F20"/>
          <w:sz w:val="18"/>
        </w:rPr>
        <w:t>Having concluded that monetary policy would need to be tightened again, the Committee considered whether to raise interest rates immediately. Arguments for not doing so were the advantages of waiting to gather more information and of avoiding the risk of putting further upward pressure on the exchange rate. The main argument for moving immediately was the need to hit </w:t>
      </w:r>
      <w:r>
        <w:rPr>
          <w:color w:val="231F20"/>
          <w:spacing w:val="-6"/>
          <w:sz w:val="18"/>
        </w:rPr>
        <w:t>the </w:t>
      </w:r>
      <w:r>
        <w:rPr>
          <w:color w:val="231F20"/>
          <w:sz w:val="18"/>
        </w:rPr>
        <w:t>inflation target. There was also the potential impact on expectations of publishing an </w:t>
      </w:r>
      <w:r>
        <w:rPr>
          <w:i/>
          <w:color w:val="231F20"/>
          <w:sz w:val="18"/>
        </w:rPr>
        <w:t>Inflation Report </w:t>
      </w:r>
      <w:r>
        <w:rPr>
          <w:color w:val="231F20"/>
          <w:sz w:val="18"/>
        </w:rPr>
        <w:t>that, on unchanged rates, would combine a view that the most likely outturn at the two</w:t>
      </w:r>
    </w:p>
    <w:p>
      <w:pPr>
        <w:pStyle w:val="BodyText"/>
        <w:spacing w:line="232" w:lineRule="auto" w:before="97"/>
        <w:ind w:left="140" w:right="117"/>
      </w:pPr>
      <w:r>
        <w:rPr/>
        <w:br w:type="column"/>
      </w:r>
      <w:r>
        <w:rPr>
          <w:color w:val="231F20"/>
        </w:rPr>
        <w:t>year forecast horizon was that RPIX inflation would be above the 2</w:t>
      </w:r>
      <w:r>
        <w:rPr>
          <w:color w:val="231F20"/>
          <w:position w:val="6"/>
          <w:sz w:val="9"/>
        </w:rPr>
        <w:t>1</w:t>
      </w:r>
      <w:r>
        <w:rPr>
          <w:color w:val="231F20"/>
        </w:rPr>
        <w:t>/</w:t>
      </w:r>
      <w:r>
        <w:rPr>
          <w:color w:val="231F20"/>
          <w:sz w:val="9"/>
        </w:rPr>
        <w:t>2</w:t>
      </w:r>
      <w:r>
        <w:rPr>
          <w:color w:val="231F20"/>
        </w:rPr>
        <w:t>% target with the risks to inflation clearly skewed on the upside. That would create a clear risk of damaging credibility and so increasing inflationary expectations, and of putting further upward pressure on the exchange rate by causing the market to revise upwards their expected path of interest rates. By tightening by an extra </w:t>
      </w:r>
      <w:r>
        <w:rPr>
          <w:color w:val="231F20"/>
          <w:position w:val="6"/>
          <w:sz w:val="9"/>
        </w:rPr>
        <w:t>1</w:t>
      </w:r>
      <w:r>
        <w:rPr>
          <w:color w:val="231F20"/>
        </w:rPr>
        <w:t>/</w:t>
      </w:r>
      <w:r>
        <w:rPr>
          <w:color w:val="231F20"/>
          <w:sz w:val="9"/>
        </w:rPr>
        <w:t>4  </w:t>
      </w:r>
      <w:r>
        <w:rPr>
          <w:color w:val="231F20"/>
        </w:rPr>
        <w:t>percentage point immediately and so publishing an </w:t>
      </w:r>
      <w:r>
        <w:rPr>
          <w:i/>
          <w:color w:val="231F20"/>
        </w:rPr>
        <w:t>Inflation Report </w:t>
      </w:r>
      <w:r>
        <w:rPr>
          <w:color w:val="231F20"/>
        </w:rPr>
        <w:t>showing a central projection around 2</w:t>
      </w:r>
      <w:r>
        <w:rPr>
          <w:color w:val="231F20"/>
          <w:position w:val="6"/>
          <w:sz w:val="9"/>
        </w:rPr>
        <w:t>1</w:t>
      </w:r>
      <w:r>
        <w:rPr>
          <w:color w:val="231F20"/>
        </w:rPr>
        <w:t>/</w:t>
      </w:r>
      <w:r>
        <w:rPr>
          <w:color w:val="231F20"/>
          <w:sz w:val="9"/>
        </w:rPr>
        <w:t>2</w:t>
      </w:r>
      <w:r>
        <w:rPr>
          <w:color w:val="231F20"/>
        </w:rPr>
        <w:t>% at the two year horizon, the Bank might be able to reduce inflation pressures and so affect market expectations that some of the </w:t>
      </w:r>
      <w:r>
        <w:rPr>
          <w:color w:val="231F20"/>
          <w:spacing w:val="-3"/>
        </w:rPr>
        <w:t>upward </w:t>
      </w:r>
      <w:r>
        <w:rPr>
          <w:color w:val="231F20"/>
        </w:rPr>
        <w:t>pressure on sterling would be alleviated. This was the tactical judgement. The Committee agreed that, on balance, it was the better course and that the press notice announcing the move should reflect the nature of the judgement.</w:t>
      </w:r>
    </w:p>
    <w:p>
      <w:pPr>
        <w:pStyle w:val="BodyText"/>
        <w:spacing w:before="3"/>
        <w:rPr>
          <w:sz w:val="21"/>
        </w:rPr>
      </w:pPr>
    </w:p>
    <w:p>
      <w:pPr>
        <w:pStyle w:val="ListParagraph"/>
        <w:numPr>
          <w:ilvl w:val="0"/>
          <w:numId w:val="40"/>
        </w:numPr>
        <w:tabs>
          <w:tab w:pos="619" w:val="left" w:leader="none"/>
          <w:tab w:pos="621" w:val="left" w:leader="none"/>
        </w:tabs>
        <w:spacing w:line="204" w:lineRule="exact" w:before="1" w:after="0"/>
        <w:ind w:left="620" w:right="0" w:hanging="481"/>
        <w:jc w:val="left"/>
        <w:rPr>
          <w:sz w:val="18"/>
        </w:rPr>
      </w:pPr>
      <w:r>
        <w:rPr>
          <w:color w:val="231F20"/>
          <w:sz w:val="18"/>
        </w:rPr>
        <w:t>The Committee then voted unanimously in favour of a</w:t>
      </w:r>
    </w:p>
    <w:p>
      <w:pPr>
        <w:pStyle w:val="BodyText"/>
        <w:spacing w:line="232" w:lineRule="auto" w:before="1"/>
        <w:ind w:left="140" w:right="117"/>
      </w:pPr>
      <w:r>
        <w:rPr>
          <w:color w:val="231F20"/>
          <w:position w:val="6"/>
          <w:sz w:val="9"/>
        </w:rPr>
        <w:t>1</w:t>
      </w:r>
      <w:r>
        <w:rPr>
          <w:color w:val="231F20"/>
        </w:rPr>
        <w:t>/</w:t>
      </w:r>
      <w:r>
        <w:rPr>
          <w:color w:val="231F20"/>
          <w:sz w:val="9"/>
        </w:rPr>
        <w:t>4 </w:t>
      </w:r>
      <w:r>
        <w:rPr>
          <w:color w:val="231F20"/>
        </w:rPr>
        <w:t>percentage point rise in the Bank’s repo rate, to be announced immediately.</w:t>
      </w:r>
    </w:p>
    <w:p>
      <w:pPr>
        <w:pStyle w:val="ListParagraph"/>
        <w:numPr>
          <w:ilvl w:val="0"/>
          <w:numId w:val="40"/>
        </w:numPr>
        <w:tabs>
          <w:tab w:pos="620" w:val="left" w:leader="none"/>
          <w:tab w:pos="621" w:val="left" w:leader="none"/>
          <w:tab w:pos="3402" w:val="left" w:leader="none"/>
        </w:tabs>
        <w:spacing w:line="440" w:lineRule="atLeast" w:before="1" w:after="0"/>
        <w:ind w:left="140" w:right="501"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tab/>
        <w:t>Willem Buiter</w:t>
      </w:r>
    </w:p>
    <w:p>
      <w:pPr>
        <w:pStyle w:val="BodyText"/>
        <w:tabs>
          <w:tab w:pos="3432" w:val="left" w:leader="none"/>
        </w:tabs>
        <w:spacing w:line="232" w:lineRule="auto"/>
        <w:ind w:left="140" w:right="757"/>
      </w:pPr>
      <w:r>
        <w:rPr>
          <w:color w:val="231F20"/>
        </w:rPr>
        <w:t>Charles Goodhart</w:t>
        <w:tab/>
        <w:t>Mervyn </w:t>
      </w:r>
      <w:r>
        <w:rPr>
          <w:color w:val="231F20"/>
          <w:spacing w:val="-5"/>
        </w:rPr>
        <w:t>King </w:t>
      </w:r>
      <w:r>
        <w:rPr>
          <w:color w:val="231F20"/>
        </w:rPr>
        <w:t>Ian Plenderleith</w:t>
      </w:r>
    </w:p>
    <w:p>
      <w:pPr>
        <w:pStyle w:val="BodyText"/>
        <w:spacing w:before="9"/>
        <w:rPr>
          <w:sz w:val="21"/>
        </w:rPr>
      </w:pPr>
    </w:p>
    <w:p>
      <w:pPr>
        <w:pStyle w:val="BodyText"/>
        <w:ind w:left="140"/>
      </w:pPr>
      <w:r>
        <w:rPr>
          <w:color w:val="231F20"/>
        </w:rPr>
        <w:t>Sir Alan Budd was also present as the Treasury’s representative.</w:t>
      </w:r>
    </w:p>
    <w:p>
      <w:pPr>
        <w:spacing w:after="0"/>
        <w:sectPr>
          <w:type w:val="continuous"/>
          <w:pgSz w:w="11900" w:h="16840"/>
          <w:pgMar w:top="1040" w:bottom="280" w:left="660" w:right="680"/>
          <w:cols w:num="2" w:equalWidth="0">
            <w:col w:w="5079" w:space="313"/>
            <w:col w:w="5168"/>
          </w:cols>
        </w:sectPr>
      </w:pPr>
    </w:p>
    <w:p>
      <w:pPr>
        <w:pStyle w:val="BodyText"/>
        <w:rPr>
          <w:sz w:val="20"/>
        </w:rPr>
      </w:pPr>
    </w:p>
    <w:p>
      <w:pPr>
        <w:pStyle w:val="BodyText"/>
        <w:rPr>
          <w:sz w:val="20"/>
        </w:rPr>
      </w:pPr>
    </w:p>
    <w:p>
      <w:pPr>
        <w:pStyle w:val="BodyText"/>
        <w:spacing w:before="4"/>
        <w:rPr>
          <w:sz w:val="21"/>
        </w:rPr>
      </w:pPr>
    </w:p>
    <w:p>
      <w:pPr>
        <w:pStyle w:val="Heading2"/>
        <w:ind w:left="165"/>
      </w:pPr>
      <w:bookmarkStart w:name="Minutes of the 10–11 September 1997 meet" w:id="103"/>
      <w:bookmarkEnd w:id="103"/>
      <w:r>
        <w:rPr>
          <w:b w:val="0"/>
        </w:rPr>
      </w:r>
      <w:bookmarkStart w:name="_bookmark47" w:id="104"/>
      <w:bookmarkEnd w:id="104"/>
      <w:r>
        <w:rPr>
          <w:b w:val="0"/>
        </w:rPr>
      </w:r>
      <w:r>
        <w:rPr>
          <w:color w:val="009483"/>
        </w:rPr>
        <w:t>Minutes of the Monetary Policy Committee meeting on 10–11 September 1997</w:t>
      </w:r>
    </w:p>
    <w:p>
      <w:pPr>
        <w:pStyle w:val="BodyText"/>
        <w:spacing w:before="7"/>
        <w:rPr>
          <w:b/>
          <w:sz w:val="26"/>
        </w:rPr>
      </w:pPr>
    </w:p>
    <w:p>
      <w:pPr>
        <w:spacing w:after="0"/>
        <w:rPr>
          <w:sz w:val="26"/>
        </w:rPr>
        <w:sectPr>
          <w:pgSz w:w="11900" w:h="16840"/>
          <w:pgMar w:header="566" w:footer="597" w:top="800" w:bottom="780" w:left="660" w:right="680"/>
        </w:sectPr>
      </w:pPr>
    </w:p>
    <w:p>
      <w:pPr>
        <w:pStyle w:val="ListParagraph"/>
        <w:numPr>
          <w:ilvl w:val="0"/>
          <w:numId w:val="41"/>
        </w:numPr>
        <w:tabs>
          <w:tab w:pos="619" w:val="left" w:leader="none"/>
          <w:tab w:pos="621" w:val="left" w:leader="none"/>
        </w:tabs>
        <w:spacing w:line="232" w:lineRule="auto" w:before="98" w:after="0"/>
        <w:ind w:left="140" w:right="38" w:firstLine="0"/>
        <w:jc w:val="left"/>
        <w:rPr>
          <w:sz w:val="18"/>
        </w:rPr>
      </w:pPr>
      <w:r>
        <w:rPr>
          <w:color w:val="231F20"/>
          <w:sz w:val="18"/>
        </w:rPr>
        <w:t>The meeting took place against the background of an earlier presentation by Bank staff of the most recent data on monetary and economic conditions. The presentation is summarised in the </w:t>
      </w:r>
      <w:r>
        <w:rPr>
          <w:color w:val="231F20"/>
          <w:spacing w:val="-3"/>
          <w:sz w:val="18"/>
        </w:rPr>
        <w:t>Annex, </w:t>
      </w:r>
      <w:r>
        <w:rPr>
          <w:color w:val="231F20"/>
          <w:sz w:val="18"/>
        </w:rPr>
        <w:t>updated for the data which subsequently became available before the Monetary Policy Committee meeting.</w:t>
      </w:r>
    </w:p>
    <w:p>
      <w:pPr>
        <w:pStyle w:val="BodyText"/>
        <w:rPr>
          <w:sz w:val="17"/>
        </w:rPr>
      </w:pPr>
    </w:p>
    <w:p>
      <w:pPr>
        <w:pStyle w:val="ListParagraph"/>
        <w:numPr>
          <w:ilvl w:val="0"/>
          <w:numId w:val="41"/>
        </w:numPr>
        <w:tabs>
          <w:tab w:pos="619" w:val="left" w:leader="none"/>
          <w:tab w:pos="621" w:val="left" w:leader="none"/>
        </w:tabs>
        <w:spacing w:line="232" w:lineRule="auto" w:before="1" w:after="0"/>
        <w:ind w:left="140" w:right="107" w:firstLine="0"/>
        <w:jc w:val="left"/>
        <w:rPr>
          <w:sz w:val="18"/>
        </w:rPr>
      </w:pPr>
      <w:r>
        <w:rPr>
          <w:color w:val="231F20"/>
          <w:sz w:val="18"/>
        </w:rPr>
        <w:t>The Committee began its meeting by recalling the statement in the August </w:t>
      </w:r>
      <w:r>
        <w:rPr>
          <w:i/>
          <w:color w:val="231F20"/>
          <w:sz w:val="18"/>
        </w:rPr>
        <w:t>Inflation Report </w:t>
      </w:r>
      <w:r>
        <w:rPr>
          <w:color w:val="231F20"/>
          <w:sz w:val="18"/>
        </w:rPr>
        <w:t>that: “. . . the MPC concluded that monetary policy has now reached a position at which it should be possible to pause in order to assess the direction in which the risks are likely to materialise.”. An overview of the subsequent data suggested a mixed picture. Domestic demand continued to grow strongly and, whilst the exchange rate had fallen back from its peak, it remained some 20% above the level in August 1996. The latest revision of the manufacturing output data had eliminated the slowdown signalled earlier; but survey evidence still warned of a slowing in activity ahead. The financial market price movements following the August announcement of the 25 basis points rate </w:t>
      </w:r>
      <w:r>
        <w:rPr>
          <w:color w:val="231F20"/>
          <w:spacing w:val="-5"/>
          <w:sz w:val="18"/>
        </w:rPr>
        <w:t>rise </w:t>
      </w:r>
      <w:r>
        <w:rPr>
          <w:color w:val="231F20"/>
          <w:sz w:val="18"/>
        </w:rPr>
        <w:t>showed a fall and subsequent partial reversal in short-term interest rate expectations, but a more sustained fall in sterling.</w:t>
      </w:r>
    </w:p>
    <w:p>
      <w:pPr>
        <w:pStyle w:val="BodyText"/>
        <w:spacing w:before="4"/>
        <w:rPr>
          <w:sz w:val="16"/>
        </w:rPr>
      </w:pPr>
    </w:p>
    <w:p>
      <w:pPr>
        <w:pStyle w:val="ListParagraph"/>
        <w:numPr>
          <w:ilvl w:val="0"/>
          <w:numId w:val="41"/>
        </w:numPr>
        <w:tabs>
          <w:tab w:pos="620" w:val="left" w:leader="none"/>
          <w:tab w:pos="621" w:val="left" w:leader="none"/>
        </w:tabs>
        <w:spacing w:line="232" w:lineRule="auto" w:before="1" w:after="0"/>
        <w:ind w:left="140" w:right="128" w:firstLine="0"/>
        <w:jc w:val="left"/>
        <w:rPr>
          <w:sz w:val="18"/>
        </w:rPr>
      </w:pPr>
      <w:r>
        <w:rPr>
          <w:color w:val="231F20"/>
          <w:sz w:val="18"/>
        </w:rPr>
        <w:t>The Committee went on to examine this overview under three headings: demand and output, including the impact of asset price developments; monetary aggregates; and the labour</w:t>
      </w:r>
      <w:r>
        <w:rPr>
          <w:color w:val="231F20"/>
          <w:spacing w:val="3"/>
          <w:sz w:val="18"/>
        </w:rPr>
        <w:t> </w:t>
      </w:r>
      <w:r>
        <w:rPr>
          <w:color w:val="231F20"/>
          <w:spacing w:val="-3"/>
          <w:sz w:val="18"/>
        </w:rPr>
        <w:t>market.</w:t>
      </w:r>
    </w:p>
    <w:p>
      <w:pPr>
        <w:pStyle w:val="BodyText"/>
        <w:spacing w:before="8"/>
        <w:rPr>
          <w:sz w:val="23"/>
        </w:rPr>
      </w:pPr>
    </w:p>
    <w:p>
      <w:pPr>
        <w:spacing w:before="0"/>
        <w:ind w:left="140" w:right="0" w:firstLine="0"/>
        <w:jc w:val="left"/>
        <w:rPr>
          <w:i/>
          <w:sz w:val="18"/>
        </w:rPr>
      </w:pPr>
      <w:r>
        <w:rPr>
          <w:i/>
          <w:color w:val="009483"/>
          <w:sz w:val="18"/>
        </w:rPr>
        <w:t>Demand and output</w:t>
      </w:r>
    </w:p>
    <w:p>
      <w:pPr>
        <w:pStyle w:val="BodyText"/>
        <w:spacing w:before="3"/>
        <w:rPr>
          <w:i/>
          <w:sz w:val="17"/>
        </w:rPr>
      </w:pPr>
    </w:p>
    <w:p>
      <w:pPr>
        <w:pStyle w:val="ListParagraph"/>
        <w:numPr>
          <w:ilvl w:val="0"/>
          <w:numId w:val="41"/>
        </w:numPr>
        <w:tabs>
          <w:tab w:pos="620" w:val="left" w:leader="none"/>
          <w:tab w:pos="621" w:val="left" w:leader="none"/>
        </w:tabs>
        <w:spacing w:line="232" w:lineRule="auto" w:before="0" w:after="0"/>
        <w:ind w:left="140" w:right="123" w:firstLine="0"/>
        <w:jc w:val="left"/>
        <w:rPr>
          <w:sz w:val="18"/>
        </w:rPr>
      </w:pPr>
      <w:r>
        <w:rPr>
          <w:color w:val="231F20"/>
          <w:sz w:val="18"/>
        </w:rPr>
        <w:t>The Committee discussed the implications of the new M</w:t>
      </w:r>
      <w:r>
        <w:rPr>
          <w:color w:val="231F20"/>
          <w:sz w:val="14"/>
        </w:rPr>
        <w:t>ORI </w:t>
      </w:r>
      <w:r>
        <w:rPr>
          <w:color w:val="231F20"/>
          <w:sz w:val="18"/>
        </w:rPr>
        <w:t>survey on demutualisation windfalls. The survey results broadly confirmed the assumptions used in the August </w:t>
      </w:r>
      <w:r>
        <w:rPr>
          <w:i/>
          <w:color w:val="231F20"/>
          <w:sz w:val="18"/>
        </w:rPr>
        <w:t>Inflation Report</w:t>
      </w:r>
      <w:r>
        <w:rPr>
          <w:color w:val="231F20"/>
          <w:sz w:val="18"/>
        </w:rPr>
        <w:t>. However, the survey suggested that the time profile would show a more concentrated impact in mid-1997 when the payments were made, arising from the immediate impact on those freed from </w:t>
      </w:r>
      <w:r>
        <w:rPr>
          <w:color w:val="231F20"/>
          <w:spacing w:val="-4"/>
          <w:sz w:val="18"/>
        </w:rPr>
        <w:t>their </w:t>
      </w:r>
      <w:r>
        <w:rPr>
          <w:color w:val="231F20"/>
          <w:sz w:val="18"/>
        </w:rPr>
        <w:t>liquidity constraint; and a smaller impact next year and the year after.</w:t>
      </w:r>
    </w:p>
    <w:p>
      <w:pPr>
        <w:pStyle w:val="BodyText"/>
        <w:spacing w:before="9"/>
        <w:rPr>
          <w:sz w:val="16"/>
        </w:rPr>
      </w:pPr>
    </w:p>
    <w:p>
      <w:pPr>
        <w:pStyle w:val="ListParagraph"/>
        <w:numPr>
          <w:ilvl w:val="0"/>
          <w:numId w:val="41"/>
        </w:numPr>
        <w:tabs>
          <w:tab w:pos="620" w:val="left" w:leader="none"/>
          <w:tab w:pos="621" w:val="left" w:leader="none"/>
        </w:tabs>
        <w:spacing w:line="232" w:lineRule="auto" w:before="0" w:after="0"/>
        <w:ind w:left="140" w:right="42" w:firstLine="0"/>
        <w:jc w:val="left"/>
        <w:rPr>
          <w:sz w:val="18"/>
        </w:rPr>
      </w:pPr>
      <w:r>
        <w:rPr>
          <w:color w:val="231F20"/>
          <w:sz w:val="18"/>
        </w:rPr>
        <w:t>The latest BRC survey indicated a slowdown in retail sales in August. This was consistent with suggestions that the immediate effect of the windfalls had begun to tail off, although it was also noted that much of the windfall expenditure, for example on cars and foreign holidays, would not be captured by the retail sales measure. It was also pointed out that other survey and anecdotal evidence, and the data from some retail groups, pointed to a weaker August than July; and that this would be consistent with the M0 data.</w:t>
      </w:r>
    </w:p>
    <w:p>
      <w:pPr>
        <w:pStyle w:val="BodyText"/>
        <w:spacing w:before="9"/>
        <w:rPr>
          <w:sz w:val="16"/>
        </w:rPr>
      </w:pPr>
    </w:p>
    <w:p>
      <w:pPr>
        <w:pStyle w:val="ListParagraph"/>
        <w:numPr>
          <w:ilvl w:val="0"/>
          <w:numId w:val="41"/>
        </w:numPr>
        <w:tabs>
          <w:tab w:pos="620" w:val="left" w:leader="none"/>
          <w:tab w:pos="621" w:val="left" w:leader="none"/>
        </w:tabs>
        <w:spacing w:line="232" w:lineRule="auto" w:before="1" w:after="0"/>
        <w:ind w:left="139" w:right="73" w:firstLine="0"/>
        <w:jc w:val="left"/>
        <w:rPr>
          <w:sz w:val="18"/>
        </w:rPr>
      </w:pPr>
      <w:r>
        <w:rPr>
          <w:color w:val="231F20"/>
          <w:sz w:val="18"/>
        </w:rPr>
        <w:t>Overall the Committee thought that the M</w:t>
      </w:r>
      <w:r>
        <w:rPr>
          <w:color w:val="231F20"/>
          <w:sz w:val="14"/>
        </w:rPr>
        <w:t>ORI </w:t>
      </w:r>
      <w:r>
        <w:rPr>
          <w:color w:val="231F20"/>
          <w:sz w:val="18"/>
        </w:rPr>
        <w:t>survey results, taken on their own, suggested that windfalls posed a smaller </w:t>
      </w:r>
      <w:r>
        <w:rPr>
          <w:color w:val="231F20"/>
          <w:spacing w:val="-3"/>
          <w:sz w:val="18"/>
        </w:rPr>
        <w:t>upside </w:t>
      </w:r>
      <w:r>
        <w:rPr>
          <w:color w:val="231F20"/>
          <w:sz w:val="18"/>
        </w:rPr>
        <w:t>risk to the central projection in the </w:t>
      </w:r>
      <w:r>
        <w:rPr>
          <w:i/>
          <w:color w:val="231F20"/>
          <w:sz w:val="18"/>
        </w:rPr>
        <w:t>Inflation Report </w:t>
      </w:r>
      <w:r>
        <w:rPr>
          <w:color w:val="231F20"/>
          <w:sz w:val="18"/>
        </w:rPr>
        <w:t>than had earlier been thought. The M</w:t>
      </w:r>
      <w:r>
        <w:rPr>
          <w:color w:val="231F20"/>
          <w:sz w:val="14"/>
        </w:rPr>
        <w:t>ORI </w:t>
      </w:r>
      <w:r>
        <w:rPr>
          <w:color w:val="231F20"/>
          <w:sz w:val="18"/>
        </w:rPr>
        <w:t>survey had not confirmed some of the more extreme estimates which had been suggested.</w:t>
      </w:r>
    </w:p>
    <w:p>
      <w:pPr>
        <w:pStyle w:val="BodyText"/>
        <w:rPr>
          <w:sz w:val="17"/>
        </w:rPr>
      </w:pPr>
    </w:p>
    <w:p>
      <w:pPr>
        <w:pStyle w:val="ListParagraph"/>
        <w:numPr>
          <w:ilvl w:val="0"/>
          <w:numId w:val="41"/>
        </w:numPr>
        <w:tabs>
          <w:tab w:pos="619" w:val="left" w:leader="none"/>
          <w:tab w:pos="620" w:val="left" w:leader="none"/>
        </w:tabs>
        <w:spacing w:line="232" w:lineRule="auto" w:before="0" w:after="0"/>
        <w:ind w:left="139" w:right="83" w:firstLine="0"/>
        <w:jc w:val="left"/>
        <w:rPr>
          <w:sz w:val="18"/>
        </w:rPr>
      </w:pPr>
      <w:r>
        <w:rPr>
          <w:color w:val="231F20"/>
          <w:sz w:val="18"/>
        </w:rPr>
        <w:t>Moving on to fixed investment, Committee members discussed the preliminary aggregate data which showed investment barely rising. By contrast some sectoral data showed investment rising robustly in the second quarter, and it seemed unlikely that those sectors for which data were not yet available—private residential and public sector investment—would have fallen sufficiently sharply to validate the aggregate data. The Committee therefore thought that the aggregate figure might be revised upwards.</w:t>
      </w:r>
    </w:p>
    <w:p>
      <w:pPr>
        <w:pStyle w:val="BodyText"/>
        <w:spacing w:before="9"/>
        <w:rPr>
          <w:sz w:val="16"/>
        </w:rPr>
      </w:pPr>
    </w:p>
    <w:p>
      <w:pPr>
        <w:pStyle w:val="ListParagraph"/>
        <w:numPr>
          <w:ilvl w:val="0"/>
          <w:numId w:val="41"/>
        </w:numPr>
        <w:tabs>
          <w:tab w:pos="619" w:val="left" w:leader="none"/>
          <w:tab w:pos="620" w:val="left" w:leader="none"/>
        </w:tabs>
        <w:spacing w:line="232" w:lineRule="auto" w:before="0" w:after="0"/>
        <w:ind w:left="139" w:right="43" w:firstLine="0"/>
        <w:jc w:val="left"/>
        <w:rPr>
          <w:sz w:val="18"/>
        </w:rPr>
      </w:pPr>
      <w:r>
        <w:rPr>
          <w:color w:val="231F20"/>
          <w:sz w:val="18"/>
        </w:rPr>
        <w:t>As for external trade, the Committee noted the suggestions by Bank staff that import prices for the European Union might </w:t>
      </w:r>
      <w:r>
        <w:rPr>
          <w:color w:val="231F20"/>
          <w:spacing w:val="-5"/>
          <w:sz w:val="18"/>
        </w:rPr>
        <w:t>have </w:t>
      </w:r>
      <w:r>
        <w:rPr>
          <w:color w:val="231F20"/>
          <w:sz w:val="18"/>
        </w:rPr>
        <w:t>been overestimated and import volumes commensurately underestimated. If this proved true, it would imply that the</w:t>
      </w:r>
    </w:p>
    <w:p>
      <w:pPr>
        <w:pStyle w:val="BodyText"/>
        <w:spacing w:line="232" w:lineRule="auto" w:before="98"/>
        <w:ind w:left="139" w:right="197"/>
      </w:pPr>
      <w:r>
        <w:rPr/>
        <w:br w:type="column"/>
      </w:r>
      <w:r>
        <w:rPr>
          <w:color w:val="231F20"/>
        </w:rPr>
        <w:t>domestic value added component of UK inflation would have been correspondingly higher, since there was no evidence of distortions to the RPI, and a higher level of domestically generated inflation would be a cause for concern.</w:t>
      </w:r>
    </w:p>
    <w:p>
      <w:pPr>
        <w:pStyle w:val="BodyText"/>
        <w:spacing w:before="1"/>
        <w:rPr>
          <w:sz w:val="17"/>
        </w:rPr>
      </w:pPr>
    </w:p>
    <w:p>
      <w:pPr>
        <w:pStyle w:val="ListParagraph"/>
        <w:numPr>
          <w:ilvl w:val="0"/>
          <w:numId w:val="41"/>
        </w:numPr>
        <w:tabs>
          <w:tab w:pos="619" w:val="left" w:leader="none"/>
          <w:tab w:pos="620" w:val="left" w:leader="none"/>
        </w:tabs>
        <w:spacing w:line="232" w:lineRule="auto" w:before="0" w:after="0"/>
        <w:ind w:left="139" w:right="259" w:firstLine="0"/>
        <w:jc w:val="left"/>
        <w:rPr>
          <w:sz w:val="18"/>
        </w:rPr>
      </w:pPr>
      <w:r>
        <w:rPr>
          <w:color w:val="231F20"/>
          <w:sz w:val="18"/>
        </w:rPr>
        <w:t>The Committee reviewed the puzzling relationship </w:t>
      </w:r>
      <w:r>
        <w:rPr>
          <w:color w:val="231F20"/>
          <w:spacing w:val="-3"/>
          <w:sz w:val="18"/>
        </w:rPr>
        <w:t>between </w:t>
      </w:r>
      <w:r>
        <w:rPr>
          <w:color w:val="231F20"/>
          <w:sz w:val="18"/>
        </w:rPr>
        <w:t>the rising exchange rate and robust trade volumes. It was agreed that modelling trade was problematic, in other countries as in the United Kingdom, with income and relative price effects rarely providing a complete explanation of the data. Time trends to capture other influences were frequently used but were not informative. One possible view was that there had been a fundamental improvement in the United Kingdom’s underlying trade performance which had led to, and to some extent offset, sterling appreciation. Another view was that the lags in transmitting exchange rate movements were longer than expected. Firms would try to maintain export market share in the face of uncertainty about how long sterling’s appreciation would be sustained. For at least some firms, the strength of domestic margins would have helped them absorb the squeeze on export margins. On this view the impact of the appreciation would eventually come through, although sterling’s recent retreat might moderate its scale.</w:t>
      </w:r>
    </w:p>
    <w:p>
      <w:pPr>
        <w:pStyle w:val="BodyText"/>
        <w:spacing w:before="7"/>
        <w:rPr>
          <w:sz w:val="19"/>
        </w:rPr>
      </w:pPr>
    </w:p>
    <w:p>
      <w:pPr>
        <w:pStyle w:val="ListParagraph"/>
        <w:numPr>
          <w:ilvl w:val="0"/>
          <w:numId w:val="41"/>
        </w:numPr>
        <w:tabs>
          <w:tab w:pos="619" w:val="left" w:leader="none"/>
          <w:tab w:pos="620" w:val="left" w:leader="none"/>
        </w:tabs>
        <w:spacing w:line="232" w:lineRule="auto" w:before="0" w:after="0"/>
        <w:ind w:left="139" w:right="244" w:firstLine="0"/>
        <w:jc w:val="left"/>
        <w:rPr>
          <w:sz w:val="18"/>
        </w:rPr>
      </w:pPr>
      <w:r>
        <w:rPr>
          <w:color w:val="231F20"/>
          <w:sz w:val="18"/>
        </w:rPr>
        <w:t>Committee members noted that the survey evidence continued to point to a deteriorating export outlook. Whilst the most recent data for continental economies suggested that economic growth was picking up, much of this was export rather than domestic demand led. The recent financial crises in Asia would tend to reduce external demand but, unless the problems became more widespread, probably not by a significant amount or for very long. Overall the Committee saw no reason to change </w:t>
      </w:r>
      <w:r>
        <w:rPr>
          <w:color w:val="231F20"/>
          <w:spacing w:val="-6"/>
          <w:sz w:val="18"/>
        </w:rPr>
        <w:t>the </w:t>
      </w:r>
      <w:r>
        <w:rPr>
          <w:color w:val="231F20"/>
          <w:sz w:val="18"/>
        </w:rPr>
        <w:t>central projection of the August </w:t>
      </w:r>
      <w:r>
        <w:rPr>
          <w:i/>
          <w:color w:val="231F20"/>
          <w:sz w:val="18"/>
        </w:rPr>
        <w:t>Inflation Report</w:t>
      </w:r>
      <w:r>
        <w:rPr>
          <w:color w:val="231F20"/>
          <w:sz w:val="18"/>
        </w:rPr>
        <w:t>, that the appreciation of sterling since August would cause net exports to make a significant negative contribution to GDP over the next </w:t>
      </w:r>
      <w:r>
        <w:rPr>
          <w:color w:val="231F20"/>
          <w:spacing w:val="-4"/>
          <w:sz w:val="18"/>
        </w:rPr>
        <w:t>two </w:t>
      </w:r>
      <w:r>
        <w:rPr>
          <w:color w:val="231F20"/>
          <w:sz w:val="18"/>
        </w:rPr>
        <w:t>years.</w:t>
      </w:r>
    </w:p>
    <w:p>
      <w:pPr>
        <w:pStyle w:val="BodyText"/>
        <w:spacing w:before="8"/>
        <w:rPr>
          <w:sz w:val="16"/>
        </w:rPr>
      </w:pPr>
    </w:p>
    <w:p>
      <w:pPr>
        <w:pStyle w:val="ListParagraph"/>
        <w:numPr>
          <w:ilvl w:val="0"/>
          <w:numId w:val="41"/>
        </w:numPr>
        <w:tabs>
          <w:tab w:pos="620" w:val="left" w:leader="none"/>
          <w:tab w:pos="621" w:val="left" w:leader="none"/>
        </w:tabs>
        <w:spacing w:line="232" w:lineRule="auto" w:before="0" w:after="0"/>
        <w:ind w:left="139" w:right="188" w:firstLine="0"/>
        <w:jc w:val="left"/>
        <w:rPr>
          <w:sz w:val="18"/>
        </w:rPr>
      </w:pPr>
      <w:r>
        <w:rPr>
          <w:color w:val="231F20"/>
          <w:sz w:val="18"/>
        </w:rPr>
        <w:t>The Committee noted the evidence, including the latest C</w:t>
      </w:r>
      <w:r>
        <w:rPr>
          <w:color w:val="231F20"/>
          <w:sz w:val="14"/>
        </w:rPr>
        <w:t>IPS </w:t>
      </w:r>
      <w:r>
        <w:rPr>
          <w:color w:val="231F20"/>
          <w:sz w:val="18"/>
        </w:rPr>
        <w:t>survey, that service sector output, whilst still growing strongly, </w:t>
      </w:r>
      <w:r>
        <w:rPr>
          <w:color w:val="231F20"/>
          <w:spacing w:val="-6"/>
          <w:sz w:val="18"/>
        </w:rPr>
        <w:t>had </w:t>
      </w:r>
      <w:r>
        <w:rPr>
          <w:color w:val="231F20"/>
          <w:sz w:val="18"/>
        </w:rPr>
        <w:t>decelerated a bit in Q3, following strong recorded growth in Q2. Meanwhile the latest industrial production data contained significant back revisions, suggesting that Q2 GDP growth might be revised upwards slightly. Manufacturing output looked less weak in recent months than had previously been the case.</w:t>
      </w:r>
    </w:p>
    <w:p>
      <w:pPr>
        <w:pStyle w:val="BodyText"/>
        <w:spacing w:before="11"/>
        <w:rPr>
          <w:sz w:val="19"/>
        </w:rPr>
      </w:pPr>
    </w:p>
    <w:p>
      <w:pPr>
        <w:spacing w:before="0"/>
        <w:ind w:left="139" w:right="0" w:firstLine="0"/>
        <w:jc w:val="left"/>
        <w:rPr>
          <w:i/>
          <w:sz w:val="18"/>
        </w:rPr>
      </w:pPr>
      <w:r>
        <w:rPr>
          <w:i/>
          <w:color w:val="009483"/>
          <w:sz w:val="18"/>
        </w:rPr>
        <w:t>Asset prices</w:t>
      </w:r>
    </w:p>
    <w:p>
      <w:pPr>
        <w:pStyle w:val="BodyText"/>
        <w:spacing w:before="2"/>
        <w:rPr>
          <w:i/>
          <w:sz w:val="17"/>
        </w:rPr>
      </w:pPr>
    </w:p>
    <w:p>
      <w:pPr>
        <w:pStyle w:val="ListParagraph"/>
        <w:numPr>
          <w:ilvl w:val="0"/>
          <w:numId w:val="41"/>
        </w:numPr>
        <w:tabs>
          <w:tab w:pos="619" w:val="left" w:leader="none"/>
          <w:tab w:pos="621" w:val="left" w:leader="none"/>
        </w:tabs>
        <w:spacing w:line="232" w:lineRule="auto" w:before="0" w:after="0"/>
        <w:ind w:left="139" w:right="149" w:firstLine="0"/>
        <w:jc w:val="left"/>
        <w:rPr>
          <w:sz w:val="18"/>
        </w:rPr>
      </w:pPr>
      <w:r>
        <w:rPr>
          <w:color w:val="231F20"/>
          <w:sz w:val="18"/>
        </w:rPr>
        <w:t>The Committee turned its attention to asset prices, particularly equities and the housing market, noting that recent </w:t>
      </w:r>
      <w:r>
        <w:rPr>
          <w:color w:val="231F20"/>
          <w:spacing w:val="-4"/>
          <w:sz w:val="18"/>
        </w:rPr>
        <w:t>rises </w:t>
      </w:r>
      <w:r>
        <w:rPr>
          <w:color w:val="231F20"/>
          <w:sz w:val="18"/>
        </w:rPr>
        <w:t>had been dominated by particular sectors (in the equity market) and particular regions (in the housing market). Even at the aggregate level not all asset prices had been growing strongly. For example, although Tobin’s Q, which is the ratio of the market valuation of ICCs to the replacement cost of their capital stock, is estimated to have been exceptionally strong in the 1990s, the prices of industrial, retail and office property had been growing this year by only 3%–4% per annum, after falling by between 5%–10% during 1995.</w:t>
      </w:r>
    </w:p>
    <w:p>
      <w:pPr>
        <w:pStyle w:val="BodyText"/>
        <w:spacing w:before="7"/>
        <w:rPr>
          <w:sz w:val="16"/>
        </w:rPr>
      </w:pPr>
    </w:p>
    <w:p>
      <w:pPr>
        <w:pStyle w:val="ListParagraph"/>
        <w:numPr>
          <w:ilvl w:val="0"/>
          <w:numId w:val="41"/>
        </w:numPr>
        <w:tabs>
          <w:tab w:pos="619" w:val="left" w:leader="none"/>
          <w:tab w:pos="621" w:val="left" w:leader="none"/>
        </w:tabs>
        <w:spacing w:line="232" w:lineRule="auto" w:before="1" w:after="0"/>
        <w:ind w:left="139" w:right="224" w:firstLine="0"/>
        <w:jc w:val="left"/>
        <w:rPr>
          <w:sz w:val="18"/>
        </w:rPr>
      </w:pPr>
      <w:r>
        <w:rPr>
          <w:color w:val="231F20"/>
          <w:sz w:val="18"/>
        </w:rPr>
        <w:t>As regards house prices, it was hard to interpret the latest data, given the increasing divergence between the Halifax index, with its longer track record and bigger sample, and the Nationwide index, which was showing faster growth in line with DoE data. Part of the rapid rise in house prices may have represented a bounceback from the low levels associated with debt deflation in the late 1980s and early 1990s. On this view, house price</w:t>
      </w:r>
      <w:r>
        <w:rPr>
          <w:color w:val="231F20"/>
          <w:spacing w:val="-12"/>
          <w:sz w:val="18"/>
        </w:rPr>
        <w:t> </w:t>
      </w:r>
      <w:r>
        <w:rPr>
          <w:color w:val="231F20"/>
          <w:sz w:val="18"/>
        </w:rPr>
        <w:t>inflation</w:t>
      </w:r>
    </w:p>
    <w:p>
      <w:pPr>
        <w:spacing w:after="0" w:line="232" w:lineRule="auto"/>
        <w:jc w:val="left"/>
        <w:rPr>
          <w:sz w:val="18"/>
        </w:rPr>
        <w:sectPr>
          <w:type w:val="continuous"/>
          <w:pgSz w:w="11900" w:h="16840"/>
          <w:pgMar w:top="1040" w:bottom="280" w:left="660" w:right="680"/>
          <w:cols w:num="2" w:equalWidth="0">
            <w:col w:w="5069" w:space="311"/>
            <w:col w:w="5180"/>
          </w:cols>
        </w:sectPr>
      </w:pPr>
    </w:p>
    <w:p>
      <w:pPr>
        <w:pStyle w:val="BodyText"/>
        <w:spacing w:before="10"/>
        <w:rPr>
          <w:sz w:val="29"/>
        </w:rPr>
      </w:pPr>
    </w:p>
    <w:p>
      <w:pPr>
        <w:spacing w:after="0"/>
        <w:rPr>
          <w:sz w:val="29"/>
        </w:rPr>
        <w:sectPr>
          <w:pgSz w:w="11900" w:h="16840"/>
          <w:pgMar w:header="566" w:footer="597" w:top="800" w:bottom="780" w:left="660" w:right="680"/>
        </w:sectPr>
      </w:pPr>
    </w:p>
    <w:p>
      <w:pPr>
        <w:pStyle w:val="BodyText"/>
        <w:spacing w:line="232" w:lineRule="auto" w:before="99"/>
        <w:ind w:left="160" w:right="27"/>
      </w:pPr>
      <w:r>
        <w:rPr>
          <w:color w:val="231F20"/>
        </w:rPr>
        <w:t>should moderate as debt:income ratios fall back to more normal levels. This could explain the recent moderation in the Halifax index. However the Nationwide and DoE indices were less reassuring. The Committee noted that rising house prices would have contributed to the rise in consumer confidence reported by surveys. These surveys were regarded as corroborative, rather than independent, evidence of strong consumer demand.</w:t>
      </w:r>
    </w:p>
    <w:p>
      <w:pPr>
        <w:pStyle w:val="BodyText"/>
        <w:spacing w:before="10"/>
        <w:rPr>
          <w:sz w:val="16"/>
        </w:rPr>
      </w:pPr>
    </w:p>
    <w:p>
      <w:pPr>
        <w:pStyle w:val="ListParagraph"/>
        <w:numPr>
          <w:ilvl w:val="0"/>
          <w:numId w:val="41"/>
        </w:numPr>
        <w:tabs>
          <w:tab w:pos="639" w:val="left" w:leader="none"/>
          <w:tab w:pos="641" w:val="left" w:leader="none"/>
        </w:tabs>
        <w:spacing w:line="232" w:lineRule="auto" w:before="0" w:after="0"/>
        <w:ind w:left="160" w:right="373" w:firstLine="0"/>
        <w:jc w:val="left"/>
        <w:rPr>
          <w:sz w:val="18"/>
        </w:rPr>
      </w:pPr>
      <w:r>
        <w:rPr>
          <w:color w:val="231F20"/>
          <w:sz w:val="18"/>
        </w:rPr>
        <w:t>High and rising stock market prices were a concern both because of their immediate contribution to the rapid growth of consumption and because, if they proved unsustainable and </w:t>
      </w:r>
      <w:r>
        <w:rPr>
          <w:color w:val="231F20"/>
          <w:spacing w:val="-5"/>
          <w:sz w:val="18"/>
        </w:rPr>
        <w:t>fell </w:t>
      </w:r>
      <w:r>
        <w:rPr>
          <w:color w:val="231F20"/>
          <w:sz w:val="18"/>
        </w:rPr>
        <w:t>abruptly, they might create a shock to the real economy. Some comfort on the latter point could be taken from the relatively small percentages of loans collateralised against stocks and shares.</w:t>
      </w:r>
    </w:p>
    <w:p>
      <w:pPr>
        <w:pStyle w:val="BodyText"/>
        <w:spacing w:before="8"/>
      </w:pPr>
    </w:p>
    <w:p>
      <w:pPr>
        <w:pStyle w:val="ListParagraph"/>
        <w:numPr>
          <w:ilvl w:val="0"/>
          <w:numId w:val="41"/>
        </w:numPr>
        <w:tabs>
          <w:tab w:pos="639" w:val="left" w:leader="none"/>
          <w:tab w:pos="641" w:val="left" w:leader="none"/>
        </w:tabs>
        <w:spacing w:line="232" w:lineRule="auto" w:before="0" w:after="0"/>
        <w:ind w:left="160" w:right="68" w:firstLine="0"/>
        <w:jc w:val="left"/>
        <w:rPr>
          <w:sz w:val="18"/>
        </w:rPr>
      </w:pPr>
      <w:r>
        <w:rPr>
          <w:color w:val="231F20"/>
          <w:sz w:val="18"/>
        </w:rPr>
        <w:t>The Committee considered the proposition that the impact </w:t>
      </w:r>
      <w:r>
        <w:rPr>
          <w:color w:val="231F20"/>
          <w:spacing w:val="-9"/>
          <w:sz w:val="18"/>
        </w:rPr>
        <w:t>of </w:t>
      </w:r>
      <w:r>
        <w:rPr>
          <w:color w:val="231F20"/>
          <w:sz w:val="18"/>
        </w:rPr>
        <w:t>equity price movements could have been increased by wider share ownership. The number of individuals holding shares had been increased both by the recent demutualisations and by the earlier privatisations, but the aggregate value of direct holdings remained small. The value of equity held indirectly through pensions had significantly increased during the past decade. If equity prices fell sharply, future pensions paid out of defined-contribution schemes might be lower, and companies with defined-benefit pension schemes might have to make larger contributions, so that their shareholders might suffer. The Committee concluded that there was no simple relationship between asset prices and future inflation but it was essential to continue to review asset price developments.</w:t>
      </w:r>
    </w:p>
    <w:p>
      <w:pPr>
        <w:pStyle w:val="BodyText"/>
        <w:spacing w:before="8"/>
        <w:rPr>
          <w:sz w:val="17"/>
        </w:rPr>
      </w:pPr>
    </w:p>
    <w:p>
      <w:pPr>
        <w:spacing w:before="0"/>
        <w:ind w:left="160" w:right="0" w:firstLine="0"/>
        <w:jc w:val="left"/>
        <w:rPr>
          <w:i/>
          <w:sz w:val="18"/>
        </w:rPr>
      </w:pPr>
      <w:r>
        <w:rPr>
          <w:i/>
          <w:color w:val="009483"/>
          <w:sz w:val="18"/>
        </w:rPr>
        <w:t>Money</w:t>
      </w:r>
    </w:p>
    <w:p>
      <w:pPr>
        <w:pStyle w:val="BodyText"/>
        <w:spacing w:before="3"/>
        <w:rPr>
          <w:i/>
          <w:sz w:val="17"/>
        </w:rPr>
      </w:pPr>
    </w:p>
    <w:p>
      <w:pPr>
        <w:pStyle w:val="ListParagraph"/>
        <w:numPr>
          <w:ilvl w:val="0"/>
          <w:numId w:val="41"/>
        </w:numPr>
        <w:tabs>
          <w:tab w:pos="639" w:val="left" w:leader="none"/>
          <w:tab w:pos="641" w:val="left" w:leader="none"/>
        </w:tabs>
        <w:spacing w:line="232" w:lineRule="auto" w:before="0" w:after="0"/>
        <w:ind w:left="160" w:right="158" w:firstLine="0"/>
        <w:jc w:val="left"/>
        <w:rPr>
          <w:sz w:val="18"/>
        </w:rPr>
      </w:pPr>
      <w:r>
        <w:rPr>
          <w:color w:val="231F20"/>
          <w:sz w:val="18"/>
        </w:rPr>
        <w:t>The Committee discussed how to interpret the divergent money data: narrow money had decelerated but broad money, whether measured by M4 or Divisia money, had accelerated. The rise in narrow money velocity might be explained by the period </w:t>
      </w:r>
      <w:r>
        <w:rPr>
          <w:color w:val="231F20"/>
          <w:spacing w:val="-7"/>
          <w:sz w:val="18"/>
        </w:rPr>
        <w:t>of </w:t>
      </w:r>
      <w:r>
        <w:rPr>
          <w:color w:val="231F20"/>
          <w:sz w:val="18"/>
        </w:rPr>
        <w:t>adjustment to a low inflation environment coming to an end, but </w:t>
      </w:r>
      <w:r>
        <w:rPr>
          <w:color w:val="231F20"/>
          <w:spacing w:val="-9"/>
          <w:sz w:val="18"/>
        </w:rPr>
        <w:t>it </w:t>
      </w:r>
      <w:r>
        <w:rPr>
          <w:color w:val="231F20"/>
          <w:sz w:val="18"/>
        </w:rPr>
        <w:t>might also reflect a slowdown in consumer spending.</w:t>
      </w:r>
    </w:p>
    <w:p>
      <w:pPr>
        <w:pStyle w:val="BodyText"/>
        <w:spacing w:before="11"/>
        <w:rPr>
          <w:sz w:val="16"/>
        </w:rPr>
      </w:pPr>
    </w:p>
    <w:p>
      <w:pPr>
        <w:pStyle w:val="ListParagraph"/>
        <w:numPr>
          <w:ilvl w:val="0"/>
          <w:numId w:val="41"/>
        </w:numPr>
        <w:tabs>
          <w:tab w:pos="639" w:val="left" w:leader="none"/>
          <w:tab w:pos="641" w:val="left" w:leader="none"/>
        </w:tabs>
        <w:spacing w:line="232" w:lineRule="auto" w:before="0" w:after="0"/>
        <w:ind w:left="160" w:right="38" w:firstLine="0"/>
        <w:jc w:val="left"/>
        <w:rPr>
          <w:sz w:val="18"/>
        </w:rPr>
      </w:pPr>
      <w:r>
        <w:rPr>
          <w:color w:val="231F20"/>
          <w:sz w:val="18"/>
        </w:rPr>
        <w:t>The Committee noted the divergence between the bank and building society components of retail M4. If the strong inflows </w:t>
      </w:r>
      <w:r>
        <w:rPr>
          <w:color w:val="231F20"/>
          <w:spacing w:val="-5"/>
          <w:sz w:val="18"/>
        </w:rPr>
        <w:t>into </w:t>
      </w:r>
      <w:r>
        <w:rPr>
          <w:color w:val="231F20"/>
          <w:sz w:val="18"/>
        </w:rPr>
        <w:t>building societies had been encouraged by speculation about future demutualisations, then the resulting balances could perhaps be regarded as temporary investment rather than transaction balances. Bank staff were continuing to analyse the significance within M4 </w:t>
      </w:r>
      <w:r>
        <w:rPr>
          <w:color w:val="231F20"/>
          <w:spacing w:val="-9"/>
          <w:sz w:val="18"/>
        </w:rPr>
        <w:t>of </w:t>
      </w:r>
      <w:r>
        <w:rPr>
          <w:color w:val="231F20"/>
          <w:sz w:val="18"/>
        </w:rPr>
        <w:t>OFIs’ holdings but no new information had come to hand.</w:t>
      </w:r>
    </w:p>
    <w:p>
      <w:pPr>
        <w:pStyle w:val="BodyText"/>
        <w:spacing w:before="2"/>
      </w:pPr>
    </w:p>
    <w:p>
      <w:pPr>
        <w:spacing w:before="0"/>
        <w:ind w:left="160" w:right="0" w:firstLine="0"/>
        <w:jc w:val="left"/>
        <w:rPr>
          <w:i/>
          <w:sz w:val="18"/>
        </w:rPr>
      </w:pPr>
      <w:r>
        <w:rPr>
          <w:i/>
          <w:color w:val="009483"/>
          <w:sz w:val="18"/>
        </w:rPr>
        <w:t>Labour market</w:t>
      </w:r>
    </w:p>
    <w:p>
      <w:pPr>
        <w:pStyle w:val="BodyText"/>
        <w:spacing w:before="3"/>
        <w:rPr>
          <w:i/>
          <w:sz w:val="17"/>
        </w:rPr>
      </w:pPr>
    </w:p>
    <w:p>
      <w:pPr>
        <w:pStyle w:val="ListParagraph"/>
        <w:numPr>
          <w:ilvl w:val="0"/>
          <w:numId w:val="41"/>
        </w:numPr>
        <w:tabs>
          <w:tab w:pos="639" w:val="left" w:leader="none"/>
          <w:tab w:pos="641" w:val="left" w:leader="none"/>
        </w:tabs>
        <w:spacing w:line="232" w:lineRule="auto" w:before="0" w:after="0"/>
        <w:ind w:left="160" w:right="58" w:firstLine="0"/>
        <w:jc w:val="left"/>
        <w:rPr>
          <w:sz w:val="18"/>
        </w:rPr>
      </w:pPr>
      <w:r>
        <w:rPr>
          <w:color w:val="231F20"/>
          <w:sz w:val="18"/>
        </w:rPr>
        <w:t>Discussion turned to the state of the labour market. The </w:t>
      </w:r>
      <w:r>
        <w:rPr>
          <w:color w:val="231F20"/>
          <w:spacing w:val="-4"/>
          <w:sz w:val="18"/>
        </w:rPr>
        <w:t>falls </w:t>
      </w:r>
      <w:r>
        <w:rPr>
          <w:color w:val="231F20"/>
          <w:sz w:val="18"/>
        </w:rPr>
        <w:t>in unemployment continued to indicate tightening, although the pace had been exaggerated by the impact of the Jobseeker’s Allowance (JSA) on the claimant count figures.  This distinction did not directly affect unemployment as measured by the Labour Force Survey. Measured in this way, short-term unemployment was now lower than at any time since the Survey was first published in the early 1980s. Business surveys and the Bank Agents’ contacts continued to indicate tightening and skill shortages.</w:t>
      </w:r>
    </w:p>
    <w:p>
      <w:pPr>
        <w:pStyle w:val="BodyText"/>
        <w:spacing w:before="5"/>
      </w:pPr>
    </w:p>
    <w:p>
      <w:pPr>
        <w:pStyle w:val="ListParagraph"/>
        <w:numPr>
          <w:ilvl w:val="0"/>
          <w:numId w:val="41"/>
        </w:numPr>
        <w:tabs>
          <w:tab w:pos="639" w:val="left" w:leader="none"/>
          <w:tab w:pos="641" w:val="left" w:leader="none"/>
        </w:tabs>
        <w:spacing w:line="232" w:lineRule="auto" w:before="0" w:after="0"/>
        <w:ind w:left="160" w:right="213" w:firstLine="0"/>
        <w:jc w:val="left"/>
        <w:rPr>
          <w:sz w:val="18"/>
        </w:rPr>
      </w:pPr>
      <w:r>
        <w:rPr>
          <w:color w:val="231F20"/>
          <w:sz w:val="18"/>
        </w:rPr>
        <w:t>This evidence, together with stable earnings growth, could be taken to imply that the rate of unemployment consistent with </w:t>
      </w:r>
      <w:r>
        <w:rPr>
          <w:color w:val="231F20"/>
          <w:spacing w:val="-18"/>
          <w:sz w:val="18"/>
        </w:rPr>
        <w:t>a </w:t>
      </w:r>
      <w:r>
        <w:rPr>
          <w:color w:val="231F20"/>
          <w:sz w:val="18"/>
        </w:rPr>
        <w:t>stable rate of inflation was lower than previously thought. Job insecurity might have been a stronger factor; or inflation expectations might have been more subdued. But it was also possible that the growth in average earnings could suddenly increase as in the late 1980s after a long period of stability. This remained an upside risk to the central projection for inflation.</w:t>
      </w:r>
    </w:p>
    <w:p>
      <w:pPr>
        <w:pStyle w:val="ListParagraph"/>
        <w:numPr>
          <w:ilvl w:val="0"/>
          <w:numId w:val="41"/>
        </w:numPr>
        <w:tabs>
          <w:tab w:pos="639" w:val="left" w:leader="none"/>
          <w:tab w:pos="641" w:val="left" w:leader="none"/>
        </w:tabs>
        <w:spacing w:line="232" w:lineRule="auto" w:before="98" w:after="0"/>
        <w:ind w:left="160" w:right="139" w:firstLine="0"/>
        <w:jc w:val="left"/>
        <w:rPr>
          <w:sz w:val="18"/>
        </w:rPr>
      </w:pPr>
      <w:r>
        <w:rPr>
          <w:color w:val="231F20"/>
          <w:sz w:val="18"/>
        </w:rPr>
        <w:br w:type="column"/>
        <w:t>The Committee considered the alternative proposition that a significant degree of slack remained in the labour market. Hours worked per week, although rising over the last few years, remained below the peak of the late 1980s; employment as a percentage of the working population showed a similar picture; and the inactivity rate had changed little since the recovery began. Such indicators might suggest that there was still potential to increase employment without reducing unemployment, in which case upward pressure </w:t>
      </w:r>
      <w:r>
        <w:rPr>
          <w:color w:val="231F20"/>
          <w:spacing w:val="-7"/>
          <w:sz w:val="18"/>
        </w:rPr>
        <w:t>on </w:t>
      </w:r>
      <w:r>
        <w:rPr>
          <w:color w:val="231F20"/>
          <w:sz w:val="18"/>
        </w:rPr>
        <w:t>wages would be deferred.</w:t>
      </w:r>
    </w:p>
    <w:p>
      <w:pPr>
        <w:pStyle w:val="ListParagraph"/>
        <w:numPr>
          <w:ilvl w:val="0"/>
          <w:numId w:val="41"/>
        </w:numPr>
        <w:tabs>
          <w:tab w:pos="639" w:val="left" w:leader="none"/>
          <w:tab w:pos="641" w:val="left" w:leader="none"/>
        </w:tabs>
        <w:spacing w:line="232" w:lineRule="auto" w:before="172" w:after="0"/>
        <w:ind w:left="160" w:right="139" w:firstLine="0"/>
        <w:jc w:val="left"/>
        <w:rPr>
          <w:sz w:val="18"/>
        </w:rPr>
      </w:pPr>
      <w:r>
        <w:rPr>
          <w:color w:val="231F20"/>
          <w:sz w:val="18"/>
        </w:rPr>
        <w:t>The Committee concluded that uncertainties remained about how much further tightening of the labour market could be tolerated without generating upward pressure on wages. It would be unwise in the current state of knowledge to take a strong view about the level of the natural rate of unemployment; but it remained essential to monitor closely wage settlements and </w:t>
      </w:r>
      <w:r>
        <w:rPr>
          <w:color w:val="231F20"/>
          <w:spacing w:val="-3"/>
          <w:sz w:val="18"/>
        </w:rPr>
        <w:t>average </w:t>
      </w:r>
      <w:r>
        <w:rPr>
          <w:color w:val="231F20"/>
          <w:sz w:val="18"/>
        </w:rPr>
        <w:t>earnings.</w:t>
      </w:r>
    </w:p>
    <w:p>
      <w:pPr>
        <w:spacing w:before="170"/>
        <w:ind w:left="160" w:right="0" w:firstLine="0"/>
        <w:jc w:val="left"/>
        <w:rPr>
          <w:i/>
          <w:sz w:val="18"/>
        </w:rPr>
      </w:pPr>
      <w:r>
        <w:rPr>
          <w:i/>
          <w:color w:val="009483"/>
          <w:sz w:val="18"/>
        </w:rPr>
        <w:t>Financial markets</w:t>
      </w:r>
    </w:p>
    <w:p>
      <w:pPr>
        <w:pStyle w:val="ListParagraph"/>
        <w:numPr>
          <w:ilvl w:val="0"/>
          <w:numId w:val="41"/>
        </w:numPr>
        <w:tabs>
          <w:tab w:pos="639" w:val="left" w:leader="none"/>
          <w:tab w:pos="641" w:val="left" w:leader="none"/>
        </w:tabs>
        <w:spacing w:line="232" w:lineRule="auto" w:before="158" w:after="0"/>
        <w:ind w:left="160" w:right="173" w:firstLine="0"/>
        <w:jc w:val="left"/>
        <w:rPr>
          <w:sz w:val="18"/>
        </w:rPr>
      </w:pPr>
      <w:r>
        <w:rPr>
          <w:color w:val="231F20"/>
          <w:sz w:val="18"/>
        </w:rPr>
        <w:t>The Committee discussed the main market movements </w:t>
      </w:r>
      <w:r>
        <w:rPr>
          <w:color w:val="231F20"/>
          <w:spacing w:val="-4"/>
          <w:sz w:val="18"/>
        </w:rPr>
        <w:t>since </w:t>
      </w:r>
      <w:r>
        <w:rPr>
          <w:color w:val="231F20"/>
          <w:sz w:val="18"/>
        </w:rPr>
        <w:t>the August meeting. The exchange rate had fallen, particularly against the Deutsche Mark, but the fall in the UK yield curve relative to that abroad immediately following the August meeting had since been reversed, so that changes in relative monetary conditions did not appear to have contributed significantly to the fall in sterling. The Committee discussed whether sterling’s fall could be explained by changed views about the prospect for EMU. The chances of countries meeting the fiscal convergence criteria were perceived by the market to have increased, as continental economies recovered. Bond market data showed no evidence of a prospective high-inflation euro, but nor had they for some time. A more confident market view towards the euro may have lessened the attraction of sterling as a safe haven currency.</w:t>
      </w:r>
    </w:p>
    <w:p>
      <w:pPr>
        <w:pStyle w:val="BodyText"/>
        <w:rPr>
          <w:sz w:val="16"/>
        </w:rPr>
      </w:pPr>
    </w:p>
    <w:p>
      <w:pPr>
        <w:spacing w:before="0"/>
        <w:ind w:left="160" w:right="0" w:firstLine="0"/>
        <w:jc w:val="left"/>
        <w:rPr>
          <w:i/>
          <w:sz w:val="18"/>
        </w:rPr>
      </w:pPr>
      <w:r>
        <w:rPr>
          <w:i/>
          <w:color w:val="009483"/>
          <w:sz w:val="18"/>
        </w:rPr>
        <w:t>Summary and policy conclusion</w:t>
      </w:r>
    </w:p>
    <w:p>
      <w:pPr>
        <w:pStyle w:val="ListParagraph"/>
        <w:numPr>
          <w:ilvl w:val="0"/>
          <w:numId w:val="41"/>
        </w:numPr>
        <w:tabs>
          <w:tab w:pos="639" w:val="left" w:leader="none"/>
          <w:tab w:pos="641" w:val="left" w:leader="none"/>
        </w:tabs>
        <w:spacing w:line="232" w:lineRule="auto" w:before="158" w:after="0"/>
        <w:ind w:left="160" w:right="194" w:firstLine="0"/>
        <w:jc w:val="left"/>
        <w:rPr>
          <w:sz w:val="18"/>
        </w:rPr>
      </w:pPr>
      <w:r>
        <w:rPr>
          <w:color w:val="231F20"/>
          <w:sz w:val="18"/>
        </w:rPr>
        <w:t>The Committee agreed that the evidence over the last </w:t>
      </w:r>
      <w:r>
        <w:rPr>
          <w:color w:val="231F20"/>
          <w:spacing w:val="-4"/>
          <w:sz w:val="18"/>
        </w:rPr>
        <w:t>month </w:t>
      </w:r>
      <w:r>
        <w:rPr>
          <w:color w:val="231F20"/>
          <w:sz w:val="18"/>
        </w:rPr>
        <w:t>did not point conclusively in either direction, nor resolve the main uncertainties. The upward revisions to industrial production suggested that GDP might have been a little higher in Q2 than earlier thought. The survey evidence on windfalls provided some reassurance that one of the upside risks to the Bank’s central projection for inflation might prove less serious than earlier thought. There were uncertainties about the trend in house prices; whilst equity prices remained an upside risk although no more so than last month. There was no new evidence on the pace and impact of fiscal consolidation. The trade data continued to be stronger than expected, and their future deterioration remained uncertain. M4 remained a clear upside risk. The possibility that labour costs might suddenly accelerate sharply, as in the 1980s, could not be excluded but equally some remaining degree of slack in the labour market could not be ruled out.</w:t>
      </w:r>
    </w:p>
    <w:p>
      <w:pPr>
        <w:pStyle w:val="BodyText"/>
        <w:spacing w:before="3"/>
        <w:rPr>
          <w:sz w:val="16"/>
        </w:rPr>
      </w:pPr>
    </w:p>
    <w:p>
      <w:pPr>
        <w:pStyle w:val="ListParagraph"/>
        <w:numPr>
          <w:ilvl w:val="0"/>
          <w:numId w:val="41"/>
        </w:numPr>
        <w:tabs>
          <w:tab w:pos="639" w:val="left" w:leader="none"/>
          <w:tab w:pos="641" w:val="left" w:leader="none"/>
        </w:tabs>
        <w:spacing w:line="232" w:lineRule="auto" w:before="0" w:after="0"/>
        <w:ind w:left="160" w:right="149" w:hanging="1"/>
        <w:jc w:val="left"/>
        <w:rPr>
          <w:sz w:val="18"/>
        </w:rPr>
      </w:pPr>
      <w:r>
        <w:rPr>
          <w:color w:val="231F20"/>
          <w:sz w:val="18"/>
        </w:rPr>
        <w:t>In the light of the conclusion of the August </w:t>
      </w:r>
      <w:r>
        <w:rPr>
          <w:i/>
          <w:color w:val="231F20"/>
          <w:sz w:val="18"/>
        </w:rPr>
        <w:t>Inflation Report</w:t>
      </w:r>
      <w:r>
        <w:rPr>
          <w:color w:val="231F20"/>
          <w:sz w:val="18"/>
        </w:rPr>
        <w:t>, and the fact that the subsequent evidence did not point </w:t>
      </w:r>
      <w:r>
        <w:rPr>
          <w:color w:val="231F20"/>
          <w:spacing w:val="-2"/>
          <w:sz w:val="18"/>
        </w:rPr>
        <w:t>conclusively </w:t>
      </w:r>
      <w:r>
        <w:rPr>
          <w:color w:val="231F20"/>
          <w:sz w:val="18"/>
        </w:rPr>
        <w:t>in either direction, the Committee voted unanimously to leave interest rates unchanged.</w:t>
      </w:r>
    </w:p>
    <w:p>
      <w:pPr>
        <w:pStyle w:val="ListParagraph"/>
        <w:numPr>
          <w:ilvl w:val="0"/>
          <w:numId w:val="41"/>
        </w:numPr>
        <w:tabs>
          <w:tab w:pos="640" w:val="left" w:leader="none"/>
          <w:tab w:pos="641" w:val="left" w:leader="none"/>
        </w:tabs>
        <w:spacing w:line="400" w:lineRule="exact" w:before="40" w:after="0"/>
        <w:ind w:left="640" w:right="493" w:hanging="481"/>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640"/>
      </w:pPr>
      <w:r>
        <w:rPr>
          <w:color w:val="231F20"/>
        </w:rPr>
        <w:t>David Clementi (Deputy Governor)</w:t>
      </w:r>
    </w:p>
    <w:p>
      <w:pPr>
        <w:pStyle w:val="BodyText"/>
        <w:spacing w:line="232" w:lineRule="auto" w:before="1"/>
        <w:ind w:left="640" w:right="3245"/>
      </w:pPr>
      <w:r>
        <w:rPr>
          <w:color w:val="231F20"/>
        </w:rPr>
        <w:t>Willem Buiter Charles Goodhart DeAnne Julius Mervyn King</w:t>
      </w:r>
    </w:p>
    <w:p>
      <w:pPr>
        <w:pStyle w:val="BodyText"/>
        <w:spacing w:line="199" w:lineRule="exact"/>
        <w:ind w:left="640"/>
      </w:pPr>
      <w:r>
        <w:rPr>
          <w:color w:val="231F20"/>
        </w:rPr>
        <w:t>Ian Plenderleith</w:t>
      </w:r>
    </w:p>
    <w:p>
      <w:pPr>
        <w:pStyle w:val="BodyText"/>
        <w:spacing w:before="9"/>
        <w:rPr>
          <w:sz w:val="16"/>
        </w:rPr>
      </w:pPr>
    </w:p>
    <w:p>
      <w:pPr>
        <w:pStyle w:val="BodyText"/>
        <w:ind w:left="160"/>
      </w:pPr>
      <w:r>
        <w:rPr>
          <w:color w:val="231F20"/>
        </w:rPr>
        <w:t>Sir Alan Budd was also present as the Treasury’s representative.</w:t>
      </w:r>
    </w:p>
    <w:p>
      <w:pPr>
        <w:spacing w:after="0"/>
        <w:sectPr>
          <w:type w:val="continuous"/>
          <w:pgSz w:w="11900" w:h="16840"/>
          <w:pgMar w:top="1040" w:bottom="280" w:left="660" w:right="680"/>
          <w:cols w:num="2" w:equalWidth="0">
            <w:col w:w="5100" w:space="280"/>
            <w:col w:w="5180"/>
          </w:cols>
        </w:sectPr>
      </w:pPr>
    </w:p>
    <w:p>
      <w:pPr>
        <w:pStyle w:val="BodyText"/>
        <w:spacing w:before="7"/>
        <w:rPr>
          <w:sz w:val="27"/>
        </w:rPr>
      </w:pPr>
    </w:p>
    <w:p>
      <w:pPr>
        <w:pStyle w:val="Heading1"/>
        <w:tabs>
          <w:tab w:pos="1389" w:val="left" w:leader="none"/>
        </w:tabs>
        <w:ind w:left="154"/>
      </w:pPr>
      <w:bookmarkStart w:name="Summary of data presented by Bank staff" w:id="105"/>
      <w:bookmarkEnd w:id="105"/>
      <w:r>
        <w:rPr>
          <w:b w:val="0"/>
        </w:rPr>
      </w:r>
      <w:r>
        <w:rPr>
          <w:color w:val="009483"/>
        </w:rPr>
        <w:t>Annex:</w:t>
        <w:tab/>
        <w:t>Summary of data presented by Bank</w:t>
      </w:r>
      <w:r>
        <w:rPr>
          <w:color w:val="009483"/>
          <w:spacing w:val="-2"/>
        </w:rPr>
        <w:t> </w:t>
      </w:r>
      <w:r>
        <w:rPr>
          <w:color w:val="009483"/>
        </w:rPr>
        <w:t>staff</w:t>
      </w:r>
    </w:p>
    <w:p>
      <w:pPr>
        <w:pStyle w:val="BodyText"/>
        <w:rPr>
          <w:b/>
          <w:sz w:val="20"/>
        </w:rPr>
      </w:pPr>
    </w:p>
    <w:p>
      <w:pPr>
        <w:pStyle w:val="BodyText"/>
        <w:rPr>
          <w:b/>
          <w:sz w:val="20"/>
        </w:rPr>
      </w:pPr>
    </w:p>
    <w:p>
      <w:pPr>
        <w:spacing w:after="0"/>
        <w:rPr>
          <w:sz w:val="20"/>
        </w:rPr>
        <w:sectPr>
          <w:pgSz w:w="11900" w:h="16840"/>
          <w:pgMar w:header="566" w:footer="597" w:top="800" w:bottom="780" w:left="660" w:right="680"/>
        </w:sectPr>
      </w:pPr>
    </w:p>
    <w:p>
      <w:pPr>
        <w:pStyle w:val="BodyText"/>
        <w:spacing w:before="5"/>
        <w:rPr>
          <w:b/>
          <w:sz w:val="23"/>
        </w:rPr>
      </w:pPr>
    </w:p>
    <w:p>
      <w:pPr>
        <w:pStyle w:val="ListParagraph"/>
        <w:numPr>
          <w:ilvl w:val="0"/>
          <w:numId w:val="42"/>
        </w:numPr>
        <w:tabs>
          <w:tab w:pos="634" w:val="left" w:leader="none"/>
          <w:tab w:pos="635" w:val="left" w:leader="none"/>
        </w:tabs>
        <w:spacing w:line="232" w:lineRule="auto" w:before="1" w:after="0"/>
        <w:ind w:left="154" w:right="112" w:firstLine="0"/>
        <w:jc w:val="left"/>
        <w:rPr>
          <w:sz w:val="18"/>
        </w:rPr>
      </w:pPr>
      <w:r>
        <w:rPr>
          <w:color w:val="231F20"/>
          <w:sz w:val="18"/>
        </w:rPr>
        <w:t>This Annex summarises the data and analysis presented by Bank staff to the Monetary Policy Committee ahead of its </w:t>
      </w:r>
      <w:r>
        <w:rPr>
          <w:color w:val="231F20"/>
          <w:spacing w:val="-3"/>
          <w:sz w:val="18"/>
        </w:rPr>
        <w:t>meeting. </w:t>
      </w:r>
      <w:r>
        <w:rPr>
          <w:color w:val="231F20"/>
          <w:sz w:val="18"/>
        </w:rPr>
        <w:t>At the start of the Committee meeting itself, members were made aware of subsequent information that had become available, and this is reflected in this Annex.</w:t>
      </w:r>
    </w:p>
    <w:p>
      <w:pPr>
        <w:pStyle w:val="BodyText"/>
        <w:spacing w:before="3"/>
        <w:rPr>
          <w:sz w:val="27"/>
        </w:rPr>
      </w:pPr>
    </w:p>
    <w:p>
      <w:pPr>
        <w:pStyle w:val="Heading7"/>
        <w:numPr>
          <w:ilvl w:val="0"/>
          <w:numId w:val="43"/>
        </w:numPr>
        <w:tabs>
          <w:tab w:pos="634" w:val="left" w:leader="none"/>
          <w:tab w:pos="635" w:val="left" w:leader="none"/>
        </w:tabs>
        <w:spacing w:line="240" w:lineRule="auto" w:before="0" w:after="0"/>
        <w:ind w:left="634" w:right="0" w:hanging="481"/>
        <w:jc w:val="left"/>
      </w:pPr>
      <w:r>
        <w:rPr>
          <w:color w:val="009483"/>
        </w:rPr>
        <w:t>Monetary conditions</w:t>
      </w:r>
    </w:p>
    <w:p>
      <w:pPr>
        <w:pStyle w:val="ListParagraph"/>
        <w:numPr>
          <w:ilvl w:val="0"/>
          <w:numId w:val="42"/>
        </w:numPr>
        <w:tabs>
          <w:tab w:pos="634" w:val="left" w:leader="none"/>
          <w:tab w:pos="635" w:val="left" w:leader="none"/>
        </w:tabs>
        <w:spacing w:line="203" w:lineRule="exact" w:before="184" w:after="0"/>
        <w:ind w:left="634" w:right="0" w:hanging="481"/>
        <w:jc w:val="left"/>
        <w:rPr>
          <w:sz w:val="18"/>
        </w:rPr>
      </w:pPr>
      <w:r>
        <w:rPr>
          <w:color w:val="231F20"/>
          <w:sz w:val="18"/>
        </w:rPr>
        <w:t>Notes and coin grew by 0.4% in August so that the</w:t>
      </w:r>
    </w:p>
    <w:p>
      <w:pPr>
        <w:pStyle w:val="BodyText"/>
        <w:spacing w:line="232" w:lineRule="auto" w:before="2"/>
        <w:ind w:left="154" w:right="60"/>
      </w:pPr>
      <w:r>
        <w:rPr>
          <w:color w:val="231F20"/>
        </w:rPr>
        <w:t>twelve-month growth rate continued to fall, to 5.1% from 5.5% in June and 7.6% a year ago. Some of this deceleration might have been associated with a decline over this period of tourist spending in the United Kingdom, as the strength of sterling and demutualisation windfalls encouraged people to take holidays abroad. But some was probably also explained by structural influences: narrow money growth had in recent years exceeded </w:t>
      </w:r>
      <w:r>
        <w:rPr>
          <w:color w:val="231F20"/>
          <w:spacing w:val="-5"/>
        </w:rPr>
        <w:t>that </w:t>
      </w:r>
      <w:r>
        <w:rPr>
          <w:color w:val="231F20"/>
        </w:rPr>
        <w:t>of retail spending, as individuals had adjusted their portfolios to accommodate higher transactions balances to a low inflation environment, but this adjustment could be coming to an end.</w:t>
      </w:r>
    </w:p>
    <w:p>
      <w:pPr>
        <w:pStyle w:val="BodyText"/>
        <w:spacing w:before="2"/>
        <w:rPr>
          <w:sz w:val="20"/>
        </w:rPr>
      </w:pPr>
    </w:p>
    <w:p>
      <w:pPr>
        <w:pStyle w:val="ListParagraph"/>
        <w:numPr>
          <w:ilvl w:val="0"/>
          <w:numId w:val="42"/>
        </w:numPr>
        <w:tabs>
          <w:tab w:pos="634" w:val="left" w:leader="none"/>
          <w:tab w:pos="635" w:val="left" w:leader="none"/>
        </w:tabs>
        <w:spacing w:line="232" w:lineRule="auto" w:before="0" w:after="0"/>
        <w:ind w:left="154" w:right="117" w:firstLine="0"/>
        <w:jc w:val="left"/>
        <w:rPr>
          <w:sz w:val="18"/>
        </w:rPr>
      </w:pPr>
      <w:r>
        <w:rPr>
          <w:color w:val="231F20"/>
          <w:sz w:val="18"/>
        </w:rPr>
        <w:t>However broad money grew strongly again in July. M4 increased by 1%, raising the three-month annualised growth rate </w:t>
      </w:r>
      <w:r>
        <w:rPr>
          <w:color w:val="231F20"/>
          <w:spacing w:val="-9"/>
          <w:sz w:val="18"/>
        </w:rPr>
        <w:t>to </w:t>
      </w:r>
      <w:r>
        <w:rPr>
          <w:color w:val="231F20"/>
          <w:sz w:val="18"/>
        </w:rPr>
        <w:t>13.7% and the twelve-month rate to 12%, higher than the broadly 10% rate observed for much of last year.</w:t>
      </w:r>
    </w:p>
    <w:p>
      <w:pPr>
        <w:pStyle w:val="BodyText"/>
        <w:spacing w:before="6"/>
        <w:rPr>
          <w:sz w:val="20"/>
        </w:rPr>
      </w:pPr>
    </w:p>
    <w:p>
      <w:pPr>
        <w:pStyle w:val="ListParagraph"/>
        <w:numPr>
          <w:ilvl w:val="0"/>
          <w:numId w:val="42"/>
        </w:numPr>
        <w:tabs>
          <w:tab w:pos="634" w:val="left" w:leader="none"/>
          <w:tab w:pos="635" w:val="left" w:leader="none"/>
        </w:tabs>
        <w:spacing w:line="232" w:lineRule="auto" w:before="1" w:after="0"/>
        <w:ind w:left="154" w:right="76" w:firstLine="0"/>
        <w:jc w:val="left"/>
        <w:rPr>
          <w:sz w:val="18"/>
        </w:rPr>
      </w:pPr>
      <w:r>
        <w:rPr>
          <w:color w:val="231F20"/>
          <w:sz w:val="18"/>
        </w:rPr>
        <w:t>Retail M4 grew by 0.6% in July, down from the exceptionally strong rise of 1.1% in June. In part this reflected the drawdown of Halifax deposits as the proceeds of sales of Halifax shares, which had been placed temporarily on deposit in June, were subsequently withdrawn. Retail bank deposits were unchanged in July whereas building society deposits grew exceptionally strongly, at 1.8%, and it seemed plausible that at least part of the funds withdrawn from Halifax were transferred to building societies, perhaps in the hope of gaining from subsequent demutualisation windfalls. Reflecting this, the growth of individuals’ underlying M4 holdings had continued to rise, with the three-month annualised rate at 10.5%, causing the twelve-month rate to rise to 7.8%.</w:t>
      </w:r>
    </w:p>
    <w:p>
      <w:pPr>
        <w:pStyle w:val="BodyText"/>
        <w:spacing w:before="11"/>
        <w:rPr>
          <w:sz w:val="19"/>
        </w:rPr>
      </w:pPr>
    </w:p>
    <w:p>
      <w:pPr>
        <w:pStyle w:val="ListParagraph"/>
        <w:numPr>
          <w:ilvl w:val="0"/>
          <w:numId w:val="42"/>
        </w:numPr>
        <w:tabs>
          <w:tab w:pos="634" w:val="left" w:leader="none"/>
          <w:tab w:pos="635" w:val="left" w:leader="none"/>
        </w:tabs>
        <w:spacing w:line="232" w:lineRule="auto" w:before="0" w:after="0"/>
        <w:ind w:left="154" w:right="111" w:firstLine="0"/>
        <w:jc w:val="left"/>
        <w:rPr>
          <w:sz w:val="18"/>
        </w:rPr>
      </w:pPr>
      <w:r>
        <w:rPr>
          <w:color w:val="231F20"/>
          <w:sz w:val="18"/>
        </w:rPr>
        <w:t>Wholesale M4, which had grown only slowly in June, accelerated in July, though its monthly growth of 1.7% was not </w:t>
      </w:r>
      <w:r>
        <w:rPr>
          <w:color w:val="231F20"/>
          <w:spacing w:val="-6"/>
          <w:sz w:val="18"/>
        </w:rPr>
        <w:t>out </w:t>
      </w:r>
      <w:r>
        <w:rPr>
          <w:color w:val="231F20"/>
          <w:sz w:val="18"/>
        </w:rPr>
        <w:t>of line with the average this year.</w:t>
      </w:r>
    </w:p>
    <w:p>
      <w:pPr>
        <w:pStyle w:val="BodyText"/>
        <w:spacing w:before="10"/>
      </w:pPr>
    </w:p>
    <w:p>
      <w:pPr>
        <w:pStyle w:val="ListParagraph"/>
        <w:numPr>
          <w:ilvl w:val="0"/>
          <w:numId w:val="42"/>
        </w:numPr>
        <w:tabs>
          <w:tab w:pos="634" w:val="left" w:leader="none"/>
          <w:tab w:pos="635" w:val="left" w:leader="none"/>
        </w:tabs>
        <w:spacing w:line="232" w:lineRule="auto" w:before="0" w:after="0"/>
        <w:ind w:left="154" w:right="77" w:firstLine="0"/>
        <w:jc w:val="left"/>
        <w:rPr>
          <w:sz w:val="18"/>
        </w:rPr>
      </w:pPr>
      <w:r>
        <w:rPr>
          <w:color w:val="231F20"/>
          <w:sz w:val="18"/>
        </w:rPr>
        <w:t>There had been no new data on the sectoral composition of M4 growth. OFIs’ deposits were thus still estimated to have contributed almost half of the growth in M4 over the past year. Rising asset prices and values would, under well-established portfolio theory, have been expected to lead OFIs to hold higher money balances. But there may also have been causality in the other direction; money balances in excess of some equilibrium might have been spent and helped to drive up asset prices. Tentative analysis by Bank staff of life assurance and pension funds’ M4 holdings, which had accounted for some 40% of the rise in OFIs’ M4 since 1995, appeared to indicate that L</w:t>
      </w:r>
      <w:r>
        <w:rPr>
          <w:color w:val="231F20"/>
          <w:sz w:val="14"/>
        </w:rPr>
        <w:t>APF</w:t>
      </w:r>
      <w:r>
        <w:rPr>
          <w:color w:val="231F20"/>
          <w:sz w:val="18"/>
        </w:rPr>
        <w:t>s’ M4 balances may currently exceed equilibrium levels, with the risk </w:t>
      </w:r>
      <w:r>
        <w:rPr>
          <w:color w:val="231F20"/>
          <w:spacing w:val="-5"/>
          <w:sz w:val="18"/>
        </w:rPr>
        <w:t>that </w:t>
      </w:r>
      <w:r>
        <w:rPr>
          <w:color w:val="231F20"/>
          <w:sz w:val="18"/>
        </w:rPr>
        <w:t>they could be run down, contributing to higher asset prices in the process. But this analysis was obviously sensitive to the measurement of equilibrium money holdings, which would in practice depend crucially on expected returns from equities and other assets, and these were inevitably hard to model.</w:t>
      </w:r>
    </w:p>
    <w:p>
      <w:pPr>
        <w:pStyle w:val="BodyText"/>
        <w:spacing w:before="9"/>
        <w:rPr>
          <w:sz w:val="19"/>
        </w:rPr>
      </w:pPr>
    </w:p>
    <w:p>
      <w:pPr>
        <w:pStyle w:val="ListParagraph"/>
        <w:numPr>
          <w:ilvl w:val="0"/>
          <w:numId w:val="42"/>
        </w:numPr>
        <w:tabs>
          <w:tab w:pos="634" w:val="left" w:leader="none"/>
          <w:tab w:pos="635" w:val="left" w:leader="none"/>
        </w:tabs>
        <w:spacing w:line="232" w:lineRule="auto" w:before="0" w:after="0"/>
        <w:ind w:left="154" w:right="171" w:firstLine="0"/>
        <w:jc w:val="left"/>
        <w:rPr>
          <w:sz w:val="18"/>
        </w:rPr>
      </w:pPr>
      <w:r>
        <w:rPr>
          <w:color w:val="231F20"/>
          <w:sz w:val="18"/>
        </w:rPr>
        <w:t>M4 lending grew by 0.5% in July, rather slower than the average monthly rate during 1997, possibly because of a share redemption by a single company without which M4 lending </w:t>
      </w:r>
      <w:r>
        <w:rPr>
          <w:color w:val="231F20"/>
          <w:spacing w:val="-4"/>
          <w:sz w:val="18"/>
        </w:rPr>
        <w:t>might </w:t>
      </w:r>
      <w:r>
        <w:rPr>
          <w:color w:val="231F20"/>
          <w:sz w:val="18"/>
        </w:rPr>
        <w:t>have grown by up to 0.7%.</w:t>
      </w:r>
    </w:p>
    <w:p>
      <w:pPr>
        <w:pStyle w:val="BodyText"/>
        <w:spacing w:before="5"/>
        <w:rPr>
          <w:sz w:val="23"/>
        </w:rPr>
      </w:pPr>
      <w:r>
        <w:rPr/>
        <w:br w:type="column"/>
      </w:r>
      <w:r>
        <w:rPr>
          <w:sz w:val="23"/>
        </w:rPr>
      </w:r>
    </w:p>
    <w:p>
      <w:pPr>
        <w:pStyle w:val="ListParagraph"/>
        <w:numPr>
          <w:ilvl w:val="0"/>
          <w:numId w:val="42"/>
        </w:numPr>
        <w:tabs>
          <w:tab w:pos="634" w:val="left" w:leader="none"/>
          <w:tab w:pos="635" w:val="left" w:leader="none"/>
        </w:tabs>
        <w:spacing w:line="232" w:lineRule="auto" w:before="0" w:after="0"/>
        <w:ind w:left="154" w:right="137" w:firstLine="0"/>
        <w:jc w:val="left"/>
        <w:rPr>
          <w:sz w:val="18"/>
        </w:rPr>
      </w:pPr>
      <w:r>
        <w:rPr>
          <w:color w:val="231F20"/>
          <w:sz w:val="18"/>
        </w:rPr>
        <w:t>Although M4 growth had now reached 12%, M4 lending growth had not kept pace but rather remained steady, at around </w:t>
      </w:r>
      <w:r>
        <w:rPr>
          <w:color w:val="231F20"/>
          <w:spacing w:val="-6"/>
          <w:sz w:val="18"/>
        </w:rPr>
        <w:t>9%. </w:t>
      </w:r>
      <w:r>
        <w:rPr>
          <w:color w:val="231F20"/>
          <w:sz w:val="18"/>
        </w:rPr>
        <w:t>The flows of M4 and M4 lending had been broadly comparable in money value, as the contribution from other M4 counterparts had been roughly offsetting. In particular, banks’ capital had risen with increased profitability, while banks’ net external outflows had risen with increased sterling lending overseas. But the relative sizes of the outstanding stocks of M4 lending and M4 meant that M4 growth had exceeded M4 lending when expressed in percentage terms.</w:t>
      </w:r>
    </w:p>
    <w:p>
      <w:pPr>
        <w:pStyle w:val="BodyText"/>
        <w:spacing w:before="2"/>
        <w:rPr>
          <w:sz w:val="20"/>
        </w:rPr>
      </w:pPr>
    </w:p>
    <w:p>
      <w:pPr>
        <w:pStyle w:val="ListParagraph"/>
        <w:numPr>
          <w:ilvl w:val="0"/>
          <w:numId w:val="42"/>
        </w:numPr>
        <w:tabs>
          <w:tab w:pos="634" w:val="left" w:leader="none"/>
          <w:tab w:pos="635" w:val="left" w:leader="none"/>
        </w:tabs>
        <w:spacing w:line="232" w:lineRule="auto" w:before="0" w:after="0"/>
        <w:ind w:left="154" w:right="196" w:firstLine="0"/>
        <w:jc w:val="left"/>
        <w:rPr>
          <w:sz w:val="18"/>
        </w:rPr>
      </w:pPr>
      <w:r>
        <w:rPr>
          <w:color w:val="231F20"/>
          <w:sz w:val="18"/>
        </w:rPr>
        <w:t>Within the (rather slower) growth in M4 lending in July, </w:t>
      </w:r>
      <w:r>
        <w:rPr>
          <w:color w:val="231F20"/>
          <w:spacing w:val="-6"/>
          <w:sz w:val="18"/>
        </w:rPr>
        <w:t>net </w:t>
      </w:r>
      <w:r>
        <w:rPr>
          <w:color w:val="231F20"/>
          <w:sz w:val="18"/>
        </w:rPr>
        <w:t>secured borrowing by persons continued its gradual pick-up but gross borrowing rose more, reflecting remortgage activity and/or a greater rate of repayments. Persons’ net unsecured borrowing was much more subdued in July than in recent months, with a very sharp rise of around £1 billion in repayments of consumer credit almost certainly as a result of windfall receipts. But unsecured consumer credit continued to grow strongly, at around 17% per annum, and whilst some part of this may have been due to borrowing in anticipation of receiving windfalls, this effect could well have been largely unwound in July. The underlying</w:t>
      </w:r>
    </w:p>
    <w:p>
      <w:pPr>
        <w:pStyle w:val="BodyText"/>
        <w:spacing w:line="232" w:lineRule="auto"/>
        <w:ind w:left="154" w:right="479"/>
      </w:pPr>
      <w:r>
        <w:rPr>
          <w:color w:val="231F20"/>
        </w:rPr>
        <w:t>strength of consumer borrowing reflected both higher personal wealth and reduced interest costs, as credit card and unsecured personal loan spreads over market rates had fallen; it could therefore persist.</w:t>
      </w:r>
    </w:p>
    <w:p>
      <w:pPr>
        <w:pStyle w:val="BodyText"/>
        <w:spacing w:before="10"/>
        <w:rPr>
          <w:sz w:val="19"/>
        </w:rPr>
      </w:pPr>
    </w:p>
    <w:p>
      <w:pPr>
        <w:pStyle w:val="ListParagraph"/>
        <w:numPr>
          <w:ilvl w:val="0"/>
          <w:numId w:val="42"/>
        </w:numPr>
        <w:tabs>
          <w:tab w:pos="634" w:val="left" w:leader="none"/>
          <w:tab w:pos="635" w:val="left" w:leader="none"/>
        </w:tabs>
        <w:spacing w:line="232" w:lineRule="auto" w:before="0" w:after="0"/>
        <w:ind w:left="154" w:right="162" w:firstLine="0"/>
        <w:jc w:val="left"/>
        <w:rPr>
          <w:sz w:val="18"/>
        </w:rPr>
      </w:pPr>
      <w:r>
        <w:rPr>
          <w:color w:val="231F20"/>
          <w:sz w:val="18"/>
        </w:rPr>
        <w:t>As for asset prices, changes in monetary conditions at home and abroad over the past month did not seem to have contributed </w:t>
      </w:r>
      <w:r>
        <w:rPr>
          <w:color w:val="231F20"/>
          <w:spacing w:val="-9"/>
          <w:sz w:val="18"/>
        </w:rPr>
        <w:t>to </w:t>
      </w:r>
      <w:r>
        <w:rPr>
          <w:color w:val="231F20"/>
          <w:sz w:val="18"/>
        </w:rPr>
        <w:t>sterling’s depreciation, measured on an effective-rate basis; but changed market perceptions about prospects for monetary policy </w:t>
      </w:r>
      <w:r>
        <w:rPr>
          <w:color w:val="231F20"/>
          <w:spacing w:val="-9"/>
          <w:sz w:val="18"/>
        </w:rPr>
        <w:t>in </w:t>
      </w:r>
      <w:r>
        <w:rPr>
          <w:color w:val="231F20"/>
          <w:sz w:val="18"/>
        </w:rPr>
        <w:t>Germany did, by contrast, seem to have played a role in sterling’s depreciation against the Deutsche Mark.</w:t>
      </w:r>
    </w:p>
    <w:p>
      <w:pPr>
        <w:pStyle w:val="BodyText"/>
        <w:spacing w:before="5"/>
        <w:rPr>
          <w:sz w:val="20"/>
        </w:rPr>
      </w:pPr>
    </w:p>
    <w:p>
      <w:pPr>
        <w:pStyle w:val="ListParagraph"/>
        <w:numPr>
          <w:ilvl w:val="0"/>
          <w:numId w:val="42"/>
        </w:numPr>
        <w:tabs>
          <w:tab w:pos="634" w:val="left" w:leader="none"/>
          <w:tab w:pos="635" w:val="left" w:leader="none"/>
        </w:tabs>
        <w:spacing w:line="232" w:lineRule="auto" w:before="0" w:after="0"/>
        <w:ind w:left="154" w:right="111" w:firstLine="0"/>
        <w:jc w:val="left"/>
        <w:rPr>
          <w:sz w:val="18"/>
        </w:rPr>
      </w:pPr>
      <w:r>
        <w:rPr>
          <w:color w:val="231F20"/>
          <w:sz w:val="18"/>
        </w:rPr>
        <w:t>Bank staff also noted that an analysis of recent movements </w:t>
      </w:r>
      <w:r>
        <w:rPr>
          <w:color w:val="231F20"/>
          <w:spacing w:val="-9"/>
          <w:sz w:val="18"/>
        </w:rPr>
        <w:t>in </w:t>
      </w:r>
      <w:r>
        <w:rPr>
          <w:color w:val="231F20"/>
          <w:sz w:val="18"/>
        </w:rPr>
        <w:t>the interest rates applicable to standard variable mortgages and to typical low-balance instant access deposit accounts showed that recent increases in official rates had already been more than fully passed on into mortgage rates, an unusually rapid response in relation to historical experience. Experience of deposit rates, however, differed significantly. Whilst bank deposit rates had fully adjusted, building society rates had not kept pace, not surprisingly given the scale of speculative inflows to this sector, whereas institutions converting into banks had more than matched increases in official rates perhaps to try to stem outflows following conversion.</w:t>
      </w:r>
    </w:p>
    <w:p>
      <w:pPr>
        <w:pStyle w:val="BodyText"/>
        <w:spacing w:before="7"/>
        <w:rPr>
          <w:sz w:val="28"/>
        </w:rPr>
      </w:pPr>
    </w:p>
    <w:p>
      <w:pPr>
        <w:pStyle w:val="Heading7"/>
        <w:numPr>
          <w:ilvl w:val="0"/>
          <w:numId w:val="43"/>
        </w:numPr>
        <w:tabs>
          <w:tab w:pos="634" w:val="left" w:leader="none"/>
          <w:tab w:pos="635" w:val="left" w:leader="none"/>
        </w:tabs>
        <w:spacing w:line="240" w:lineRule="auto" w:before="1" w:after="0"/>
        <w:ind w:left="634" w:right="0" w:hanging="481"/>
        <w:jc w:val="left"/>
      </w:pPr>
      <w:r>
        <w:rPr>
          <w:color w:val="009483"/>
        </w:rPr>
        <w:t>Demand and output</w:t>
      </w:r>
    </w:p>
    <w:p>
      <w:pPr>
        <w:pStyle w:val="BodyText"/>
        <w:spacing w:before="10"/>
        <w:rPr>
          <w:b/>
          <w:sz w:val="19"/>
        </w:rPr>
      </w:pPr>
    </w:p>
    <w:p>
      <w:pPr>
        <w:pStyle w:val="ListParagraph"/>
        <w:numPr>
          <w:ilvl w:val="0"/>
          <w:numId w:val="42"/>
        </w:numPr>
        <w:tabs>
          <w:tab w:pos="634" w:val="left" w:leader="none"/>
          <w:tab w:pos="635" w:val="left" w:leader="none"/>
        </w:tabs>
        <w:spacing w:line="232" w:lineRule="auto" w:before="1" w:after="0"/>
        <w:ind w:left="154" w:right="141" w:firstLine="0"/>
        <w:jc w:val="left"/>
        <w:rPr>
          <w:sz w:val="18"/>
        </w:rPr>
      </w:pPr>
      <w:r>
        <w:rPr>
          <w:color w:val="231F20"/>
          <w:sz w:val="18"/>
        </w:rPr>
        <w:t>The first full, but provisional, estimates of GDP and its expenditure components in Q2 confirmed overall growth at 0.9% with non North Sea GDP revised down slightly also to this rate. But, revisions to the level of manufacturing output had led to upward revisions of 0.2 percentage points to the level of industrial production. That was likely to lead to a small upward revision to GDP in Q2, assuming no other offsetting revisions. Domestic demand growth was very strong (1.2%), although not quite as strong as had been expected, with private consumption showing </w:t>
      </w:r>
      <w:r>
        <w:rPr>
          <w:color w:val="231F20"/>
          <w:spacing w:val="-6"/>
          <w:sz w:val="18"/>
        </w:rPr>
        <w:t>the </w:t>
      </w:r>
      <w:r>
        <w:rPr>
          <w:color w:val="231F20"/>
          <w:sz w:val="18"/>
        </w:rPr>
        <w:t>most rapid growth (1.5%), broadly in line with Bank staff’s expectation. Net trade exerted a negative contribution (-0.4%), but this was less than had been expected and was in any event more than accounted for by oil and erratic items. Fixed investment growth was surprisingly low, at 0.1%, which taken together with other available data would imply weak government and private housing sectors.</w:t>
      </w:r>
    </w:p>
    <w:p>
      <w:pPr>
        <w:spacing w:after="0" w:line="232" w:lineRule="auto"/>
        <w:jc w:val="left"/>
        <w:rPr>
          <w:sz w:val="18"/>
        </w:rPr>
        <w:sectPr>
          <w:type w:val="continuous"/>
          <w:pgSz w:w="11900" w:h="16840"/>
          <w:pgMar w:top="1040" w:bottom="280" w:left="660" w:right="680"/>
          <w:cols w:num="2" w:equalWidth="0">
            <w:col w:w="5103" w:space="290"/>
            <w:col w:w="5167"/>
          </w:cols>
        </w:sectPr>
      </w:pPr>
    </w:p>
    <w:p>
      <w:pPr>
        <w:pStyle w:val="BodyText"/>
        <w:rPr>
          <w:sz w:val="20"/>
        </w:rPr>
      </w:pPr>
    </w:p>
    <w:p>
      <w:pPr>
        <w:spacing w:after="0"/>
        <w:rPr>
          <w:sz w:val="20"/>
        </w:rPr>
        <w:sectPr>
          <w:pgSz w:w="11900" w:h="16840"/>
          <w:pgMar w:header="566" w:footer="597" w:top="800" w:bottom="780" w:left="660" w:right="680"/>
        </w:sectPr>
      </w:pPr>
    </w:p>
    <w:p>
      <w:pPr>
        <w:pStyle w:val="BodyText"/>
        <w:spacing w:before="5"/>
      </w:pPr>
    </w:p>
    <w:p>
      <w:pPr>
        <w:pStyle w:val="ListParagraph"/>
        <w:numPr>
          <w:ilvl w:val="0"/>
          <w:numId w:val="42"/>
        </w:numPr>
        <w:tabs>
          <w:tab w:pos="625" w:val="left" w:leader="none"/>
          <w:tab w:pos="626" w:val="left" w:leader="none"/>
        </w:tabs>
        <w:spacing w:line="232" w:lineRule="auto" w:before="1" w:after="0"/>
        <w:ind w:left="145" w:right="38" w:firstLine="0"/>
        <w:jc w:val="left"/>
        <w:rPr>
          <w:sz w:val="18"/>
        </w:rPr>
      </w:pPr>
      <w:r>
        <w:rPr>
          <w:color w:val="231F20"/>
          <w:sz w:val="18"/>
        </w:rPr>
        <w:t>Retail sales volumes grew by 0.3% in July, more slowly </w:t>
      </w:r>
      <w:r>
        <w:rPr>
          <w:color w:val="231F20"/>
          <w:spacing w:val="-4"/>
          <w:sz w:val="18"/>
        </w:rPr>
        <w:t>than </w:t>
      </w:r>
      <w:r>
        <w:rPr>
          <w:color w:val="231F20"/>
          <w:sz w:val="18"/>
        </w:rPr>
        <w:t>the 0.7% monthly average in the first half of the year, but this was nevertheless sufficient in combination with the strong growth in May and June to keep the three-month (on previous three months) growth rate on a rising trend. Compared with a year ago, retail sales volumes were 6.5% higher in July and 5.8% up in the latest three months as a whole. Within retail sales, household goods </w:t>
      </w:r>
      <w:r>
        <w:rPr>
          <w:color w:val="231F20"/>
          <w:spacing w:val="-5"/>
          <w:sz w:val="18"/>
        </w:rPr>
        <w:t>were </w:t>
      </w:r>
      <w:r>
        <w:rPr>
          <w:color w:val="231F20"/>
          <w:sz w:val="18"/>
        </w:rPr>
        <w:t>much less robust than in the previous two months, but nevertheless the ONS estimated that some £100 million of retail sales in household goods stores in July were exceptional and indicative of windfall-related spending; and Bank staff calculated an equivalent figure of some £300–£400 million using a deviation from trend method, over the three months to July, a figure much lower than some other estimates but consistent with the M</w:t>
      </w:r>
      <w:r>
        <w:rPr>
          <w:color w:val="231F20"/>
          <w:sz w:val="14"/>
        </w:rPr>
        <w:t>ORI </w:t>
      </w:r>
      <w:r>
        <w:rPr>
          <w:color w:val="231F20"/>
          <w:sz w:val="18"/>
        </w:rPr>
        <w:t>survey (see below).</w:t>
      </w:r>
    </w:p>
    <w:p>
      <w:pPr>
        <w:pStyle w:val="BodyText"/>
        <w:spacing w:before="4"/>
        <w:rPr>
          <w:sz w:val="16"/>
        </w:rPr>
      </w:pPr>
    </w:p>
    <w:p>
      <w:pPr>
        <w:pStyle w:val="ListParagraph"/>
        <w:numPr>
          <w:ilvl w:val="0"/>
          <w:numId w:val="42"/>
        </w:numPr>
        <w:tabs>
          <w:tab w:pos="625" w:val="left" w:leader="none"/>
          <w:tab w:pos="626" w:val="left" w:leader="none"/>
        </w:tabs>
        <w:spacing w:line="232" w:lineRule="auto" w:before="0" w:after="0"/>
        <w:ind w:left="145" w:right="294" w:firstLine="0"/>
        <w:jc w:val="left"/>
        <w:rPr>
          <w:sz w:val="18"/>
        </w:rPr>
      </w:pPr>
      <w:r>
        <w:rPr>
          <w:color w:val="231F20"/>
          <w:sz w:val="18"/>
        </w:rPr>
        <w:t>In contrast to the official retail sales data, which were consistent with continuing strong consumer confidence data, </w:t>
      </w:r>
      <w:r>
        <w:rPr>
          <w:color w:val="231F20"/>
          <w:spacing w:val="-7"/>
          <w:sz w:val="18"/>
        </w:rPr>
        <w:t>the </w:t>
      </w:r>
      <w:r>
        <w:rPr>
          <w:color w:val="231F20"/>
          <w:sz w:val="18"/>
        </w:rPr>
        <w:t>CBI distributive trades survey suggested slowing retail sales growth. The survey nevertheless interestingly showed a sharp increase in retail import penetration to the highest level since May</w:t>
      </w:r>
      <w:r>
        <w:rPr>
          <w:color w:val="231F20"/>
          <w:spacing w:val="-1"/>
          <w:sz w:val="18"/>
        </w:rPr>
        <w:t> </w:t>
      </w:r>
      <w:r>
        <w:rPr>
          <w:color w:val="231F20"/>
          <w:sz w:val="18"/>
        </w:rPr>
        <w:t>1990.</w:t>
      </w:r>
    </w:p>
    <w:p>
      <w:pPr>
        <w:pStyle w:val="BodyText"/>
        <w:spacing w:before="11"/>
        <w:rPr>
          <w:sz w:val="16"/>
        </w:rPr>
      </w:pPr>
    </w:p>
    <w:p>
      <w:pPr>
        <w:pStyle w:val="ListParagraph"/>
        <w:numPr>
          <w:ilvl w:val="0"/>
          <w:numId w:val="42"/>
        </w:numPr>
        <w:tabs>
          <w:tab w:pos="625" w:val="left" w:leader="none"/>
          <w:tab w:pos="626" w:val="left" w:leader="none"/>
        </w:tabs>
        <w:spacing w:line="232" w:lineRule="auto" w:before="0" w:after="0"/>
        <w:ind w:left="145" w:right="133" w:firstLine="0"/>
        <w:jc w:val="left"/>
        <w:rPr>
          <w:sz w:val="18"/>
        </w:rPr>
      </w:pPr>
      <w:r>
        <w:rPr>
          <w:color w:val="231F20"/>
          <w:sz w:val="18"/>
        </w:rPr>
        <w:t>There were record car registrations in August, up 10% </w:t>
      </w:r>
      <w:r>
        <w:rPr>
          <w:color w:val="231F20"/>
          <w:spacing w:val="-5"/>
          <w:sz w:val="18"/>
        </w:rPr>
        <w:t>from </w:t>
      </w:r>
      <w:r>
        <w:rPr>
          <w:color w:val="231F20"/>
          <w:sz w:val="18"/>
        </w:rPr>
        <w:t>last August, with business and fleet sales rather surprisingly stronger than private. Some 68% of sales were imported, up from 63% last August, helping to explain why domestic car output was significantly less buoyant.</w:t>
      </w:r>
    </w:p>
    <w:p>
      <w:pPr>
        <w:pStyle w:val="BodyText"/>
        <w:rPr>
          <w:sz w:val="17"/>
        </w:rPr>
      </w:pPr>
    </w:p>
    <w:p>
      <w:pPr>
        <w:pStyle w:val="ListParagraph"/>
        <w:numPr>
          <w:ilvl w:val="0"/>
          <w:numId w:val="42"/>
        </w:numPr>
        <w:tabs>
          <w:tab w:pos="625" w:val="left" w:leader="none"/>
          <w:tab w:pos="626" w:val="left" w:leader="none"/>
        </w:tabs>
        <w:spacing w:line="232" w:lineRule="auto" w:before="1" w:after="0"/>
        <w:ind w:left="145" w:right="62" w:firstLine="0"/>
        <w:jc w:val="left"/>
        <w:rPr>
          <w:sz w:val="18"/>
        </w:rPr>
      </w:pPr>
      <w:r>
        <w:rPr>
          <w:color w:val="231F20"/>
          <w:sz w:val="18"/>
        </w:rPr>
        <w:t>An assessment of developments in the housing market continued to be clouded by the divergent Halifax and Nationwide house price data: the Halifax index was decelerating, to 6.4% in the year to August, whereas the Nationwide index had continued to accelerate, to just over 12% in August. Analysis of their regional components showed that most of the difference lies in parts of the Midlands, North of England and Northern Ireland; both indices confirmed the strength of the market in London and the South </w:t>
      </w:r>
      <w:r>
        <w:rPr>
          <w:color w:val="231F20"/>
          <w:spacing w:val="-4"/>
          <w:sz w:val="18"/>
        </w:rPr>
        <w:t>East. </w:t>
      </w:r>
      <w:r>
        <w:rPr>
          <w:color w:val="231F20"/>
          <w:sz w:val="18"/>
        </w:rPr>
        <w:t>Overall housing market indicators gave a mixed picture of both house price inflation and activity.</w:t>
      </w:r>
    </w:p>
    <w:p>
      <w:pPr>
        <w:pStyle w:val="BodyText"/>
        <w:spacing w:before="8"/>
        <w:rPr>
          <w:sz w:val="16"/>
        </w:rPr>
      </w:pPr>
    </w:p>
    <w:p>
      <w:pPr>
        <w:pStyle w:val="ListParagraph"/>
        <w:numPr>
          <w:ilvl w:val="0"/>
          <w:numId w:val="42"/>
        </w:numPr>
        <w:tabs>
          <w:tab w:pos="625" w:val="left" w:leader="none"/>
          <w:tab w:pos="626" w:val="left" w:leader="none"/>
        </w:tabs>
        <w:spacing w:line="232" w:lineRule="auto" w:before="0" w:after="0"/>
        <w:ind w:left="145" w:right="117" w:firstLine="0"/>
        <w:jc w:val="left"/>
        <w:rPr>
          <w:sz w:val="18"/>
        </w:rPr>
      </w:pPr>
      <w:r>
        <w:rPr>
          <w:color w:val="231F20"/>
          <w:sz w:val="18"/>
        </w:rPr>
        <w:t>Finally in the personal sector, Bank staff focused on the results, published on 5 September, of the M</w:t>
      </w:r>
      <w:r>
        <w:rPr>
          <w:color w:val="231F20"/>
          <w:sz w:val="14"/>
        </w:rPr>
        <w:t>ORI </w:t>
      </w:r>
      <w:r>
        <w:rPr>
          <w:color w:val="231F20"/>
          <w:sz w:val="18"/>
        </w:rPr>
        <w:t>survey of the response of consumers to the windfall receipts from the demutualisations in the building society and insurance sectors, </w:t>
      </w:r>
      <w:r>
        <w:rPr>
          <w:color w:val="231F20"/>
          <w:spacing w:val="-6"/>
          <w:sz w:val="18"/>
        </w:rPr>
        <w:t>and </w:t>
      </w:r>
      <w:r>
        <w:rPr>
          <w:color w:val="231F20"/>
          <w:sz w:val="18"/>
        </w:rPr>
        <w:t>provided a preliminary assessment of their implications. The survey was conducted in late August, with telephone interviews of 764 individuals all of whom had received at least one of the four largest windfalls (which accounted for just under £31 billion of total windfalls of nearly £36</w:t>
      </w:r>
      <w:r>
        <w:rPr>
          <w:color w:val="231F20"/>
          <w:spacing w:val="-1"/>
          <w:sz w:val="18"/>
        </w:rPr>
        <w:t> </w:t>
      </w:r>
      <w:r>
        <w:rPr>
          <w:color w:val="231F20"/>
          <w:sz w:val="18"/>
        </w:rPr>
        <w:t>billion).</w:t>
      </w:r>
    </w:p>
    <w:p>
      <w:pPr>
        <w:pStyle w:val="BodyText"/>
        <w:spacing w:before="9"/>
        <w:rPr>
          <w:sz w:val="19"/>
        </w:rPr>
      </w:pPr>
    </w:p>
    <w:p>
      <w:pPr>
        <w:pStyle w:val="ListParagraph"/>
        <w:numPr>
          <w:ilvl w:val="0"/>
          <w:numId w:val="42"/>
        </w:numPr>
        <w:tabs>
          <w:tab w:pos="625" w:val="left" w:leader="none"/>
          <w:tab w:pos="626" w:val="left" w:leader="none"/>
        </w:tabs>
        <w:spacing w:line="240" w:lineRule="auto" w:before="1" w:after="0"/>
        <w:ind w:left="625" w:right="0" w:hanging="481"/>
        <w:jc w:val="left"/>
        <w:rPr>
          <w:sz w:val="18"/>
        </w:rPr>
      </w:pPr>
      <w:r>
        <w:rPr>
          <w:color w:val="231F20"/>
          <w:sz w:val="18"/>
        </w:rPr>
        <w:t>The main findings were that:</w:t>
      </w:r>
    </w:p>
    <w:p>
      <w:pPr>
        <w:pStyle w:val="BodyText"/>
        <w:spacing w:before="8"/>
        <w:rPr>
          <w:sz w:val="20"/>
        </w:rPr>
      </w:pPr>
    </w:p>
    <w:p>
      <w:pPr>
        <w:pStyle w:val="ListParagraph"/>
        <w:numPr>
          <w:ilvl w:val="0"/>
          <w:numId w:val="44"/>
        </w:numPr>
        <w:tabs>
          <w:tab w:pos="386" w:val="left" w:leader="none"/>
        </w:tabs>
        <w:spacing w:line="232" w:lineRule="auto" w:before="0" w:after="0"/>
        <w:ind w:left="385" w:right="167" w:hanging="240"/>
        <w:jc w:val="left"/>
        <w:rPr>
          <w:sz w:val="18"/>
        </w:rPr>
      </w:pPr>
      <w:r>
        <w:rPr>
          <w:color w:val="231F20"/>
          <w:sz w:val="18"/>
        </w:rPr>
        <w:t>by value, some 35% of free shares had already been sold, implying additional sales beyond those who had pre-registered to sell;</w:t>
      </w:r>
    </w:p>
    <w:p>
      <w:pPr>
        <w:pStyle w:val="BodyText"/>
        <w:spacing w:before="7"/>
        <w:rPr>
          <w:sz w:val="20"/>
        </w:rPr>
      </w:pPr>
    </w:p>
    <w:p>
      <w:pPr>
        <w:pStyle w:val="ListParagraph"/>
        <w:numPr>
          <w:ilvl w:val="0"/>
          <w:numId w:val="44"/>
        </w:numPr>
        <w:tabs>
          <w:tab w:pos="386" w:val="left" w:leader="none"/>
        </w:tabs>
        <w:spacing w:line="232" w:lineRule="auto" w:before="1" w:after="0"/>
        <w:ind w:left="385" w:right="418" w:hanging="240"/>
        <w:jc w:val="left"/>
        <w:rPr>
          <w:sz w:val="18"/>
        </w:rPr>
      </w:pPr>
      <w:r>
        <w:rPr>
          <w:color w:val="231F20"/>
          <w:sz w:val="18"/>
        </w:rPr>
        <w:t>of which some 47% of the proceeds had been spent and the same proportion saved, with 6% used to repay debt;</w:t>
      </w:r>
    </w:p>
    <w:p>
      <w:pPr>
        <w:pStyle w:val="BodyText"/>
        <w:spacing w:before="8"/>
        <w:rPr>
          <w:sz w:val="20"/>
        </w:rPr>
      </w:pPr>
    </w:p>
    <w:p>
      <w:pPr>
        <w:pStyle w:val="ListParagraph"/>
        <w:numPr>
          <w:ilvl w:val="0"/>
          <w:numId w:val="44"/>
        </w:numPr>
        <w:tabs>
          <w:tab w:pos="386" w:val="left" w:leader="none"/>
        </w:tabs>
        <w:spacing w:line="232" w:lineRule="auto" w:before="0" w:after="0"/>
        <w:ind w:left="385" w:right="83" w:hanging="240"/>
        <w:jc w:val="left"/>
        <w:rPr>
          <w:sz w:val="18"/>
        </w:rPr>
      </w:pPr>
      <w:r>
        <w:rPr>
          <w:color w:val="231F20"/>
          <w:sz w:val="18"/>
        </w:rPr>
        <w:t>home improvements had been the biggest expenditure category, with holidays, cars and household goods receiving rather smaller proportions;</w:t>
      </w:r>
    </w:p>
    <w:p>
      <w:pPr>
        <w:pStyle w:val="BodyText"/>
        <w:spacing w:before="8"/>
        <w:rPr>
          <w:sz w:val="20"/>
        </w:rPr>
      </w:pPr>
    </w:p>
    <w:p>
      <w:pPr>
        <w:pStyle w:val="ListParagraph"/>
        <w:numPr>
          <w:ilvl w:val="0"/>
          <w:numId w:val="44"/>
        </w:numPr>
        <w:tabs>
          <w:tab w:pos="386" w:val="left" w:leader="none"/>
        </w:tabs>
        <w:spacing w:line="232" w:lineRule="auto" w:before="0" w:after="0"/>
        <w:ind w:left="385" w:right="107" w:hanging="240"/>
        <w:jc w:val="left"/>
        <w:rPr>
          <w:sz w:val="18"/>
        </w:rPr>
      </w:pPr>
      <w:r>
        <w:rPr>
          <w:color w:val="231F20"/>
          <w:sz w:val="18"/>
        </w:rPr>
        <w:t>nearly 40% of the reported spending would have occurred anyway, financed in other ways, giving additional spending on household goods around the time of the flotations, for </w:t>
      </w:r>
      <w:r>
        <w:rPr>
          <w:color w:val="231F20"/>
          <w:spacing w:val="-3"/>
          <w:sz w:val="18"/>
        </w:rPr>
        <w:t>example, </w:t>
      </w:r>
      <w:r>
        <w:rPr>
          <w:color w:val="231F20"/>
          <w:sz w:val="18"/>
        </w:rPr>
        <w:t>of around £450 million, not inconsistent with an ONS estimate of some £300 million in June and July</w:t>
      </w:r>
      <w:r>
        <w:rPr>
          <w:color w:val="231F20"/>
          <w:spacing w:val="-1"/>
          <w:sz w:val="18"/>
        </w:rPr>
        <w:t> </w:t>
      </w:r>
      <w:r>
        <w:rPr>
          <w:color w:val="231F20"/>
          <w:sz w:val="18"/>
        </w:rPr>
        <w:t>together;</w:t>
      </w:r>
    </w:p>
    <w:p>
      <w:pPr>
        <w:pStyle w:val="BodyText"/>
        <w:rPr>
          <w:sz w:val="17"/>
        </w:rPr>
      </w:pPr>
    </w:p>
    <w:p>
      <w:pPr>
        <w:pStyle w:val="ListParagraph"/>
        <w:numPr>
          <w:ilvl w:val="0"/>
          <w:numId w:val="44"/>
        </w:numPr>
        <w:tabs>
          <w:tab w:pos="386" w:val="left" w:leader="none"/>
        </w:tabs>
        <w:spacing w:line="232" w:lineRule="auto" w:before="0" w:after="0"/>
        <w:ind w:left="385" w:right="128" w:hanging="240"/>
        <w:jc w:val="left"/>
        <w:rPr>
          <w:sz w:val="18"/>
        </w:rPr>
      </w:pPr>
      <w:r>
        <w:rPr>
          <w:color w:val="231F20"/>
          <w:sz w:val="18"/>
        </w:rPr>
        <w:t>only a small amount of the windfall receipts were used to bring forward consumption in anticipation; and</w:t>
      </w:r>
    </w:p>
    <w:p>
      <w:pPr>
        <w:pStyle w:val="BodyText"/>
        <w:spacing w:before="5"/>
      </w:pPr>
      <w:r>
        <w:rPr/>
        <w:br w:type="column"/>
      </w:r>
      <w:r>
        <w:rPr/>
      </w:r>
    </w:p>
    <w:p>
      <w:pPr>
        <w:pStyle w:val="ListParagraph"/>
        <w:numPr>
          <w:ilvl w:val="0"/>
          <w:numId w:val="44"/>
        </w:numPr>
        <w:tabs>
          <w:tab w:pos="386" w:val="left" w:leader="none"/>
        </w:tabs>
        <w:spacing w:line="232" w:lineRule="auto" w:before="1" w:after="0"/>
        <w:ind w:left="385" w:right="343" w:hanging="240"/>
        <w:jc w:val="left"/>
        <w:rPr>
          <w:sz w:val="18"/>
        </w:rPr>
      </w:pPr>
      <w:r>
        <w:rPr>
          <w:color w:val="231F20"/>
          <w:sz w:val="18"/>
        </w:rPr>
        <w:t>the proceeds were used to repay some £800 million of borrowing, suggesting this as a major explanation for the </w:t>
      </w:r>
      <w:r>
        <w:rPr>
          <w:color w:val="231F20"/>
          <w:spacing w:val="-5"/>
          <w:sz w:val="18"/>
        </w:rPr>
        <w:t>July </w:t>
      </w:r>
      <w:r>
        <w:rPr>
          <w:color w:val="231F20"/>
          <w:sz w:val="18"/>
        </w:rPr>
        <w:t>consumer credit data.</w:t>
      </w:r>
    </w:p>
    <w:p>
      <w:pPr>
        <w:pStyle w:val="BodyText"/>
        <w:spacing w:before="10"/>
      </w:pPr>
    </w:p>
    <w:p>
      <w:pPr>
        <w:pStyle w:val="ListParagraph"/>
        <w:numPr>
          <w:ilvl w:val="0"/>
          <w:numId w:val="42"/>
        </w:numPr>
        <w:tabs>
          <w:tab w:pos="625" w:val="left" w:leader="none"/>
          <w:tab w:pos="626" w:val="left" w:leader="none"/>
        </w:tabs>
        <w:spacing w:line="232" w:lineRule="auto" w:before="0" w:after="0"/>
        <w:ind w:left="145" w:right="283" w:firstLine="0"/>
        <w:jc w:val="left"/>
        <w:rPr>
          <w:sz w:val="18"/>
        </w:rPr>
      </w:pPr>
      <w:r>
        <w:rPr>
          <w:color w:val="231F20"/>
          <w:sz w:val="18"/>
        </w:rPr>
        <w:t>Taking the survey results at face value, total spending </w:t>
      </w:r>
      <w:r>
        <w:rPr>
          <w:color w:val="231F20"/>
          <w:spacing w:val="-5"/>
          <w:sz w:val="18"/>
        </w:rPr>
        <w:t>from </w:t>
      </w:r>
      <w:r>
        <w:rPr>
          <w:color w:val="231F20"/>
          <w:sz w:val="18"/>
        </w:rPr>
        <w:t>windfalls were estimated at around £10 billion, of which</w:t>
      </w:r>
      <w:r>
        <w:rPr>
          <w:color w:val="231F20"/>
          <w:spacing w:val="-1"/>
          <w:sz w:val="18"/>
        </w:rPr>
        <w:t> </w:t>
      </w:r>
      <w:r>
        <w:rPr>
          <w:color w:val="231F20"/>
          <w:sz w:val="18"/>
        </w:rPr>
        <w:t>around</w:t>
      </w:r>
    </w:p>
    <w:p>
      <w:pPr>
        <w:pStyle w:val="BodyText"/>
        <w:spacing w:line="200" w:lineRule="exact"/>
        <w:ind w:left="145"/>
      </w:pPr>
      <w:r>
        <w:rPr>
          <w:color w:val="231F20"/>
        </w:rPr>
        <w:t>£6 billion was additional (see below).</w:t>
      </w:r>
    </w:p>
    <w:p>
      <w:pPr>
        <w:pStyle w:val="BodyText"/>
        <w:spacing w:before="11"/>
        <w:rPr>
          <w:sz w:val="24"/>
        </w:rPr>
      </w:pPr>
    </w:p>
    <w:p>
      <w:pPr>
        <w:pStyle w:val="Heading9"/>
        <w:spacing w:line="249" w:lineRule="auto" w:before="0"/>
        <w:ind w:left="145" w:right="347"/>
      </w:pPr>
      <w:r>
        <w:rPr>
          <w:color w:val="0093C1"/>
        </w:rPr>
        <w:t>M</w:t>
      </w:r>
      <w:r>
        <w:rPr>
          <w:color w:val="0093C1"/>
          <w:sz w:val="16"/>
        </w:rPr>
        <w:t>ORI </w:t>
      </w:r>
      <w:r>
        <w:rPr>
          <w:color w:val="0093C1"/>
        </w:rPr>
        <w:t>survey on consumer windfalls: amount of windfalls identified as spent</w:t>
      </w:r>
    </w:p>
    <w:p>
      <w:pPr>
        <w:pStyle w:val="BodyText"/>
        <w:rPr>
          <w:b/>
          <w:sz w:val="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864"/>
        <w:gridCol w:w="1153"/>
      </w:tblGrid>
      <w:tr>
        <w:trPr>
          <w:trHeight w:val="484" w:hRule="atLeast"/>
        </w:trPr>
        <w:tc>
          <w:tcPr>
            <w:tcW w:w="2500" w:type="dxa"/>
          </w:tcPr>
          <w:p>
            <w:pPr>
              <w:pStyle w:val="TableParagraph"/>
              <w:rPr>
                <w:sz w:val="16"/>
              </w:rPr>
            </w:pPr>
          </w:p>
        </w:tc>
        <w:tc>
          <w:tcPr>
            <w:tcW w:w="864" w:type="dxa"/>
            <w:tcBorders>
              <w:bottom w:val="single" w:sz="2" w:space="0" w:color="231F20"/>
            </w:tcBorders>
          </w:tcPr>
          <w:p>
            <w:pPr>
              <w:pStyle w:val="TableParagraph"/>
              <w:spacing w:line="208" w:lineRule="auto" w:before="11"/>
              <w:ind w:right="7"/>
              <w:rPr>
                <w:sz w:val="14"/>
              </w:rPr>
            </w:pPr>
            <w:r>
              <w:rPr>
                <w:color w:val="231F20"/>
                <w:sz w:val="14"/>
              </w:rPr>
              <w:t>Percentage of estimated total 1997 windfalls</w:t>
            </w:r>
          </w:p>
        </w:tc>
        <w:tc>
          <w:tcPr>
            <w:tcW w:w="1153" w:type="dxa"/>
            <w:tcBorders>
              <w:bottom w:val="single" w:sz="2" w:space="0" w:color="231F20"/>
            </w:tcBorders>
          </w:tcPr>
          <w:p>
            <w:pPr>
              <w:pStyle w:val="TableParagraph"/>
              <w:spacing w:line="155" w:lineRule="exact"/>
              <w:ind w:left="95" w:right="29"/>
              <w:jc w:val="center"/>
              <w:rPr>
                <w:sz w:val="14"/>
              </w:rPr>
            </w:pPr>
            <w:r>
              <w:rPr>
                <w:color w:val="231F20"/>
                <w:sz w:val="14"/>
              </w:rPr>
              <w:t>Value (£ billions)</w:t>
            </w:r>
          </w:p>
        </w:tc>
      </w:tr>
      <w:tr>
        <w:trPr>
          <w:trHeight w:val="218" w:hRule="atLeast"/>
        </w:trPr>
        <w:tc>
          <w:tcPr>
            <w:tcW w:w="2500" w:type="dxa"/>
          </w:tcPr>
          <w:p>
            <w:pPr>
              <w:pStyle w:val="TableParagraph"/>
              <w:spacing w:line="133" w:lineRule="exact" w:before="64"/>
              <w:ind w:left="50"/>
              <w:rPr>
                <w:sz w:val="14"/>
              </w:rPr>
            </w:pPr>
            <w:r>
              <w:rPr>
                <w:color w:val="231F20"/>
                <w:sz w:val="14"/>
              </w:rPr>
              <w:t>Spending undertaken</w:t>
            </w:r>
          </w:p>
        </w:tc>
        <w:tc>
          <w:tcPr>
            <w:tcW w:w="864" w:type="dxa"/>
            <w:tcBorders>
              <w:top w:val="single" w:sz="2" w:space="0" w:color="231F20"/>
            </w:tcBorders>
          </w:tcPr>
          <w:p>
            <w:pPr>
              <w:pStyle w:val="TableParagraph"/>
              <w:spacing w:line="133" w:lineRule="exact" w:before="64"/>
              <w:ind w:left="329"/>
              <w:rPr>
                <w:sz w:val="14"/>
              </w:rPr>
            </w:pPr>
            <w:r>
              <w:rPr>
                <w:color w:val="231F20"/>
                <w:sz w:val="14"/>
              </w:rPr>
              <w:t>20</w:t>
            </w:r>
          </w:p>
        </w:tc>
        <w:tc>
          <w:tcPr>
            <w:tcW w:w="1153" w:type="dxa"/>
            <w:tcBorders>
              <w:top w:val="single" w:sz="2" w:space="0" w:color="231F20"/>
            </w:tcBorders>
          </w:tcPr>
          <w:p>
            <w:pPr>
              <w:pStyle w:val="TableParagraph"/>
              <w:spacing w:line="133" w:lineRule="exact" w:before="64"/>
              <w:ind w:left="95" w:right="149"/>
              <w:jc w:val="center"/>
              <w:rPr>
                <w:sz w:val="14"/>
              </w:rPr>
            </w:pPr>
            <w:r>
              <w:rPr>
                <w:color w:val="231F20"/>
                <w:sz w:val="14"/>
              </w:rPr>
              <w:t>7.5</w:t>
            </w:r>
          </w:p>
        </w:tc>
      </w:tr>
      <w:tr>
        <w:trPr>
          <w:trHeight w:val="280" w:hRule="atLeast"/>
        </w:trPr>
        <w:tc>
          <w:tcPr>
            <w:tcW w:w="2500" w:type="dxa"/>
          </w:tcPr>
          <w:p>
            <w:pPr>
              <w:pStyle w:val="TableParagraph"/>
              <w:spacing w:line="137" w:lineRule="exact"/>
              <w:ind w:left="50"/>
              <w:rPr>
                <w:i/>
                <w:sz w:val="14"/>
              </w:rPr>
            </w:pPr>
            <w:r>
              <w:rPr>
                <w:i/>
                <w:color w:val="231F20"/>
                <w:sz w:val="14"/>
              </w:rPr>
              <w:t>of which:</w:t>
            </w:r>
          </w:p>
          <w:p>
            <w:pPr>
              <w:pStyle w:val="TableParagraph"/>
              <w:spacing w:line="123" w:lineRule="exact"/>
              <w:ind w:left="120"/>
              <w:rPr>
                <w:sz w:val="14"/>
              </w:rPr>
            </w:pPr>
            <w:r>
              <w:rPr>
                <w:color w:val="231F20"/>
                <w:sz w:val="14"/>
              </w:rPr>
              <w:t>Pre-windfall spending</w:t>
            </w:r>
          </w:p>
        </w:tc>
        <w:tc>
          <w:tcPr>
            <w:tcW w:w="864" w:type="dxa"/>
          </w:tcPr>
          <w:p>
            <w:pPr>
              <w:pStyle w:val="TableParagraph"/>
              <w:spacing w:line="133" w:lineRule="exact" w:before="126"/>
              <w:ind w:left="399"/>
              <w:rPr>
                <w:sz w:val="14"/>
              </w:rPr>
            </w:pPr>
            <w:r>
              <w:rPr>
                <w:color w:val="231F20"/>
                <w:sz w:val="14"/>
              </w:rPr>
              <w:t>4</w:t>
            </w:r>
          </w:p>
        </w:tc>
        <w:tc>
          <w:tcPr>
            <w:tcW w:w="1153" w:type="dxa"/>
          </w:tcPr>
          <w:p>
            <w:pPr>
              <w:pStyle w:val="TableParagraph"/>
              <w:spacing w:line="133" w:lineRule="exact" w:before="126"/>
              <w:ind w:left="95" w:right="149"/>
              <w:jc w:val="center"/>
              <w:rPr>
                <w:sz w:val="14"/>
              </w:rPr>
            </w:pPr>
            <w:r>
              <w:rPr>
                <w:color w:val="231F20"/>
                <w:sz w:val="14"/>
              </w:rPr>
              <w:t>1.6</w:t>
            </w:r>
          </w:p>
        </w:tc>
      </w:tr>
      <w:tr>
        <w:trPr>
          <w:trHeight w:val="210" w:hRule="atLeast"/>
        </w:trPr>
        <w:tc>
          <w:tcPr>
            <w:tcW w:w="2500" w:type="dxa"/>
          </w:tcPr>
          <w:p>
            <w:pPr>
              <w:pStyle w:val="TableParagraph"/>
              <w:spacing w:line="148" w:lineRule="exact"/>
              <w:ind w:left="120"/>
              <w:rPr>
                <w:sz w:val="14"/>
              </w:rPr>
            </w:pPr>
            <w:r>
              <w:rPr>
                <w:color w:val="231F20"/>
                <w:sz w:val="14"/>
              </w:rPr>
              <w:t>Spending out of share proceeds</w:t>
            </w:r>
          </w:p>
        </w:tc>
        <w:tc>
          <w:tcPr>
            <w:tcW w:w="864" w:type="dxa"/>
          </w:tcPr>
          <w:p>
            <w:pPr>
              <w:pStyle w:val="TableParagraph"/>
              <w:spacing w:line="148" w:lineRule="exact"/>
              <w:ind w:left="329"/>
              <w:rPr>
                <w:sz w:val="14"/>
              </w:rPr>
            </w:pPr>
            <w:r>
              <w:rPr>
                <w:color w:val="231F20"/>
                <w:sz w:val="14"/>
              </w:rPr>
              <w:t>16</w:t>
            </w:r>
          </w:p>
        </w:tc>
        <w:tc>
          <w:tcPr>
            <w:tcW w:w="1153" w:type="dxa"/>
          </w:tcPr>
          <w:p>
            <w:pPr>
              <w:pStyle w:val="TableParagraph"/>
              <w:spacing w:line="148" w:lineRule="exact"/>
              <w:ind w:left="95" w:right="149"/>
              <w:jc w:val="center"/>
              <w:rPr>
                <w:sz w:val="14"/>
              </w:rPr>
            </w:pPr>
            <w:r>
              <w:rPr>
                <w:color w:val="231F20"/>
                <w:sz w:val="14"/>
              </w:rPr>
              <w:t>5.9</w:t>
            </w:r>
          </w:p>
        </w:tc>
      </w:tr>
      <w:tr>
        <w:trPr>
          <w:trHeight w:val="497" w:hRule="atLeast"/>
        </w:trPr>
        <w:tc>
          <w:tcPr>
            <w:tcW w:w="2500" w:type="dxa"/>
          </w:tcPr>
          <w:p>
            <w:pPr>
              <w:pStyle w:val="TableParagraph"/>
              <w:spacing w:line="150" w:lineRule="exact" w:before="56"/>
              <w:ind w:left="50"/>
              <w:rPr>
                <w:sz w:val="14"/>
              </w:rPr>
            </w:pPr>
            <w:r>
              <w:rPr>
                <w:color w:val="231F20"/>
                <w:sz w:val="14"/>
              </w:rPr>
              <w:t>Planned spending in next 12 months</w:t>
            </w:r>
          </w:p>
          <w:p>
            <w:pPr>
              <w:pStyle w:val="TableParagraph"/>
              <w:spacing w:line="140" w:lineRule="exact"/>
              <w:ind w:left="50"/>
              <w:rPr>
                <w:i/>
                <w:sz w:val="14"/>
              </w:rPr>
            </w:pPr>
            <w:r>
              <w:rPr>
                <w:i/>
                <w:color w:val="231F20"/>
                <w:sz w:val="14"/>
              </w:rPr>
              <w:t>of which:</w:t>
            </w:r>
          </w:p>
          <w:p>
            <w:pPr>
              <w:pStyle w:val="TableParagraph"/>
              <w:spacing w:line="130" w:lineRule="exact"/>
              <w:ind w:left="120"/>
              <w:rPr>
                <w:sz w:val="14"/>
              </w:rPr>
            </w:pPr>
            <w:r>
              <w:rPr>
                <w:color w:val="231F20"/>
                <w:sz w:val="14"/>
              </w:rPr>
              <w:t>Financed by:</w:t>
            </w:r>
          </w:p>
        </w:tc>
        <w:tc>
          <w:tcPr>
            <w:tcW w:w="864" w:type="dxa"/>
          </w:tcPr>
          <w:p>
            <w:pPr>
              <w:pStyle w:val="TableParagraph"/>
              <w:spacing w:before="56"/>
              <w:ind w:left="399"/>
              <w:rPr>
                <w:sz w:val="14"/>
              </w:rPr>
            </w:pPr>
            <w:r>
              <w:rPr>
                <w:color w:val="231F20"/>
                <w:sz w:val="14"/>
              </w:rPr>
              <w:t>6</w:t>
            </w:r>
          </w:p>
        </w:tc>
        <w:tc>
          <w:tcPr>
            <w:tcW w:w="1153" w:type="dxa"/>
          </w:tcPr>
          <w:p>
            <w:pPr>
              <w:pStyle w:val="TableParagraph"/>
              <w:spacing w:before="56"/>
              <w:ind w:left="95" w:right="149"/>
              <w:jc w:val="center"/>
              <w:rPr>
                <w:sz w:val="14"/>
              </w:rPr>
            </w:pPr>
            <w:r>
              <w:rPr>
                <w:color w:val="231F20"/>
                <w:sz w:val="14"/>
              </w:rPr>
              <w:t>2.2</w:t>
            </w:r>
          </w:p>
        </w:tc>
      </w:tr>
      <w:tr>
        <w:trPr>
          <w:trHeight w:val="272" w:hRule="atLeast"/>
        </w:trPr>
        <w:tc>
          <w:tcPr>
            <w:tcW w:w="2500" w:type="dxa"/>
          </w:tcPr>
          <w:p>
            <w:pPr>
              <w:pStyle w:val="TableParagraph"/>
              <w:spacing w:line="140" w:lineRule="exact" w:before="12"/>
              <w:ind w:left="260" w:right="439" w:hanging="70"/>
              <w:rPr>
                <w:sz w:val="14"/>
              </w:rPr>
            </w:pPr>
            <w:r>
              <w:rPr>
                <w:color w:val="231F20"/>
                <w:sz w:val="14"/>
              </w:rPr>
              <w:t>Proceeds from share sales placed on short term deposit</w:t>
            </w:r>
          </w:p>
        </w:tc>
        <w:tc>
          <w:tcPr>
            <w:tcW w:w="864" w:type="dxa"/>
          </w:tcPr>
          <w:p>
            <w:pPr>
              <w:pStyle w:val="TableParagraph"/>
              <w:spacing w:line="133" w:lineRule="exact" w:before="134"/>
              <w:ind w:left="399"/>
              <w:rPr>
                <w:sz w:val="14"/>
              </w:rPr>
            </w:pPr>
            <w:r>
              <w:rPr>
                <w:color w:val="231F20"/>
                <w:sz w:val="14"/>
              </w:rPr>
              <w:t>3</w:t>
            </w:r>
          </w:p>
        </w:tc>
        <w:tc>
          <w:tcPr>
            <w:tcW w:w="1153" w:type="dxa"/>
          </w:tcPr>
          <w:p>
            <w:pPr>
              <w:pStyle w:val="TableParagraph"/>
              <w:spacing w:line="133" w:lineRule="exact" w:before="134"/>
              <w:ind w:left="95" w:right="149"/>
              <w:jc w:val="center"/>
              <w:rPr>
                <w:sz w:val="14"/>
              </w:rPr>
            </w:pPr>
            <w:r>
              <w:rPr>
                <w:color w:val="231F20"/>
                <w:sz w:val="14"/>
              </w:rPr>
              <w:t>1.2</w:t>
            </w:r>
          </w:p>
        </w:tc>
      </w:tr>
      <w:tr>
        <w:trPr>
          <w:trHeight w:val="136" w:hRule="atLeast"/>
        </w:trPr>
        <w:tc>
          <w:tcPr>
            <w:tcW w:w="2500" w:type="dxa"/>
          </w:tcPr>
          <w:p>
            <w:pPr>
              <w:pStyle w:val="TableParagraph"/>
              <w:spacing w:line="116" w:lineRule="exact"/>
              <w:ind w:left="190"/>
              <w:rPr>
                <w:sz w:val="14"/>
              </w:rPr>
            </w:pPr>
            <w:r>
              <w:rPr>
                <w:color w:val="231F20"/>
                <w:sz w:val="14"/>
              </w:rPr>
              <w:t>Future share sales</w:t>
            </w:r>
          </w:p>
        </w:tc>
        <w:tc>
          <w:tcPr>
            <w:tcW w:w="864" w:type="dxa"/>
          </w:tcPr>
          <w:p>
            <w:pPr>
              <w:pStyle w:val="TableParagraph"/>
              <w:spacing w:line="116" w:lineRule="exact"/>
              <w:ind w:left="399"/>
              <w:rPr>
                <w:sz w:val="14"/>
              </w:rPr>
            </w:pPr>
            <w:r>
              <w:rPr>
                <w:color w:val="231F20"/>
                <w:sz w:val="14"/>
              </w:rPr>
              <w:t>2</w:t>
            </w:r>
          </w:p>
        </w:tc>
        <w:tc>
          <w:tcPr>
            <w:tcW w:w="1153" w:type="dxa"/>
          </w:tcPr>
          <w:p>
            <w:pPr>
              <w:pStyle w:val="TableParagraph"/>
              <w:spacing w:line="116" w:lineRule="exact"/>
              <w:ind w:left="95" w:right="149"/>
              <w:jc w:val="center"/>
              <w:rPr>
                <w:sz w:val="14"/>
              </w:rPr>
            </w:pPr>
            <w:r>
              <w:rPr>
                <w:color w:val="231F20"/>
                <w:sz w:val="14"/>
              </w:rPr>
              <w:t>0.7</w:t>
            </w:r>
          </w:p>
        </w:tc>
      </w:tr>
      <w:tr>
        <w:trPr>
          <w:trHeight w:val="287" w:hRule="atLeast"/>
        </w:trPr>
        <w:tc>
          <w:tcPr>
            <w:tcW w:w="2500" w:type="dxa"/>
          </w:tcPr>
          <w:p>
            <w:pPr>
              <w:pStyle w:val="TableParagraph"/>
              <w:spacing w:line="140" w:lineRule="exact" w:before="5"/>
              <w:ind w:left="260" w:right="264" w:hanging="70"/>
              <w:rPr>
                <w:sz w:val="14"/>
              </w:rPr>
            </w:pPr>
            <w:r>
              <w:rPr>
                <w:color w:val="231F20"/>
                <w:sz w:val="14"/>
              </w:rPr>
              <w:t>Borrowing (dissaving) against share collateral</w:t>
            </w:r>
          </w:p>
        </w:tc>
        <w:tc>
          <w:tcPr>
            <w:tcW w:w="864" w:type="dxa"/>
          </w:tcPr>
          <w:p>
            <w:pPr>
              <w:pStyle w:val="TableParagraph"/>
              <w:spacing w:line="141" w:lineRule="exact" w:before="126"/>
              <w:ind w:left="399"/>
              <w:rPr>
                <w:sz w:val="14"/>
              </w:rPr>
            </w:pPr>
            <w:r>
              <w:rPr>
                <w:color w:val="231F20"/>
                <w:sz w:val="14"/>
              </w:rPr>
              <w:t>1</w:t>
            </w:r>
          </w:p>
        </w:tc>
        <w:tc>
          <w:tcPr>
            <w:tcW w:w="1153" w:type="dxa"/>
          </w:tcPr>
          <w:p>
            <w:pPr>
              <w:pStyle w:val="TableParagraph"/>
              <w:spacing w:line="141" w:lineRule="exact" w:before="126"/>
              <w:ind w:left="95" w:right="149"/>
              <w:jc w:val="center"/>
              <w:rPr>
                <w:sz w:val="14"/>
              </w:rPr>
            </w:pPr>
            <w:r>
              <w:rPr>
                <w:color w:val="231F20"/>
                <w:sz w:val="14"/>
              </w:rPr>
              <w:t>0.4</w:t>
            </w:r>
          </w:p>
        </w:tc>
      </w:tr>
      <w:tr>
        <w:trPr>
          <w:trHeight w:val="272" w:hRule="atLeast"/>
        </w:trPr>
        <w:tc>
          <w:tcPr>
            <w:tcW w:w="2500" w:type="dxa"/>
          </w:tcPr>
          <w:p>
            <w:pPr>
              <w:pStyle w:val="TableParagraph"/>
              <w:spacing w:line="133" w:lineRule="exact" w:before="119"/>
              <w:ind w:left="50"/>
              <w:rPr>
                <w:sz w:val="14"/>
              </w:rPr>
            </w:pPr>
            <w:r>
              <w:rPr>
                <w:color w:val="231F20"/>
                <w:sz w:val="14"/>
              </w:rPr>
              <w:t>Total spending</w:t>
            </w:r>
          </w:p>
        </w:tc>
        <w:tc>
          <w:tcPr>
            <w:tcW w:w="864" w:type="dxa"/>
          </w:tcPr>
          <w:p>
            <w:pPr>
              <w:pStyle w:val="TableParagraph"/>
              <w:spacing w:line="133" w:lineRule="exact" w:before="119"/>
              <w:ind w:left="329"/>
              <w:rPr>
                <w:sz w:val="14"/>
              </w:rPr>
            </w:pPr>
            <w:r>
              <w:rPr>
                <w:color w:val="231F20"/>
                <w:sz w:val="14"/>
              </w:rPr>
              <w:t>26</w:t>
            </w:r>
          </w:p>
        </w:tc>
        <w:tc>
          <w:tcPr>
            <w:tcW w:w="1153" w:type="dxa"/>
          </w:tcPr>
          <w:p>
            <w:pPr>
              <w:pStyle w:val="TableParagraph"/>
              <w:spacing w:line="133" w:lineRule="exact" w:before="119"/>
              <w:ind w:left="95" w:right="149"/>
              <w:jc w:val="center"/>
              <w:rPr>
                <w:sz w:val="14"/>
              </w:rPr>
            </w:pPr>
            <w:r>
              <w:rPr>
                <w:color w:val="231F20"/>
                <w:sz w:val="14"/>
              </w:rPr>
              <w:t>9.7</w:t>
            </w:r>
          </w:p>
        </w:tc>
      </w:tr>
      <w:tr>
        <w:trPr>
          <w:trHeight w:val="287" w:hRule="atLeast"/>
        </w:trPr>
        <w:tc>
          <w:tcPr>
            <w:tcW w:w="2500" w:type="dxa"/>
          </w:tcPr>
          <w:p>
            <w:pPr>
              <w:pStyle w:val="TableParagraph"/>
              <w:spacing w:line="137" w:lineRule="exact"/>
              <w:ind w:left="50"/>
              <w:rPr>
                <w:i/>
                <w:sz w:val="14"/>
              </w:rPr>
            </w:pPr>
            <w:r>
              <w:rPr>
                <w:i/>
                <w:color w:val="231F20"/>
                <w:sz w:val="14"/>
              </w:rPr>
              <w:t>of which:</w:t>
            </w:r>
          </w:p>
          <w:p>
            <w:pPr>
              <w:pStyle w:val="TableParagraph"/>
              <w:spacing w:line="130" w:lineRule="exact"/>
              <w:ind w:left="120"/>
              <w:rPr>
                <w:sz w:val="14"/>
              </w:rPr>
            </w:pPr>
            <w:r>
              <w:rPr>
                <w:color w:val="231F20"/>
                <w:sz w:val="14"/>
              </w:rPr>
              <w:t>Additional spending</w:t>
            </w:r>
          </w:p>
        </w:tc>
        <w:tc>
          <w:tcPr>
            <w:tcW w:w="864" w:type="dxa"/>
          </w:tcPr>
          <w:p>
            <w:pPr>
              <w:pStyle w:val="TableParagraph"/>
              <w:spacing w:line="141" w:lineRule="exact" w:before="126"/>
              <w:ind w:left="329"/>
              <w:rPr>
                <w:sz w:val="14"/>
              </w:rPr>
            </w:pPr>
            <w:r>
              <w:rPr>
                <w:color w:val="231F20"/>
                <w:sz w:val="14"/>
              </w:rPr>
              <w:t>16</w:t>
            </w:r>
          </w:p>
        </w:tc>
        <w:tc>
          <w:tcPr>
            <w:tcW w:w="1153" w:type="dxa"/>
          </w:tcPr>
          <w:p>
            <w:pPr>
              <w:pStyle w:val="TableParagraph"/>
              <w:spacing w:line="141" w:lineRule="exact" w:before="126"/>
              <w:ind w:left="95" w:right="149"/>
              <w:jc w:val="center"/>
              <w:rPr>
                <w:sz w:val="14"/>
              </w:rPr>
            </w:pPr>
            <w:r>
              <w:rPr>
                <w:color w:val="231F20"/>
                <w:sz w:val="14"/>
              </w:rPr>
              <w:t>6.0</w:t>
            </w:r>
          </w:p>
        </w:tc>
      </w:tr>
    </w:tbl>
    <w:p>
      <w:pPr>
        <w:pStyle w:val="BodyText"/>
        <w:rPr>
          <w:b/>
          <w:sz w:val="22"/>
        </w:rPr>
      </w:pPr>
    </w:p>
    <w:p>
      <w:pPr>
        <w:pStyle w:val="ListParagraph"/>
        <w:numPr>
          <w:ilvl w:val="0"/>
          <w:numId w:val="42"/>
        </w:numPr>
        <w:tabs>
          <w:tab w:pos="625" w:val="left" w:leader="none"/>
          <w:tab w:pos="626" w:val="left" w:leader="none"/>
        </w:tabs>
        <w:spacing w:line="232" w:lineRule="auto" w:before="141" w:after="0"/>
        <w:ind w:left="145" w:right="153" w:firstLine="0"/>
        <w:jc w:val="left"/>
        <w:rPr>
          <w:sz w:val="18"/>
        </w:rPr>
      </w:pPr>
      <w:r>
        <w:rPr>
          <w:color w:val="231F20"/>
          <w:sz w:val="18"/>
        </w:rPr>
        <w:t>However, the relaxation of financing constraints on consumers could give rise to further spending which was more difficult to quantify, so the survey alone was likely to provide a lower bound for estimated additional spending. It was </w:t>
      </w:r>
      <w:r>
        <w:rPr>
          <w:color w:val="231F20"/>
          <w:spacing w:val="-2"/>
          <w:sz w:val="18"/>
        </w:rPr>
        <w:t>questionable </w:t>
      </w:r>
      <w:r>
        <w:rPr>
          <w:color w:val="231F20"/>
          <w:sz w:val="18"/>
        </w:rPr>
        <w:t>whether the survey had captured accurately the incremental spending by individuals who were not liquidity constrained. Theory suggested that these individuals would smooth their additional consumption, spending the annuity value in each year: for example, the annuity value of a windfall of £2,000 spread over 30 years with a real interest rate of 4% was a little over £100. It was not clear that these individuals would identify a relatively small increase in spending as a “windfall effect”: in responding to the survey, a large proportion may well have answered that their spending had not increased—ie as if they had saved their windfall.</w:t>
      </w:r>
    </w:p>
    <w:p>
      <w:pPr>
        <w:pStyle w:val="BodyText"/>
        <w:spacing w:line="232" w:lineRule="auto"/>
        <w:ind w:left="145" w:right="126"/>
      </w:pPr>
      <w:r>
        <w:rPr>
          <w:color w:val="231F20"/>
        </w:rPr>
        <w:t>If an adjustment was added to the survey results for such an annuity effect, the total impact on domestic demand over 1997 to 1998 would be close to the estimate embodied in the August </w:t>
      </w:r>
      <w:r>
        <w:rPr>
          <w:i/>
          <w:color w:val="231F20"/>
        </w:rPr>
        <w:t>Inflation </w:t>
      </w:r>
      <w:r>
        <w:rPr>
          <w:i/>
          <w:color w:val="231F20"/>
        </w:rPr>
        <w:t>Report </w:t>
      </w:r>
      <w:r>
        <w:rPr>
          <w:color w:val="231F20"/>
        </w:rPr>
        <w:t>forecast, although the survey suggested a more concentrated impact than previously thought.</w:t>
      </w:r>
    </w:p>
    <w:p>
      <w:pPr>
        <w:pStyle w:val="BodyText"/>
        <w:spacing w:before="1"/>
        <w:rPr>
          <w:sz w:val="23"/>
        </w:rPr>
      </w:pPr>
    </w:p>
    <w:p>
      <w:pPr>
        <w:pStyle w:val="ListParagraph"/>
        <w:numPr>
          <w:ilvl w:val="0"/>
          <w:numId w:val="42"/>
        </w:numPr>
        <w:tabs>
          <w:tab w:pos="625" w:val="left" w:leader="none"/>
          <w:tab w:pos="626" w:val="left" w:leader="none"/>
        </w:tabs>
        <w:spacing w:line="232" w:lineRule="auto" w:before="0" w:after="0"/>
        <w:ind w:left="145" w:right="158" w:firstLine="0"/>
        <w:jc w:val="left"/>
        <w:rPr>
          <w:sz w:val="18"/>
        </w:rPr>
      </w:pPr>
      <w:r>
        <w:rPr>
          <w:color w:val="231F20"/>
          <w:sz w:val="18"/>
        </w:rPr>
        <w:t>The preliminary Q2 figure for aggregate investment, which barely showed an increase, was hard to square with the available partial sectoral data. Manufacturing investment continued to recover from the sharp falls in 1996 whilst investment in the services sector continued to grow strongly; and overall the trends in investment were unchanged despite a weak aggregate figure. To assist an assessment of the prospects for investment, the Bank’s Agents had undertaken in mid-to-late-August a survey of 113 diverse UK companies in manufacturing and services. The survey had confirmed the rather greater readiness to invest of the service sector—driven in particular by capacity shortages—than manufacturing—where cost and efficiency considerations were judged more influential. The survey suggested that overall there may be a slowdown next year, reflecting to some extent uncertainties about demand. The strength of sterling did not </w:t>
      </w:r>
      <w:r>
        <w:rPr>
          <w:color w:val="231F20"/>
          <w:spacing w:val="-3"/>
          <w:sz w:val="18"/>
        </w:rPr>
        <w:t>appear </w:t>
      </w:r>
      <w:r>
        <w:rPr>
          <w:color w:val="231F20"/>
          <w:sz w:val="18"/>
        </w:rPr>
        <w:t>to be a significant deterrent for most companies (although a more important factor than two years ago), perhaps because of the proportion of capital goods imported. Companies with overseas investment programmes on balance expected to increase the proportion spent overseas.</w:t>
      </w:r>
    </w:p>
    <w:p>
      <w:pPr>
        <w:pStyle w:val="BodyText"/>
        <w:spacing w:before="11"/>
        <w:rPr>
          <w:sz w:val="22"/>
        </w:rPr>
      </w:pPr>
    </w:p>
    <w:p>
      <w:pPr>
        <w:pStyle w:val="ListParagraph"/>
        <w:numPr>
          <w:ilvl w:val="0"/>
          <w:numId w:val="42"/>
        </w:numPr>
        <w:tabs>
          <w:tab w:pos="625" w:val="left" w:leader="none"/>
          <w:tab w:pos="626" w:val="left" w:leader="none"/>
        </w:tabs>
        <w:spacing w:line="232" w:lineRule="auto" w:before="0" w:after="0"/>
        <w:ind w:left="145" w:right="293" w:firstLine="0"/>
        <w:jc w:val="left"/>
        <w:rPr>
          <w:sz w:val="18"/>
        </w:rPr>
      </w:pPr>
      <w:r>
        <w:rPr>
          <w:color w:val="231F20"/>
          <w:sz w:val="18"/>
        </w:rPr>
        <w:t>Stockbuilding was estimated to have contributed positively to GDP in Q2 but the data were particularly subject to revision.</w:t>
      </w:r>
    </w:p>
    <w:p>
      <w:pPr>
        <w:spacing w:after="0" w:line="232" w:lineRule="auto"/>
        <w:jc w:val="left"/>
        <w:rPr>
          <w:sz w:val="18"/>
        </w:rPr>
        <w:sectPr>
          <w:type w:val="continuous"/>
          <w:pgSz w:w="11900" w:h="16840"/>
          <w:pgMar w:top="1040" w:bottom="280" w:left="660" w:right="680"/>
          <w:cols w:num="2" w:equalWidth="0">
            <w:col w:w="5070" w:space="310"/>
            <w:col w:w="5180"/>
          </w:cols>
        </w:sectPr>
      </w:pPr>
    </w:p>
    <w:p>
      <w:pPr>
        <w:pStyle w:val="BodyText"/>
        <w:spacing w:before="4"/>
        <w:rPr>
          <w:sz w:val="29"/>
        </w:rPr>
      </w:pPr>
    </w:p>
    <w:p>
      <w:pPr>
        <w:spacing w:after="0"/>
        <w:rPr>
          <w:sz w:val="29"/>
        </w:rPr>
        <w:sectPr>
          <w:pgSz w:w="11900" w:h="16840"/>
          <w:pgMar w:header="566" w:footer="597" w:top="800" w:bottom="780" w:left="660" w:right="680"/>
        </w:sectPr>
      </w:pPr>
    </w:p>
    <w:p>
      <w:pPr>
        <w:pStyle w:val="ListParagraph"/>
        <w:numPr>
          <w:ilvl w:val="0"/>
          <w:numId w:val="42"/>
        </w:numPr>
        <w:tabs>
          <w:tab w:pos="635" w:val="left" w:leader="none"/>
        </w:tabs>
        <w:spacing w:line="232" w:lineRule="auto" w:before="105" w:after="0"/>
        <w:ind w:left="154" w:right="387" w:firstLine="0"/>
        <w:jc w:val="both"/>
        <w:rPr>
          <w:sz w:val="18"/>
        </w:rPr>
      </w:pPr>
      <w:r>
        <w:rPr>
          <w:color w:val="231F20"/>
          <w:sz w:val="18"/>
        </w:rPr>
        <w:t>The latest public sector data, for July, were </w:t>
      </w:r>
      <w:r>
        <w:rPr>
          <w:color w:val="231F20"/>
          <w:spacing w:val="-2"/>
          <w:sz w:val="18"/>
        </w:rPr>
        <w:t>encouraging, </w:t>
      </w:r>
      <w:r>
        <w:rPr>
          <w:color w:val="231F20"/>
          <w:sz w:val="18"/>
        </w:rPr>
        <w:t>with rather greater tax revenues than expected contributing to a reduced PSBR, but much of this may simply have reflected the timing of payments.</w:t>
      </w:r>
    </w:p>
    <w:p>
      <w:pPr>
        <w:pStyle w:val="BodyText"/>
        <w:spacing w:before="1"/>
        <w:rPr>
          <w:sz w:val="17"/>
        </w:rPr>
      </w:pPr>
    </w:p>
    <w:p>
      <w:pPr>
        <w:pStyle w:val="ListParagraph"/>
        <w:numPr>
          <w:ilvl w:val="0"/>
          <w:numId w:val="42"/>
        </w:numPr>
        <w:tabs>
          <w:tab w:pos="634" w:val="left" w:leader="none"/>
          <w:tab w:pos="635" w:val="left" w:leader="none"/>
        </w:tabs>
        <w:spacing w:line="232" w:lineRule="auto" w:before="0" w:after="0"/>
        <w:ind w:left="154" w:right="58" w:firstLine="0"/>
        <w:jc w:val="left"/>
        <w:rPr>
          <w:sz w:val="18"/>
        </w:rPr>
      </w:pPr>
      <w:r>
        <w:rPr>
          <w:color w:val="231F20"/>
          <w:sz w:val="18"/>
        </w:rPr>
        <w:t>The external trade volume data remained surprisingly strong in the face of sterling’s appreciation. More than all of the estimated negative (0.4%) contribution of net trade to GDP growth in Q2 could be explained by oil and erratics. Robust growth in overseas markets, especially in the United States in Q2, may have had a stronger than expected offsetting effect. Disaggregated data suggested that there might be a positive correlation between those sectors most exposed externally, as measured by the contribution of exports and degree of import penetration, and a weakening in output growth.  It was possible that sterling’s appreciation may have had a greater impact on trade volumes than the aggregate data indicated, and this could also help to explain a growing puzzle in trying to equate the supply of and demand for manufactured goods. A large gap had opened up between the strong growth in retail </w:t>
      </w:r>
      <w:r>
        <w:rPr>
          <w:color w:val="231F20"/>
          <w:spacing w:val="-3"/>
          <w:sz w:val="18"/>
        </w:rPr>
        <w:t>sales </w:t>
      </w:r>
      <w:r>
        <w:rPr>
          <w:color w:val="231F20"/>
          <w:sz w:val="18"/>
        </w:rPr>
        <w:t>and much weaker manufactured consumer goods output, which could be at least partly explained by a more rapid growth than so far identified in manufactured import volumes.  Upward revisions to the level of manufacturing output, published with the July data, still left a significant gap.</w:t>
      </w:r>
    </w:p>
    <w:p>
      <w:pPr>
        <w:pStyle w:val="BodyText"/>
        <w:spacing w:before="4"/>
        <w:rPr>
          <w:sz w:val="21"/>
        </w:rPr>
      </w:pPr>
    </w:p>
    <w:p>
      <w:pPr>
        <w:pStyle w:val="ListParagraph"/>
        <w:numPr>
          <w:ilvl w:val="0"/>
          <w:numId w:val="42"/>
        </w:numPr>
        <w:tabs>
          <w:tab w:pos="634" w:val="left" w:leader="none"/>
          <w:tab w:pos="635" w:val="left" w:leader="none"/>
        </w:tabs>
        <w:spacing w:line="232" w:lineRule="auto" w:before="0" w:after="0"/>
        <w:ind w:left="154" w:right="327" w:firstLine="0"/>
        <w:jc w:val="left"/>
        <w:rPr>
          <w:sz w:val="18"/>
        </w:rPr>
      </w:pPr>
      <w:r>
        <w:rPr>
          <w:color w:val="231F20"/>
          <w:sz w:val="18"/>
        </w:rPr>
        <w:t>Industrial production had risen by 0.6% in July; and manufacturing production by 0.4%. Large upward revisions to the level of manufacturing output in the first six months of</w:t>
      </w:r>
      <w:r>
        <w:rPr>
          <w:color w:val="231F20"/>
          <w:spacing w:val="2"/>
          <w:sz w:val="18"/>
        </w:rPr>
        <w:t> </w:t>
      </w:r>
      <w:r>
        <w:rPr>
          <w:color w:val="231F20"/>
          <w:spacing w:val="-5"/>
          <w:sz w:val="18"/>
        </w:rPr>
        <w:t>1997</w:t>
      </w:r>
    </w:p>
    <w:p>
      <w:pPr>
        <w:pStyle w:val="BodyText"/>
        <w:spacing w:line="232" w:lineRule="auto"/>
        <w:ind w:left="154"/>
      </w:pPr>
      <w:r>
        <w:rPr>
          <w:color w:val="231F20"/>
        </w:rPr>
        <w:t>were also published. These had had the effect of raising the level of the June index by 0.7 percentage points from that previously estimated.</w:t>
      </w:r>
    </w:p>
    <w:p>
      <w:pPr>
        <w:pStyle w:val="BodyText"/>
        <w:spacing w:before="2"/>
        <w:rPr>
          <w:sz w:val="22"/>
        </w:rPr>
      </w:pPr>
    </w:p>
    <w:p>
      <w:pPr>
        <w:pStyle w:val="ListParagraph"/>
        <w:numPr>
          <w:ilvl w:val="0"/>
          <w:numId w:val="42"/>
        </w:numPr>
        <w:tabs>
          <w:tab w:pos="634" w:val="left" w:leader="none"/>
          <w:tab w:pos="635" w:val="left" w:leader="none"/>
        </w:tabs>
        <w:spacing w:line="232" w:lineRule="auto" w:before="1" w:after="0"/>
        <w:ind w:left="154" w:right="95" w:firstLine="0"/>
        <w:jc w:val="left"/>
        <w:rPr>
          <w:sz w:val="18"/>
        </w:rPr>
      </w:pPr>
      <w:r>
        <w:rPr>
          <w:color w:val="231F20"/>
          <w:sz w:val="18"/>
        </w:rPr>
        <w:t>The latest survey evidence for manufacturing, from C</w:t>
      </w:r>
      <w:r>
        <w:rPr>
          <w:color w:val="231F20"/>
          <w:sz w:val="14"/>
        </w:rPr>
        <w:t>IPS </w:t>
      </w:r>
      <w:r>
        <w:rPr>
          <w:color w:val="231F20"/>
          <w:spacing w:val="-6"/>
          <w:sz w:val="18"/>
        </w:rPr>
        <w:t>and </w:t>
      </w:r>
      <w:r>
        <w:rPr>
          <w:color w:val="231F20"/>
          <w:sz w:val="18"/>
        </w:rPr>
        <w:t>other surveys, showed further weakening in export orders; and there were suggestions in a number of recent surveys (BCC, C</w:t>
      </w:r>
      <w:r>
        <w:rPr>
          <w:color w:val="231F20"/>
          <w:sz w:val="14"/>
        </w:rPr>
        <w:t>IPS </w:t>
      </w:r>
      <w:r>
        <w:rPr>
          <w:color w:val="231F20"/>
          <w:sz w:val="18"/>
        </w:rPr>
        <w:t>and CBI financial services) that sterling’s appreciation might have been beginning also to affect services.</w:t>
      </w:r>
    </w:p>
    <w:p>
      <w:pPr>
        <w:pStyle w:val="BodyText"/>
        <w:rPr>
          <w:sz w:val="20"/>
        </w:rPr>
      </w:pPr>
    </w:p>
    <w:p>
      <w:pPr>
        <w:pStyle w:val="Heading7"/>
        <w:numPr>
          <w:ilvl w:val="0"/>
          <w:numId w:val="43"/>
        </w:numPr>
        <w:tabs>
          <w:tab w:pos="634" w:val="left" w:leader="none"/>
          <w:tab w:pos="635" w:val="left" w:leader="none"/>
        </w:tabs>
        <w:spacing w:line="240" w:lineRule="auto" w:before="123" w:after="0"/>
        <w:ind w:left="634" w:right="0" w:hanging="481"/>
        <w:jc w:val="left"/>
      </w:pPr>
      <w:r>
        <w:rPr>
          <w:color w:val="009483"/>
        </w:rPr>
        <w:t>Labour</w:t>
      </w:r>
      <w:r>
        <w:rPr>
          <w:color w:val="009483"/>
          <w:spacing w:val="-1"/>
        </w:rPr>
        <w:t> </w:t>
      </w:r>
      <w:r>
        <w:rPr>
          <w:color w:val="009483"/>
        </w:rPr>
        <w:t>market</w:t>
      </w:r>
    </w:p>
    <w:p>
      <w:pPr>
        <w:pStyle w:val="ListParagraph"/>
        <w:numPr>
          <w:ilvl w:val="0"/>
          <w:numId w:val="42"/>
        </w:numPr>
        <w:tabs>
          <w:tab w:pos="634" w:val="left" w:leader="none"/>
          <w:tab w:pos="635" w:val="left" w:leader="none"/>
        </w:tabs>
        <w:spacing w:line="232" w:lineRule="auto" w:before="190" w:after="0"/>
        <w:ind w:left="154" w:right="192" w:firstLine="0"/>
        <w:jc w:val="left"/>
        <w:rPr>
          <w:sz w:val="18"/>
        </w:rPr>
      </w:pPr>
      <w:r>
        <w:rPr>
          <w:color w:val="231F20"/>
          <w:sz w:val="18"/>
        </w:rPr>
        <w:t>There was little news in the labour market data this </w:t>
      </w:r>
      <w:r>
        <w:rPr>
          <w:color w:val="231F20"/>
          <w:spacing w:val="-3"/>
          <w:sz w:val="18"/>
        </w:rPr>
        <w:t>month. </w:t>
      </w:r>
      <w:r>
        <w:rPr>
          <w:color w:val="231F20"/>
          <w:sz w:val="18"/>
        </w:rPr>
        <w:t>Claimant count unemployment fell by 50,000 in July to</w:t>
      </w:r>
    </w:p>
    <w:p>
      <w:pPr>
        <w:pStyle w:val="BodyText"/>
        <w:spacing w:line="232" w:lineRule="auto"/>
        <w:ind w:left="154" w:right="70"/>
      </w:pPr>
      <w:r>
        <w:rPr>
          <w:color w:val="231F20"/>
        </w:rPr>
        <w:t>1.55 million, the lowest level for 17 years, representing 5.5% of the workforce. Some 20,000 of the fall was explained by rather fewer students than normal registering, possibly deterred by the tighter JSA rules.</w:t>
      </w:r>
    </w:p>
    <w:p>
      <w:pPr>
        <w:pStyle w:val="BodyText"/>
        <w:spacing w:before="5"/>
        <w:rPr>
          <w:sz w:val="20"/>
        </w:rPr>
      </w:pPr>
    </w:p>
    <w:p>
      <w:pPr>
        <w:pStyle w:val="ListParagraph"/>
        <w:numPr>
          <w:ilvl w:val="0"/>
          <w:numId w:val="42"/>
        </w:numPr>
        <w:tabs>
          <w:tab w:pos="634" w:val="left" w:leader="none"/>
          <w:tab w:pos="635" w:val="left" w:leader="none"/>
        </w:tabs>
        <w:spacing w:line="232" w:lineRule="auto" w:before="0" w:after="0"/>
        <w:ind w:left="154" w:right="57" w:firstLine="0"/>
        <w:jc w:val="left"/>
        <w:rPr>
          <w:sz w:val="18"/>
        </w:rPr>
      </w:pPr>
      <w:r>
        <w:rPr>
          <w:color w:val="231F20"/>
          <w:sz w:val="18"/>
        </w:rPr>
        <w:t>The number of notified vacancies increased by 1,500, less than the recent monthly average of around 3,500. Whilst the </w:t>
      </w:r>
      <w:r>
        <w:rPr>
          <w:color w:val="231F20"/>
          <w:spacing w:val="-3"/>
          <w:sz w:val="18"/>
        </w:rPr>
        <w:t>inflow </w:t>
      </w:r>
      <w:r>
        <w:rPr>
          <w:color w:val="231F20"/>
          <w:sz w:val="18"/>
        </w:rPr>
        <w:t>of notified vacancies was declining, placings were declining even faster, perhaps reflecting skill shortages.</w:t>
      </w:r>
    </w:p>
    <w:p>
      <w:pPr>
        <w:pStyle w:val="BodyText"/>
        <w:spacing w:before="7"/>
        <w:rPr>
          <w:sz w:val="20"/>
        </w:rPr>
      </w:pPr>
    </w:p>
    <w:p>
      <w:pPr>
        <w:pStyle w:val="ListParagraph"/>
        <w:numPr>
          <w:ilvl w:val="0"/>
          <w:numId w:val="42"/>
        </w:numPr>
        <w:tabs>
          <w:tab w:pos="634" w:val="left" w:leader="none"/>
          <w:tab w:pos="635" w:val="left" w:leader="none"/>
        </w:tabs>
        <w:spacing w:line="232" w:lineRule="auto" w:before="0" w:after="0"/>
        <w:ind w:left="154" w:right="97" w:firstLine="0"/>
        <w:jc w:val="left"/>
        <w:rPr>
          <w:sz w:val="18"/>
        </w:rPr>
      </w:pPr>
      <w:r>
        <w:rPr>
          <w:color w:val="231F20"/>
          <w:sz w:val="18"/>
        </w:rPr>
        <w:t>Underlying average earnings growth was estimated to have remained unchanged at 4</w:t>
      </w:r>
      <w:r>
        <w:rPr>
          <w:color w:val="231F20"/>
          <w:position w:val="6"/>
          <w:sz w:val="9"/>
        </w:rPr>
        <w:t>1</w:t>
      </w:r>
      <w:r>
        <w:rPr>
          <w:color w:val="231F20"/>
          <w:sz w:val="18"/>
        </w:rPr>
        <w:t>/</w:t>
      </w:r>
      <w:r>
        <w:rPr>
          <w:color w:val="231F20"/>
          <w:sz w:val="9"/>
        </w:rPr>
        <w:t>4</w:t>
      </w:r>
      <w:r>
        <w:rPr>
          <w:color w:val="231F20"/>
          <w:sz w:val="18"/>
        </w:rPr>
        <w:t>% in June, with services unchanged at 4</w:t>
      </w:r>
      <w:r>
        <w:rPr>
          <w:color w:val="231F20"/>
          <w:position w:val="6"/>
          <w:sz w:val="9"/>
        </w:rPr>
        <w:t>1</w:t>
      </w:r>
      <w:r>
        <w:rPr>
          <w:color w:val="231F20"/>
          <w:sz w:val="18"/>
        </w:rPr>
        <w:t>/</w:t>
      </w:r>
      <w:r>
        <w:rPr>
          <w:color w:val="231F20"/>
          <w:sz w:val="9"/>
        </w:rPr>
        <w:t>2</w:t>
      </w:r>
      <w:r>
        <w:rPr>
          <w:color w:val="231F20"/>
          <w:sz w:val="18"/>
        </w:rPr>
        <w:t>% and manufacturing unchanged at 4</w:t>
      </w:r>
      <w:r>
        <w:rPr>
          <w:color w:val="231F20"/>
          <w:position w:val="6"/>
          <w:sz w:val="9"/>
        </w:rPr>
        <w:t>1</w:t>
      </w:r>
      <w:r>
        <w:rPr>
          <w:color w:val="231F20"/>
          <w:sz w:val="18"/>
        </w:rPr>
        <w:t>/</w:t>
      </w:r>
      <w:r>
        <w:rPr>
          <w:color w:val="231F20"/>
          <w:sz w:val="9"/>
        </w:rPr>
        <w:t>4</w:t>
      </w:r>
      <w:r>
        <w:rPr>
          <w:color w:val="231F20"/>
          <w:sz w:val="18"/>
        </w:rPr>
        <w:t>%. As a result, average earnings growth in Q2 was lower than in Q1 when bonuses </w:t>
      </w:r>
      <w:r>
        <w:rPr>
          <w:color w:val="231F20"/>
          <w:spacing w:val="-3"/>
          <w:sz w:val="18"/>
        </w:rPr>
        <w:t>inflated </w:t>
      </w:r>
      <w:r>
        <w:rPr>
          <w:color w:val="231F20"/>
          <w:sz w:val="18"/>
        </w:rPr>
        <w:t>the data: after smoothing for bonuses, average earnings were currently estimated by Bank staff to be growing at a little under 4</w:t>
      </w:r>
      <w:r>
        <w:rPr>
          <w:color w:val="231F20"/>
          <w:position w:val="6"/>
          <w:sz w:val="9"/>
        </w:rPr>
        <w:t>1</w:t>
      </w:r>
      <w:r>
        <w:rPr>
          <w:color w:val="231F20"/>
          <w:sz w:val="18"/>
        </w:rPr>
        <w:t>/</w:t>
      </w:r>
      <w:r>
        <w:rPr>
          <w:color w:val="231F20"/>
          <w:sz w:val="9"/>
        </w:rPr>
        <w:t>2</w:t>
      </w:r>
      <w:r>
        <w:rPr>
          <w:color w:val="231F20"/>
          <w:sz w:val="18"/>
        </w:rPr>
        <w:t>%.</w:t>
      </w:r>
    </w:p>
    <w:p>
      <w:pPr>
        <w:pStyle w:val="BodyText"/>
        <w:spacing w:before="11"/>
        <w:rPr>
          <w:sz w:val="16"/>
        </w:rPr>
      </w:pPr>
    </w:p>
    <w:p>
      <w:pPr>
        <w:pStyle w:val="ListParagraph"/>
        <w:numPr>
          <w:ilvl w:val="0"/>
          <w:numId w:val="42"/>
        </w:numPr>
        <w:tabs>
          <w:tab w:pos="634" w:val="left" w:leader="none"/>
          <w:tab w:pos="635" w:val="left" w:leader="none"/>
        </w:tabs>
        <w:spacing w:line="232" w:lineRule="auto" w:before="0" w:after="0"/>
        <w:ind w:left="154" w:right="38" w:firstLine="0"/>
        <w:jc w:val="left"/>
        <w:rPr>
          <w:sz w:val="18"/>
        </w:rPr>
      </w:pPr>
      <w:r>
        <w:rPr>
          <w:color w:val="231F20"/>
          <w:sz w:val="18"/>
        </w:rPr>
        <w:t>There was no significant change in wage settlements in the twelve months to July, with whole economy settlements continuing to grow at 3.1%, with private and public sector components at 3.5% and 2.7% respectively. Within the private sector, services—at 3.6%—were running ahead of the production industries—at 3.2%. The Bank’s Agents continued to corroborate reports of quite widespread skill shortages in specific sectors and evidence of pay premia to retain key staff. The 5% construction workers’ settlement would affect the August data, significantly raising the three-month rate then.</w:t>
      </w:r>
    </w:p>
    <w:p>
      <w:pPr>
        <w:pStyle w:val="Heading7"/>
        <w:numPr>
          <w:ilvl w:val="0"/>
          <w:numId w:val="43"/>
        </w:numPr>
        <w:tabs>
          <w:tab w:pos="634" w:val="left" w:leader="none"/>
          <w:tab w:pos="635" w:val="left" w:leader="none"/>
        </w:tabs>
        <w:spacing w:line="240" w:lineRule="auto" w:before="91" w:after="0"/>
        <w:ind w:left="634" w:right="0" w:hanging="481"/>
        <w:jc w:val="left"/>
      </w:pPr>
      <w:r>
        <w:rPr>
          <w:color w:val="009483"/>
        </w:rPr>
        <w:br w:type="column"/>
        <w:t>Prices</w:t>
      </w:r>
    </w:p>
    <w:p>
      <w:pPr>
        <w:pStyle w:val="ListParagraph"/>
        <w:numPr>
          <w:ilvl w:val="0"/>
          <w:numId w:val="42"/>
        </w:numPr>
        <w:tabs>
          <w:tab w:pos="634" w:val="left" w:leader="none"/>
          <w:tab w:pos="635" w:val="left" w:leader="none"/>
        </w:tabs>
        <w:spacing w:line="232" w:lineRule="auto" w:before="189" w:after="0"/>
        <w:ind w:left="154" w:right="117" w:firstLine="0"/>
        <w:jc w:val="left"/>
        <w:rPr>
          <w:sz w:val="18"/>
        </w:rPr>
      </w:pPr>
      <w:r>
        <w:rPr>
          <w:color w:val="231F20"/>
          <w:sz w:val="18"/>
        </w:rPr>
        <w:t>The Bank’s index of sterling commodity prices (weighted by UK usage) showed a further small fall in July, to 7.3% below a </w:t>
      </w:r>
      <w:r>
        <w:rPr>
          <w:color w:val="231F20"/>
          <w:spacing w:val="-5"/>
          <w:sz w:val="18"/>
        </w:rPr>
        <w:t>year </w:t>
      </w:r>
      <w:r>
        <w:rPr>
          <w:color w:val="231F20"/>
          <w:sz w:val="18"/>
        </w:rPr>
        <w:t>ago. By contrast the Economist index showed a small rise in dollar commodity prices in recent months, particularly because of the rather bigger weight attached to metals prices. Oil prices had risen in early August on uncertainties over Iraqi supplies, but had since fallen back to their July level.</w:t>
      </w:r>
    </w:p>
    <w:p>
      <w:pPr>
        <w:pStyle w:val="BodyText"/>
        <w:spacing w:before="10"/>
        <w:rPr>
          <w:sz w:val="16"/>
        </w:rPr>
      </w:pPr>
    </w:p>
    <w:p>
      <w:pPr>
        <w:pStyle w:val="ListParagraph"/>
        <w:numPr>
          <w:ilvl w:val="0"/>
          <w:numId w:val="42"/>
        </w:numPr>
        <w:tabs>
          <w:tab w:pos="634" w:val="left" w:leader="none"/>
          <w:tab w:pos="635" w:val="left" w:leader="none"/>
        </w:tabs>
        <w:spacing w:line="232" w:lineRule="auto" w:before="0" w:after="0"/>
        <w:ind w:left="154" w:right="142" w:firstLine="0"/>
        <w:jc w:val="left"/>
        <w:rPr>
          <w:sz w:val="18"/>
        </w:rPr>
      </w:pPr>
      <w:r>
        <w:rPr>
          <w:color w:val="231F20"/>
          <w:sz w:val="18"/>
        </w:rPr>
        <w:t>Although producer input prices fell again in July, under the influence of sterling appreciation and favourable supply conditions, they rather unexpectedly increased in August, by 0.6% to stand</w:t>
      </w:r>
    </w:p>
    <w:p>
      <w:pPr>
        <w:pStyle w:val="BodyText"/>
        <w:spacing w:line="232" w:lineRule="auto"/>
        <w:ind w:left="154" w:right="99"/>
      </w:pPr>
      <w:r>
        <w:rPr>
          <w:color w:val="231F20"/>
        </w:rPr>
        <w:t>7.8 % below a year ago, under the impact particularly of higher oil and zinc prices. Producer output prices showed a modest rise in July, accounted for by higher excise duties, and again in August, when there were small increases spread across a range of industries. Output prices were now 1.4% above a year ago. Difficulties in raising prices of goods for domestic consumption in the face of competition from imports were widely reported.</w:t>
      </w:r>
    </w:p>
    <w:p>
      <w:pPr>
        <w:pStyle w:val="BodyText"/>
        <w:spacing w:before="8"/>
        <w:rPr>
          <w:sz w:val="16"/>
        </w:rPr>
      </w:pPr>
    </w:p>
    <w:p>
      <w:pPr>
        <w:pStyle w:val="ListParagraph"/>
        <w:numPr>
          <w:ilvl w:val="0"/>
          <w:numId w:val="42"/>
        </w:numPr>
        <w:tabs>
          <w:tab w:pos="634" w:val="left" w:leader="none"/>
          <w:tab w:pos="635" w:val="left" w:leader="none"/>
        </w:tabs>
        <w:spacing w:line="232" w:lineRule="auto" w:before="1" w:after="0"/>
        <w:ind w:left="154" w:right="112" w:firstLine="0"/>
        <w:jc w:val="left"/>
        <w:rPr>
          <w:sz w:val="18"/>
        </w:rPr>
      </w:pPr>
      <w:r>
        <w:rPr>
          <w:color w:val="231F20"/>
          <w:sz w:val="18"/>
        </w:rPr>
        <w:t>Export prices had been slow to react to sterling’s appreciation but there was evidence of an increasing impact: in </w:t>
      </w:r>
      <w:r>
        <w:rPr>
          <w:color w:val="231F20"/>
          <w:spacing w:val="-6"/>
          <w:sz w:val="18"/>
        </w:rPr>
        <w:t>Q2, </w:t>
      </w:r>
      <w:r>
        <w:rPr>
          <w:color w:val="231F20"/>
          <w:sz w:val="18"/>
        </w:rPr>
        <w:t>excluding oil and erratics, sterling export prices were 1.7% lower than in Q1, on a non-annualised basis, with prices to the non-EU falling faster than to the European Union.</w:t>
      </w:r>
    </w:p>
    <w:p>
      <w:pPr>
        <w:pStyle w:val="BodyText"/>
        <w:rPr>
          <w:sz w:val="17"/>
        </w:rPr>
      </w:pPr>
    </w:p>
    <w:p>
      <w:pPr>
        <w:pStyle w:val="ListParagraph"/>
        <w:numPr>
          <w:ilvl w:val="0"/>
          <w:numId w:val="42"/>
        </w:numPr>
        <w:tabs>
          <w:tab w:pos="634" w:val="left" w:leader="none"/>
          <w:tab w:pos="635" w:val="left" w:leader="none"/>
        </w:tabs>
        <w:spacing w:line="232" w:lineRule="auto" w:before="0" w:after="0"/>
        <w:ind w:left="154" w:right="167" w:firstLine="0"/>
        <w:jc w:val="left"/>
        <w:rPr>
          <w:sz w:val="18"/>
        </w:rPr>
      </w:pPr>
      <w:r>
        <w:rPr>
          <w:color w:val="231F20"/>
          <w:sz w:val="18"/>
        </w:rPr>
        <w:t>Import prices continued to fall steadily, to a level in June some 6% lower than last August when sterling began to appreciate, but nevertheless the pace of the pass-through had been slow. The partial non-EU data indicated a further fall in July. Bank staff pointed out that the ONS did not collect import prices for distinct EU and non-EU goods, but used trade value weights to derive different price indices. This could explain why import volumes appeared, oddly, to have been growing much faster from non-EU countries. It is conceivable that, within the growing value data, import prices from the European Union might have been overestimated and volumes commensurately underestimated. Moreover the method for estimating total import prices left open the possibility that they may have been overstated (particularly for finished manufactures); and even quite a small measurement error could have had significant effects, through import volumes, on the GDP expenditure estimates (and hence on the reconciliation with GDP on an output basis).</w:t>
      </w:r>
    </w:p>
    <w:p>
      <w:pPr>
        <w:pStyle w:val="BodyText"/>
        <w:spacing w:before="8"/>
        <w:rPr>
          <w:sz w:val="19"/>
        </w:rPr>
      </w:pPr>
    </w:p>
    <w:p>
      <w:pPr>
        <w:pStyle w:val="ListParagraph"/>
        <w:numPr>
          <w:ilvl w:val="0"/>
          <w:numId w:val="42"/>
        </w:numPr>
        <w:tabs>
          <w:tab w:pos="634" w:val="left" w:leader="none"/>
          <w:tab w:pos="635" w:val="left" w:leader="none"/>
        </w:tabs>
        <w:spacing w:line="232" w:lineRule="auto" w:before="0" w:after="0"/>
        <w:ind w:left="154" w:right="117" w:firstLine="0"/>
        <w:jc w:val="left"/>
        <w:rPr>
          <w:sz w:val="18"/>
        </w:rPr>
      </w:pPr>
      <w:r>
        <w:rPr>
          <w:color w:val="231F20"/>
          <w:sz w:val="18"/>
        </w:rPr>
        <w:t>Manufacturers’ domestic margins were estimated to be widening only slowly despite falling input prices, and export margins were narrowing as export prices fell. By contrast estimates of retailers’ margins showed a marked further rise in Q2, as retail prices continued to rise in the face of strong retail sales volumes whilst weighted costs decelerated and began to fall, with falling fuel costs recently and bought-in goods prices, notably foods, over the last year.</w:t>
      </w:r>
    </w:p>
    <w:p>
      <w:pPr>
        <w:pStyle w:val="BodyText"/>
        <w:spacing w:before="3"/>
        <w:rPr>
          <w:sz w:val="20"/>
        </w:rPr>
      </w:pPr>
    </w:p>
    <w:p>
      <w:pPr>
        <w:pStyle w:val="ListParagraph"/>
        <w:numPr>
          <w:ilvl w:val="0"/>
          <w:numId w:val="42"/>
        </w:numPr>
        <w:tabs>
          <w:tab w:pos="634" w:val="left" w:leader="none"/>
          <w:tab w:pos="635" w:val="left" w:leader="none"/>
        </w:tabs>
        <w:spacing w:line="232" w:lineRule="auto" w:before="1" w:after="0"/>
        <w:ind w:left="154" w:right="131" w:firstLine="0"/>
        <w:jc w:val="left"/>
        <w:rPr>
          <w:sz w:val="18"/>
        </w:rPr>
      </w:pPr>
      <w:r>
        <w:rPr>
          <w:color w:val="231F20"/>
          <w:sz w:val="18"/>
        </w:rPr>
        <w:t>RPIX inflation fell back a little in August, to 2.8% from 3% in July, following the unwinding of recent increases in seasonal food prices. RPIY inflation moderated slightly, to 2.1% in August. By contrast, headline RPI inflation increased to 3.5%, from 3.3% </w:t>
      </w:r>
      <w:r>
        <w:rPr>
          <w:color w:val="231F20"/>
          <w:spacing w:val="-9"/>
          <w:sz w:val="18"/>
        </w:rPr>
        <w:t>in </w:t>
      </w:r>
      <w:r>
        <w:rPr>
          <w:color w:val="231F20"/>
          <w:sz w:val="18"/>
        </w:rPr>
        <w:t>July and 2.9% in June, under the influence of mortgage interest </w:t>
      </w:r>
      <w:r>
        <w:rPr>
          <w:color w:val="231F20"/>
          <w:spacing w:val="-3"/>
          <w:sz w:val="18"/>
        </w:rPr>
        <w:t>rate </w:t>
      </w:r>
      <w:r>
        <w:rPr>
          <w:color w:val="231F20"/>
          <w:sz w:val="18"/>
        </w:rPr>
        <w:t>changes this year and last.</w:t>
      </w:r>
    </w:p>
    <w:p>
      <w:pPr>
        <w:pStyle w:val="BodyText"/>
        <w:spacing w:before="5"/>
        <w:rPr>
          <w:sz w:val="20"/>
        </w:rPr>
      </w:pPr>
    </w:p>
    <w:p>
      <w:pPr>
        <w:pStyle w:val="ListParagraph"/>
        <w:numPr>
          <w:ilvl w:val="0"/>
          <w:numId w:val="42"/>
        </w:numPr>
        <w:tabs>
          <w:tab w:pos="634" w:val="left" w:leader="none"/>
          <w:tab w:pos="635" w:val="left" w:leader="none"/>
        </w:tabs>
        <w:spacing w:line="232" w:lineRule="auto" w:before="0" w:after="0"/>
        <w:ind w:left="154" w:right="172" w:firstLine="0"/>
        <w:jc w:val="left"/>
        <w:rPr>
          <w:sz w:val="18"/>
        </w:rPr>
      </w:pPr>
      <w:r>
        <w:rPr>
          <w:color w:val="231F20"/>
          <w:sz w:val="18"/>
        </w:rPr>
        <w:t>On an international comparison, UK inflation clearly stood above many other major countries: within Europe on the harmonised CPI measure, where the United Kingdom stood in July at 2%, only Denmark and Greece had higher inflation (on the </w:t>
      </w:r>
      <w:r>
        <w:rPr>
          <w:color w:val="231F20"/>
          <w:spacing w:val="-3"/>
          <w:sz w:val="18"/>
        </w:rPr>
        <w:t>latest </w:t>
      </w:r>
      <w:r>
        <w:rPr>
          <w:color w:val="231F20"/>
          <w:sz w:val="18"/>
        </w:rPr>
        <w:t>comprehensive data for June).</w:t>
      </w:r>
    </w:p>
    <w:p>
      <w:pPr>
        <w:pStyle w:val="BodyText"/>
        <w:spacing w:before="6"/>
        <w:rPr>
          <w:sz w:val="20"/>
        </w:rPr>
      </w:pPr>
    </w:p>
    <w:p>
      <w:pPr>
        <w:pStyle w:val="ListParagraph"/>
        <w:numPr>
          <w:ilvl w:val="0"/>
          <w:numId w:val="42"/>
        </w:numPr>
        <w:tabs>
          <w:tab w:pos="634" w:val="left" w:leader="none"/>
          <w:tab w:pos="635" w:val="left" w:leader="none"/>
        </w:tabs>
        <w:spacing w:line="232" w:lineRule="auto" w:before="0" w:after="0"/>
        <w:ind w:left="154" w:right="177" w:firstLine="0"/>
        <w:jc w:val="left"/>
        <w:rPr>
          <w:sz w:val="18"/>
        </w:rPr>
      </w:pPr>
      <w:r>
        <w:rPr>
          <w:color w:val="231F20"/>
          <w:sz w:val="18"/>
        </w:rPr>
        <w:t>Looking ahead, with cost pressures remaining weak and as sterling’s appreciation continued to have an impact, RPIX inflation was expected to moderate, although the risks remained on the upside.</w:t>
      </w:r>
    </w:p>
    <w:p>
      <w:pPr>
        <w:spacing w:after="0" w:line="232" w:lineRule="auto"/>
        <w:jc w:val="left"/>
        <w:rPr>
          <w:sz w:val="18"/>
        </w:rPr>
        <w:sectPr>
          <w:type w:val="continuous"/>
          <w:pgSz w:w="11900" w:h="16840"/>
          <w:pgMar w:top="1040" w:bottom="280" w:left="660" w:right="680"/>
          <w:cols w:num="2" w:equalWidth="0">
            <w:col w:w="5108" w:space="285"/>
            <w:col w:w="5167"/>
          </w:cols>
        </w:sectPr>
      </w:pPr>
    </w:p>
    <w:p>
      <w:pPr>
        <w:pStyle w:val="BodyText"/>
        <w:spacing w:before="4"/>
        <w:rPr>
          <w:sz w:val="29"/>
        </w:rPr>
      </w:pPr>
    </w:p>
    <w:p>
      <w:pPr>
        <w:spacing w:after="0"/>
        <w:rPr>
          <w:sz w:val="29"/>
        </w:rPr>
        <w:sectPr>
          <w:pgSz w:w="11900" w:h="16840"/>
          <w:pgMar w:header="566" w:footer="597" w:top="800" w:bottom="780" w:left="660" w:right="680"/>
        </w:sectPr>
      </w:pPr>
    </w:p>
    <w:p>
      <w:pPr>
        <w:pStyle w:val="Heading7"/>
        <w:numPr>
          <w:ilvl w:val="0"/>
          <w:numId w:val="43"/>
        </w:numPr>
        <w:tabs>
          <w:tab w:pos="625" w:val="left" w:leader="none"/>
          <w:tab w:pos="626" w:val="left" w:leader="none"/>
        </w:tabs>
        <w:spacing w:line="240" w:lineRule="auto" w:before="91" w:after="0"/>
        <w:ind w:left="625" w:right="0" w:hanging="481"/>
        <w:jc w:val="left"/>
      </w:pPr>
      <w:r>
        <w:rPr>
          <w:color w:val="009483"/>
        </w:rPr>
        <w:t>Information from financial</w:t>
      </w:r>
      <w:r>
        <w:rPr>
          <w:color w:val="009483"/>
          <w:spacing w:val="-3"/>
        </w:rPr>
        <w:t> </w:t>
      </w:r>
      <w:r>
        <w:rPr>
          <w:color w:val="009483"/>
        </w:rPr>
        <w:t>markets</w:t>
      </w:r>
    </w:p>
    <w:p>
      <w:pPr>
        <w:pStyle w:val="ListParagraph"/>
        <w:numPr>
          <w:ilvl w:val="0"/>
          <w:numId w:val="42"/>
        </w:numPr>
        <w:tabs>
          <w:tab w:pos="625" w:val="left" w:leader="none"/>
          <w:tab w:pos="626" w:val="left" w:leader="none"/>
        </w:tabs>
        <w:spacing w:line="232" w:lineRule="auto" w:before="189" w:after="0"/>
        <w:ind w:left="145" w:right="57" w:firstLine="0"/>
        <w:jc w:val="left"/>
        <w:rPr>
          <w:sz w:val="18"/>
        </w:rPr>
      </w:pPr>
      <w:r>
        <w:rPr>
          <w:color w:val="231F20"/>
          <w:sz w:val="18"/>
        </w:rPr>
        <w:t>The sterling ERI stood at 99.9 (1990 average = 100) at the close of business on 10 September, 4% lower than the level </w:t>
      </w:r>
      <w:r>
        <w:rPr>
          <w:color w:val="231F20"/>
          <w:spacing w:val="-3"/>
          <w:sz w:val="18"/>
        </w:rPr>
        <w:t>(103.9) </w:t>
      </w:r>
      <w:r>
        <w:rPr>
          <w:color w:val="231F20"/>
          <w:sz w:val="18"/>
        </w:rPr>
        <w:t>on 6 August, the eve of the final part of the August Committee. Over this period sterling had fallen by 5% against the Deutsche Mark, although by only 1% against the dollar.  Since its peak on  23 July, sterling had fallen back by 6.8% on its ERI, and by 7.5% and 5.9% against the Deutsche Mark and dollar respectively.</w:t>
      </w:r>
    </w:p>
    <w:p>
      <w:pPr>
        <w:pStyle w:val="BodyText"/>
        <w:spacing w:before="10"/>
        <w:rPr>
          <w:sz w:val="16"/>
        </w:rPr>
      </w:pPr>
    </w:p>
    <w:p>
      <w:pPr>
        <w:pStyle w:val="ListParagraph"/>
        <w:numPr>
          <w:ilvl w:val="0"/>
          <w:numId w:val="42"/>
        </w:numPr>
        <w:tabs>
          <w:tab w:pos="625" w:val="left" w:leader="none"/>
          <w:tab w:pos="626" w:val="left" w:leader="none"/>
        </w:tabs>
        <w:spacing w:line="232" w:lineRule="auto" w:before="0" w:after="0"/>
        <w:ind w:left="145" w:right="38" w:firstLine="0"/>
        <w:jc w:val="left"/>
        <w:rPr>
          <w:sz w:val="18"/>
        </w:rPr>
      </w:pPr>
      <w:r>
        <w:rPr>
          <w:color w:val="231F20"/>
          <w:sz w:val="18"/>
        </w:rPr>
        <w:t>The foreign exchange markets had been volatile in August, even more so than normal. The Deutsche Mark had recovered </w:t>
      </w:r>
      <w:r>
        <w:rPr>
          <w:color w:val="231F20"/>
          <w:spacing w:val="-5"/>
          <w:sz w:val="18"/>
        </w:rPr>
        <w:t>some </w:t>
      </w:r>
      <w:r>
        <w:rPr>
          <w:color w:val="231F20"/>
          <w:sz w:val="18"/>
        </w:rPr>
        <w:t>of its recent losses, particularly against the US dollar and sterling, on a belief that the strengthening German economy could lead the Bundesbank to begin raising interest rates later this year, earlier than previously thought. But the yen had weakened, as the large depreciations in many SE Asian currencies encouraged the view that the Japanese authorities would be less hostile to a lower value for the yen in order to alleviate some of the competitive losses which Japan would otherwise suffer.</w:t>
      </w:r>
    </w:p>
    <w:p>
      <w:pPr>
        <w:pStyle w:val="BodyText"/>
        <w:spacing w:before="5"/>
      </w:pPr>
    </w:p>
    <w:p>
      <w:pPr>
        <w:pStyle w:val="ListParagraph"/>
        <w:numPr>
          <w:ilvl w:val="0"/>
          <w:numId w:val="42"/>
        </w:numPr>
        <w:tabs>
          <w:tab w:pos="625" w:val="left" w:leader="none"/>
          <w:tab w:pos="626" w:val="left" w:leader="none"/>
        </w:tabs>
        <w:spacing w:line="232" w:lineRule="auto" w:before="1" w:after="0"/>
        <w:ind w:left="145" w:right="437" w:firstLine="0"/>
        <w:jc w:val="left"/>
        <w:rPr>
          <w:i/>
          <w:sz w:val="18"/>
        </w:rPr>
      </w:pPr>
      <w:r>
        <w:rPr>
          <w:color w:val="231F20"/>
          <w:sz w:val="18"/>
        </w:rPr>
        <w:t>Sterling had fallen sharply, against the dollar, </w:t>
      </w:r>
      <w:r>
        <w:rPr>
          <w:color w:val="231F20"/>
          <w:spacing w:val="-3"/>
          <w:sz w:val="18"/>
        </w:rPr>
        <w:t>Deutsche </w:t>
      </w:r>
      <w:r>
        <w:rPr>
          <w:color w:val="231F20"/>
          <w:sz w:val="18"/>
        </w:rPr>
        <w:t>Mark and on the ERI, in the aftermath of the Committee announcement accompanying the </w:t>
      </w:r>
      <w:r>
        <w:rPr>
          <w:color w:val="231F20"/>
          <w:position w:val="6"/>
          <w:sz w:val="9"/>
        </w:rPr>
        <w:t>1</w:t>
      </w:r>
      <w:r>
        <w:rPr>
          <w:color w:val="231F20"/>
          <w:sz w:val="18"/>
        </w:rPr>
        <w:t>/</w:t>
      </w:r>
      <w:r>
        <w:rPr>
          <w:color w:val="231F20"/>
          <w:sz w:val="9"/>
        </w:rPr>
        <w:t>4</w:t>
      </w:r>
      <w:r>
        <w:rPr>
          <w:color w:val="231F20"/>
          <w:sz w:val="18"/>
        </w:rPr>
        <w:t>% rise in interest rates on 7 August. It had fallen further on 13 August, as the</w:t>
      </w:r>
      <w:r>
        <w:rPr>
          <w:color w:val="231F20"/>
          <w:spacing w:val="-2"/>
          <w:sz w:val="18"/>
        </w:rPr>
        <w:t> </w:t>
      </w:r>
      <w:r>
        <w:rPr>
          <w:i/>
          <w:color w:val="231F20"/>
          <w:sz w:val="18"/>
        </w:rPr>
        <w:t>Inflation</w:t>
      </w:r>
    </w:p>
    <w:p>
      <w:pPr>
        <w:pStyle w:val="BodyText"/>
        <w:spacing w:line="232" w:lineRule="auto"/>
        <w:ind w:left="145" w:right="45"/>
      </w:pPr>
      <w:r>
        <w:rPr>
          <w:i/>
          <w:color w:val="231F20"/>
        </w:rPr>
        <w:t>Report </w:t>
      </w:r>
      <w:r>
        <w:rPr>
          <w:color w:val="231F20"/>
        </w:rPr>
        <w:t>had confirmed the message that the central projection for inflation two years ahead was in line with the inflation target, although with the risks skewed on the upside, and as the Bundesbank had published its monthly report which had led to speculation about a possible rise in German interest rates. Sterling might also have been affected by market rumours, subsequently denied by HM Treasury, that the Government would take the United Kingdom into the single currency.</w:t>
      </w:r>
    </w:p>
    <w:p>
      <w:pPr>
        <w:pStyle w:val="BodyText"/>
        <w:rPr>
          <w:sz w:val="20"/>
        </w:rPr>
      </w:pPr>
    </w:p>
    <w:p>
      <w:pPr>
        <w:pStyle w:val="ListParagraph"/>
        <w:numPr>
          <w:ilvl w:val="0"/>
          <w:numId w:val="42"/>
        </w:numPr>
        <w:tabs>
          <w:tab w:pos="625" w:val="left" w:leader="none"/>
          <w:tab w:pos="626" w:val="left" w:leader="none"/>
        </w:tabs>
        <w:spacing w:line="232" w:lineRule="auto" w:before="0" w:after="0"/>
        <w:ind w:left="145" w:right="67" w:firstLine="0"/>
        <w:jc w:val="left"/>
        <w:rPr>
          <w:sz w:val="18"/>
        </w:rPr>
      </w:pPr>
      <w:r>
        <w:rPr>
          <w:color w:val="231F20"/>
          <w:sz w:val="18"/>
        </w:rPr>
        <w:t>In the middle of August sterling had briefly rallied as the dollar had begun to move up, but towards end-August and in early September it had subsequently softened again. It was noteworthy that in this latest period sterling had not generally moved up on those occasions when the dollar had rallied, so that the sterling:dollar rate had fallen back below 1.60 and indeed below technical support levels, which had encouraged further selling. Some part of this may have been due to renewed market discussion of a possible postponement of EMU, which some believe would increase the possibility of sterling’s inclusion.</w:t>
      </w:r>
    </w:p>
    <w:p>
      <w:pPr>
        <w:pStyle w:val="BodyText"/>
        <w:spacing w:before="2"/>
        <w:rPr>
          <w:sz w:val="20"/>
        </w:rPr>
      </w:pPr>
    </w:p>
    <w:p>
      <w:pPr>
        <w:pStyle w:val="ListParagraph"/>
        <w:numPr>
          <w:ilvl w:val="0"/>
          <w:numId w:val="42"/>
        </w:numPr>
        <w:tabs>
          <w:tab w:pos="625" w:val="left" w:leader="none"/>
          <w:tab w:pos="626" w:val="left" w:leader="none"/>
        </w:tabs>
        <w:spacing w:line="232" w:lineRule="auto" w:before="0" w:after="0"/>
        <w:ind w:left="145" w:right="262" w:firstLine="0"/>
        <w:jc w:val="left"/>
        <w:rPr>
          <w:sz w:val="18"/>
        </w:rPr>
      </w:pPr>
      <w:r>
        <w:rPr>
          <w:color w:val="231F20"/>
          <w:sz w:val="18"/>
        </w:rPr>
        <w:t>Not surprisingly, sterling’s sharp downward adjustment against the Deutsche Mark, but also to a lesser extent against </w:t>
      </w:r>
      <w:r>
        <w:rPr>
          <w:color w:val="231F20"/>
          <w:spacing w:val="-6"/>
          <w:sz w:val="18"/>
        </w:rPr>
        <w:t>the </w:t>
      </w:r>
      <w:r>
        <w:rPr>
          <w:color w:val="231F20"/>
          <w:sz w:val="18"/>
        </w:rPr>
        <w:t>dollar, had increased market uncertainty about particularly the</w:t>
      </w:r>
    </w:p>
    <w:p>
      <w:pPr>
        <w:pStyle w:val="BodyText"/>
        <w:spacing w:line="232" w:lineRule="auto" w:before="105"/>
        <w:ind w:left="145" w:right="139"/>
      </w:pPr>
      <w:r>
        <w:rPr/>
        <w:br w:type="column"/>
      </w:r>
      <w:r>
        <w:rPr>
          <w:color w:val="231F20"/>
        </w:rPr>
        <w:t>immediate future prospect for sterling. Options prices revealed that since the last Committee meeting the market had come to attach a higher probability to sterling falling further, particularly against the Deutsche Mark. Whereas on 6 August the probability of the £:DM rate being at or below 2.80 one month ahead had been calculated at under 5%, this probability had increased to nearly 25% by</w:t>
      </w:r>
    </w:p>
    <w:p>
      <w:pPr>
        <w:pStyle w:val="BodyText"/>
        <w:spacing w:line="197" w:lineRule="exact"/>
        <w:ind w:left="145"/>
      </w:pPr>
      <w:r>
        <w:rPr>
          <w:color w:val="231F20"/>
        </w:rPr>
        <w:t>4 September (when the one month forward rate stood at DM 2.87).</w:t>
      </w:r>
    </w:p>
    <w:p>
      <w:pPr>
        <w:pStyle w:val="BodyText"/>
        <w:spacing w:before="7"/>
        <w:rPr>
          <w:sz w:val="20"/>
        </w:rPr>
      </w:pPr>
    </w:p>
    <w:p>
      <w:pPr>
        <w:pStyle w:val="ListParagraph"/>
        <w:numPr>
          <w:ilvl w:val="0"/>
          <w:numId w:val="42"/>
        </w:numPr>
        <w:tabs>
          <w:tab w:pos="625" w:val="left" w:leader="none"/>
          <w:tab w:pos="626" w:val="left" w:leader="none"/>
        </w:tabs>
        <w:spacing w:line="232" w:lineRule="auto" w:before="1" w:after="0"/>
        <w:ind w:left="145" w:right="553" w:firstLine="0"/>
        <w:jc w:val="left"/>
        <w:rPr>
          <w:sz w:val="18"/>
        </w:rPr>
      </w:pPr>
      <w:r>
        <w:rPr>
          <w:color w:val="231F20"/>
          <w:sz w:val="18"/>
        </w:rPr>
        <w:t>In the domestic markets, interest rate expectations </w:t>
      </w:r>
      <w:r>
        <w:rPr>
          <w:color w:val="231F20"/>
          <w:spacing w:val="-5"/>
          <w:sz w:val="18"/>
        </w:rPr>
        <w:t>were </w:t>
      </w:r>
      <w:r>
        <w:rPr>
          <w:color w:val="231F20"/>
          <w:sz w:val="18"/>
        </w:rPr>
        <w:t>immediately moderated by the Committee announcement on 7 August, falling by as much as 12 basis points in 1998. But</w:t>
      </w:r>
    </w:p>
    <w:p>
      <w:pPr>
        <w:pStyle w:val="BodyText"/>
        <w:spacing w:line="232" w:lineRule="auto"/>
        <w:ind w:left="145" w:right="133"/>
      </w:pPr>
      <w:r>
        <w:rPr>
          <w:color w:val="231F20"/>
        </w:rPr>
        <w:t>expectations had subsequently firmed through much of August, both on the perceived greater prospect of higher international interest rates and on the release of strong UK economic data, particularly for retail sales and M4; although they had eased back again most recently. Overall market expectations of interest rate prospects over the next eighteen months were a little lower than on the first day of the last Committee meeting, by up to 15 basis points 18 months ahead.  The markets expected rates to peak early in 1998, </w:t>
      </w:r>
      <w:r>
        <w:rPr>
          <w:color w:val="231F20"/>
          <w:position w:val="6"/>
          <w:sz w:val="9"/>
        </w:rPr>
        <w:t>1</w:t>
      </w:r>
      <w:r>
        <w:rPr>
          <w:color w:val="231F20"/>
        </w:rPr>
        <w:t>/</w:t>
      </w:r>
      <w:r>
        <w:rPr>
          <w:color w:val="231F20"/>
          <w:sz w:val="9"/>
        </w:rPr>
        <w:t>4</w:t>
      </w:r>
      <w:r>
        <w:rPr>
          <w:color w:val="231F20"/>
        </w:rPr>
        <w:t>% higher than current levels. Following the last Committee statement, there was virtually no market expectation of any rise in official rise in September. It was noteworthy from options prices that implied volatility of short-term interest rates had fallen sharply in the wake of the August Committee announcement, as expectations had hardened around the central view; but subsequent data releases later in August had led to renewed uncertainty.</w:t>
      </w:r>
    </w:p>
    <w:p>
      <w:pPr>
        <w:pStyle w:val="BodyText"/>
        <w:spacing w:before="7"/>
        <w:rPr>
          <w:sz w:val="19"/>
        </w:rPr>
      </w:pPr>
    </w:p>
    <w:p>
      <w:pPr>
        <w:pStyle w:val="ListParagraph"/>
        <w:numPr>
          <w:ilvl w:val="0"/>
          <w:numId w:val="42"/>
        </w:numPr>
        <w:tabs>
          <w:tab w:pos="625" w:val="left" w:leader="none"/>
          <w:tab w:pos="626" w:val="left" w:leader="none"/>
        </w:tabs>
        <w:spacing w:line="232" w:lineRule="auto" w:before="1" w:after="0"/>
        <w:ind w:left="145" w:right="198" w:firstLine="0"/>
        <w:jc w:val="left"/>
        <w:rPr>
          <w:sz w:val="18"/>
        </w:rPr>
      </w:pPr>
      <w:r>
        <w:rPr>
          <w:color w:val="231F20"/>
          <w:sz w:val="18"/>
        </w:rPr>
        <w:t>The gilt market had been relatively thin and quiet in </w:t>
      </w:r>
      <w:r>
        <w:rPr>
          <w:color w:val="231F20"/>
          <w:spacing w:val="-3"/>
          <w:sz w:val="18"/>
        </w:rPr>
        <w:t>August, </w:t>
      </w:r>
      <w:r>
        <w:rPr>
          <w:color w:val="231F20"/>
          <w:sz w:val="18"/>
        </w:rPr>
        <w:t>and overall less volatile than other international bond markets. In the early part of the month, the nominal yield curve, which had previously been virtually flat around 7%, had appeared to tilt upwards, with short yields falling and long yields rising. But by early September the yield curve had again become effectively flat, close to 7%.</w:t>
      </w:r>
    </w:p>
    <w:p>
      <w:pPr>
        <w:pStyle w:val="BodyText"/>
        <w:spacing w:before="1"/>
        <w:rPr>
          <w:sz w:val="22"/>
        </w:rPr>
      </w:pPr>
    </w:p>
    <w:p>
      <w:pPr>
        <w:pStyle w:val="ListParagraph"/>
        <w:numPr>
          <w:ilvl w:val="0"/>
          <w:numId w:val="42"/>
        </w:numPr>
        <w:tabs>
          <w:tab w:pos="625" w:val="left" w:leader="none"/>
          <w:tab w:pos="626" w:val="left" w:leader="none"/>
        </w:tabs>
        <w:spacing w:line="232" w:lineRule="auto" w:before="0" w:after="0"/>
        <w:ind w:left="145" w:right="224" w:firstLine="0"/>
        <w:jc w:val="left"/>
        <w:rPr>
          <w:sz w:val="18"/>
        </w:rPr>
      </w:pPr>
      <w:r>
        <w:rPr>
          <w:color w:val="231F20"/>
          <w:sz w:val="18"/>
        </w:rPr>
        <w:t>Equity markets had been dominated by the sharp falls in the SE Asian markets but Western markets had remained relatively insulated. There had nevertheless been increased volatility, particularly in the United States and United Kingdom, as doubts continued about whether the recent strength in equity prices could be sustained. The F</w:t>
      </w:r>
      <w:r>
        <w:rPr>
          <w:color w:val="231F20"/>
          <w:sz w:val="14"/>
        </w:rPr>
        <w:t>T-SE </w:t>
      </w:r>
      <w:r>
        <w:rPr>
          <w:color w:val="231F20"/>
          <w:sz w:val="18"/>
        </w:rPr>
        <w:t>100 had fallen back since the August Committee meeting, under the influence particularly of financial stocks, but the F</w:t>
      </w:r>
      <w:r>
        <w:rPr>
          <w:color w:val="231F20"/>
          <w:sz w:val="14"/>
        </w:rPr>
        <w:t>T-SE </w:t>
      </w:r>
      <w:r>
        <w:rPr>
          <w:color w:val="231F20"/>
          <w:sz w:val="18"/>
        </w:rPr>
        <w:t>250 and F</w:t>
      </w:r>
      <w:r>
        <w:rPr>
          <w:color w:val="231F20"/>
          <w:sz w:val="14"/>
        </w:rPr>
        <w:t>T-SE </w:t>
      </w:r>
      <w:r>
        <w:rPr>
          <w:color w:val="231F20"/>
          <w:sz w:val="18"/>
        </w:rPr>
        <w:t>small cap indices were higher. Closer analysis indicated that the five largest stocks (by capitalisation) had accounted for a disproportionate share of </w:t>
      </w:r>
      <w:r>
        <w:rPr>
          <w:color w:val="231F20"/>
          <w:spacing w:val="-3"/>
          <w:sz w:val="18"/>
        </w:rPr>
        <w:t>recent </w:t>
      </w:r>
      <w:r>
        <w:rPr>
          <w:color w:val="231F20"/>
          <w:sz w:val="18"/>
        </w:rPr>
        <w:t>large daily movements in the F</w:t>
      </w:r>
      <w:r>
        <w:rPr>
          <w:color w:val="231F20"/>
          <w:sz w:val="14"/>
        </w:rPr>
        <w:t>T-SE </w:t>
      </w:r>
      <w:r>
        <w:rPr>
          <w:color w:val="231F20"/>
          <w:sz w:val="18"/>
        </w:rPr>
        <w:t>100 index and, given the international orientation of these companies, it was hard to read into them any message about prospects for the UK economy.</w:t>
      </w:r>
    </w:p>
    <w:p>
      <w:pPr>
        <w:spacing w:after="0" w:line="232" w:lineRule="auto"/>
        <w:jc w:val="left"/>
        <w:rPr>
          <w:sz w:val="18"/>
        </w:rPr>
        <w:sectPr>
          <w:type w:val="continuous"/>
          <w:pgSz w:w="11900" w:h="16840"/>
          <w:pgMar w:top="1040" w:bottom="280" w:left="660" w:right="680"/>
          <w:cols w:num="2" w:equalWidth="0">
            <w:col w:w="5059" w:space="321"/>
            <w:col w:w="5180"/>
          </w:cols>
        </w:sectPr>
      </w:pPr>
    </w:p>
    <w:p>
      <w:pPr>
        <w:pStyle w:val="BodyText"/>
        <w:rPr>
          <w:sz w:val="28"/>
        </w:rPr>
      </w:pPr>
    </w:p>
    <w:p>
      <w:pPr>
        <w:spacing w:line="369" w:lineRule="auto" w:before="88"/>
        <w:ind w:left="147" w:right="3184" w:firstLine="0"/>
        <w:jc w:val="left"/>
        <w:rPr>
          <w:b/>
          <w:sz w:val="28"/>
        </w:rPr>
      </w:pPr>
      <w:bookmarkStart w:name="press notice of 11 September 1997" w:id="106"/>
      <w:bookmarkEnd w:id="106"/>
      <w:r>
        <w:rPr/>
      </w:r>
      <w:bookmarkStart w:name="_bookmark48" w:id="107"/>
      <w:bookmarkEnd w:id="107"/>
      <w:r>
        <w:rPr/>
      </w:r>
      <w:r>
        <w:rPr>
          <w:b/>
          <w:color w:val="009483"/>
          <w:sz w:val="28"/>
        </w:rPr>
        <w:t>Text of Bank of England press notice of 11 September 1997 Bank of England leaves interest rates unchanged</w:t>
      </w:r>
    </w:p>
    <w:p>
      <w:pPr>
        <w:pStyle w:val="BodyText"/>
        <w:spacing w:before="152"/>
        <w:ind w:left="153"/>
      </w:pPr>
      <w:r>
        <w:rPr>
          <w:color w:val="231F20"/>
        </w:rPr>
        <w:t>The Bank of England’s Monetary Policy Committee today voted to leave the Bank’s repo rate unchanged at 7%.</w:t>
      </w:r>
    </w:p>
    <w:p>
      <w:pPr>
        <w:pStyle w:val="BodyText"/>
        <w:spacing w:before="2"/>
        <w:rPr>
          <w:sz w:val="17"/>
        </w:rPr>
      </w:pPr>
    </w:p>
    <w:p>
      <w:pPr>
        <w:pStyle w:val="BodyText"/>
        <w:spacing w:line="232" w:lineRule="auto"/>
        <w:ind w:left="153" w:right="623"/>
      </w:pPr>
      <w:r>
        <w:rPr>
          <w:color w:val="231F20"/>
        </w:rPr>
        <w:t>Minutes of today’s Monetary Policy Committee meeting will be published on Wednesday, 15 October. Minutes of the meeting held on 7 August will be published on Wednesday, 17 September.</w:t>
      </w:r>
    </w:p>
    <w:p>
      <w:pPr>
        <w:spacing w:after="0" w:line="232" w:lineRule="auto"/>
        <w:sectPr>
          <w:pgSz w:w="11900" w:h="16840"/>
          <w:pgMar w:header="566" w:footer="597" w:top="800" w:bottom="780" w:left="660" w:right="680"/>
        </w:sectPr>
      </w:pPr>
    </w:p>
    <w:p>
      <w:pPr>
        <w:pStyle w:val="BodyText"/>
        <w:rPr>
          <w:sz w:val="20"/>
        </w:rPr>
      </w:pPr>
    </w:p>
    <w:p>
      <w:pPr>
        <w:pStyle w:val="BodyText"/>
        <w:rPr>
          <w:sz w:val="20"/>
        </w:rPr>
      </w:pPr>
    </w:p>
    <w:p>
      <w:pPr>
        <w:pStyle w:val="BodyText"/>
        <w:spacing w:before="2"/>
        <w:rPr>
          <w:sz w:val="19"/>
        </w:rPr>
      </w:pPr>
    </w:p>
    <w:p>
      <w:pPr>
        <w:spacing w:before="88"/>
        <w:ind w:left="145" w:right="0" w:firstLine="0"/>
        <w:jc w:val="left"/>
        <w:rPr>
          <w:b/>
          <w:sz w:val="30"/>
        </w:rPr>
      </w:pPr>
      <w:bookmarkStart w:name="Minutes of the 8–9 October 1997 meeting" w:id="108"/>
      <w:bookmarkEnd w:id="108"/>
      <w:r>
        <w:rPr/>
      </w:r>
      <w:bookmarkStart w:name="_bookmark49" w:id="109"/>
      <w:bookmarkEnd w:id="109"/>
      <w:r>
        <w:rPr/>
      </w:r>
      <w:r>
        <w:rPr>
          <w:b/>
          <w:color w:val="009483"/>
          <w:sz w:val="30"/>
        </w:rPr>
        <w:t>Minutes of the Monetary Policy Committee meeting on 8–9 October 1997</w:t>
      </w:r>
    </w:p>
    <w:p>
      <w:pPr>
        <w:pStyle w:val="BodyText"/>
        <w:spacing w:before="10"/>
        <w:rPr>
          <w:b/>
          <w:sz w:val="27"/>
        </w:rPr>
      </w:pPr>
    </w:p>
    <w:p>
      <w:pPr>
        <w:spacing w:after="0"/>
        <w:rPr>
          <w:sz w:val="27"/>
        </w:rPr>
        <w:sectPr>
          <w:pgSz w:w="11900" w:h="16840"/>
          <w:pgMar w:header="566" w:footer="597" w:top="800" w:bottom="780" w:left="660" w:right="680"/>
        </w:sectPr>
      </w:pPr>
    </w:p>
    <w:p>
      <w:pPr>
        <w:pStyle w:val="ListParagraph"/>
        <w:numPr>
          <w:ilvl w:val="0"/>
          <w:numId w:val="45"/>
        </w:numPr>
        <w:tabs>
          <w:tab w:pos="619" w:val="left" w:leader="none"/>
          <w:tab w:pos="621" w:val="left" w:leader="none"/>
        </w:tabs>
        <w:spacing w:line="232" w:lineRule="auto" w:before="99" w:after="0"/>
        <w:ind w:left="140" w:right="253" w:firstLine="0"/>
        <w:jc w:val="left"/>
        <w:rPr>
          <w:sz w:val="18"/>
        </w:rPr>
      </w:pPr>
      <w:r>
        <w:rPr>
          <w:color w:val="231F20"/>
          <w:sz w:val="18"/>
        </w:rPr>
        <w:t>The meeting was preceded by a presentation by Bank </w:t>
      </w:r>
      <w:r>
        <w:rPr>
          <w:color w:val="231F20"/>
          <w:spacing w:val="-4"/>
          <w:sz w:val="18"/>
        </w:rPr>
        <w:t>staff </w:t>
      </w:r>
      <w:r>
        <w:rPr>
          <w:color w:val="231F20"/>
          <w:sz w:val="18"/>
        </w:rPr>
        <w:t>of the most recent data on monetary and economic conditions. The presentation is summarised in the Annex to these minutes;</w:t>
      </w:r>
    </w:p>
    <w:p>
      <w:pPr>
        <w:pStyle w:val="BodyText"/>
        <w:spacing w:line="232" w:lineRule="auto"/>
        <w:ind w:left="140" w:right="838"/>
        <w:jc w:val="both"/>
      </w:pPr>
      <w:r>
        <w:rPr>
          <w:color w:val="231F20"/>
        </w:rPr>
        <w:t>it has been updated to incorporate data that subsequently became available before the Monetary Policy Committee meeting.</w:t>
      </w:r>
    </w:p>
    <w:p>
      <w:pPr>
        <w:pStyle w:val="BodyText"/>
        <w:spacing w:before="5"/>
        <w:rPr>
          <w:sz w:val="20"/>
        </w:rPr>
      </w:pPr>
    </w:p>
    <w:p>
      <w:pPr>
        <w:pStyle w:val="ListParagraph"/>
        <w:numPr>
          <w:ilvl w:val="0"/>
          <w:numId w:val="45"/>
        </w:numPr>
        <w:tabs>
          <w:tab w:pos="619" w:val="left" w:leader="none"/>
          <w:tab w:pos="621" w:val="left" w:leader="none"/>
        </w:tabs>
        <w:spacing w:line="232" w:lineRule="auto" w:before="0" w:after="0"/>
        <w:ind w:left="140" w:right="83" w:firstLine="0"/>
        <w:jc w:val="left"/>
        <w:rPr>
          <w:sz w:val="18"/>
        </w:rPr>
      </w:pPr>
      <w:r>
        <w:rPr>
          <w:color w:val="231F20"/>
          <w:sz w:val="18"/>
        </w:rPr>
        <w:t>The Committee began by discussing the issues raised by recent economic developments—demand and output (and in particular, the effect of the exchange rate appreciation on net exports and output) the labour market, prices, monetary growth </w:t>
      </w:r>
      <w:r>
        <w:rPr>
          <w:color w:val="231F20"/>
          <w:spacing w:val="-6"/>
          <w:sz w:val="18"/>
        </w:rPr>
        <w:t>and </w:t>
      </w:r>
      <w:r>
        <w:rPr>
          <w:color w:val="231F20"/>
          <w:sz w:val="18"/>
        </w:rPr>
        <w:t>financial market developments.</w:t>
      </w:r>
    </w:p>
    <w:p>
      <w:pPr>
        <w:pStyle w:val="BodyText"/>
        <w:spacing w:before="9"/>
        <w:rPr>
          <w:sz w:val="23"/>
        </w:rPr>
      </w:pPr>
    </w:p>
    <w:p>
      <w:pPr>
        <w:pStyle w:val="Heading7"/>
        <w:ind w:left="140" w:firstLine="0"/>
        <w:jc w:val="both"/>
      </w:pPr>
      <w:r>
        <w:rPr>
          <w:color w:val="009483"/>
        </w:rPr>
        <w:t>Demand and output</w:t>
      </w:r>
    </w:p>
    <w:p>
      <w:pPr>
        <w:pStyle w:val="ListParagraph"/>
        <w:numPr>
          <w:ilvl w:val="0"/>
          <w:numId w:val="45"/>
        </w:numPr>
        <w:tabs>
          <w:tab w:pos="619" w:val="left" w:leader="none"/>
          <w:tab w:pos="621" w:val="left" w:leader="none"/>
        </w:tabs>
        <w:spacing w:line="232" w:lineRule="auto" w:before="190" w:after="0"/>
        <w:ind w:left="140" w:right="38" w:firstLine="0"/>
        <w:jc w:val="left"/>
        <w:rPr>
          <w:sz w:val="18"/>
        </w:rPr>
      </w:pPr>
      <w:r>
        <w:rPr>
          <w:color w:val="231F20"/>
          <w:sz w:val="18"/>
        </w:rPr>
        <w:t>The Committee reviewed recent developments in demand and output. The appreciation of the exchange rate had had much less effect on the reported data on external trade in goods up to August (non-EU) and July (EU), and in services (up to Q2) than had been expected. Business surveys and reports from the Bank’s Agencies had suggested that there would be a large effect (and </w:t>
      </w:r>
      <w:r>
        <w:rPr>
          <w:color w:val="231F20"/>
          <w:spacing w:val="-4"/>
          <w:sz w:val="18"/>
        </w:rPr>
        <w:t>most </w:t>
      </w:r>
      <w:r>
        <w:rPr>
          <w:color w:val="231F20"/>
          <w:sz w:val="18"/>
        </w:rPr>
        <w:t>were continuing to do so), but some surveys, eg the September C</w:t>
      </w:r>
      <w:r>
        <w:rPr>
          <w:color w:val="231F20"/>
          <w:sz w:val="14"/>
        </w:rPr>
        <w:t>IPS </w:t>
      </w:r>
      <w:r>
        <w:rPr>
          <w:color w:val="231F20"/>
          <w:sz w:val="18"/>
        </w:rPr>
        <w:t>survey, were now suggesting that the export outlook had become less gloomy. Meanwhile, the indications available to date were that output growth in Q3 had been considerably stronger than the </w:t>
      </w:r>
      <w:r>
        <w:rPr>
          <w:color w:val="231F20"/>
          <w:spacing w:val="-3"/>
          <w:sz w:val="18"/>
        </w:rPr>
        <w:t>central </w:t>
      </w:r>
      <w:r>
        <w:rPr>
          <w:color w:val="231F20"/>
          <w:sz w:val="18"/>
        </w:rPr>
        <w:t>projection in the August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1"/>
        <w:rPr>
          <w:sz w:val="20"/>
        </w:rPr>
      </w:pPr>
    </w:p>
    <w:p>
      <w:pPr>
        <w:pStyle w:val="ListParagraph"/>
        <w:numPr>
          <w:ilvl w:val="0"/>
          <w:numId w:val="45"/>
        </w:numPr>
        <w:tabs>
          <w:tab w:pos="619" w:val="left" w:leader="none"/>
          <w:tab w:pos="621" w:val="left" w:leader="none"/>
        </w:tabs>
        <w:spacing w:line="232" w:lineRule="auto" w:before="0" w:after="0"/>
        <w:ind w:left="139" w:right="67" w:firstLine="0"/>
        <w:jc w:val="left"/>
        <w:rPr>
          <w:sz w:val="18"/>
        </w:rPr>
      </w:pPr>
      <w:r>
        <w:rPr>
          <w:color w:val="231F20"/>
          <w:sz w:val="18"/>
        </w:rPr>
        <w:t>There was relatively little news on domestic demand. Consumer spending had been growing fairly fast. It was not accelerating, but the CBI Distributive Trades Survey—which </w:t>
      </w:r>
      <w:r>
        <w:rPr>
          <w:color w:val="231F20"/>
          <w:spacing w:val="-4"/>
          <w:sz w:val="18"/>
        </w:rPr>
        <w:t>might </w:t>
      </w:r>
      <w:r>
        <w:rPr>
          <w:color w:val="231F20"/>
          <w:sz w:val="18"/>
        </w:rPr>
        <w:t>have been depressed as a consequence of public reaction to the death of Diana, Princess of Wales—had shown greater optimism among retailers. Though the GFK index of consumer confidence had been rising steadily, the M</w:t>
      </w:r>
      <w:r>
        <w:rPr>
          <w:color w:val="231F20"/>
          <w:sz w:val="14"/>
        </w:rPr>
        <w:t>ORI </w:t>
      </w:r>
      <w:r>
        <w:rPr>
          <w:color w:val="231F20"/>
          <w:sz w:val="18"/>
        </w:rPr>
        <w:t>index had fallen back sharply, partly reversing a large rise that had probably been the result of demutualisation windfalls. In the housing market, the divergence between the Nationwide and Halifax price indices had widened further, but the other indicators of housing demand did not suggest rapidly growing demand, and therefore seemed more easily reconciled with the Halifax view of more moderate growth. There was no evidence that domestic demand had been substantially stronger than expected in Q3, so it seemed likely that the unexpected strength of output reflected net exports.</w:t>
      </w:r>
    </w:p>
    <w:p>
      <w:pPr>
        <w:pStyle w:val="BodyText"/>
        <w:spacing w:before="4"/>
        <w:rPr>
          <w:sz w:val="19"/>
        </w:rPr>
      </w:pPr>
    </w:p>
    <w:p>
      <w:pPr>
        <w:pStyle w:val="ListParagraph"/>
        <w:numPr>
          <w:ilvl w:val="0"/>
          <w:numId w:val="45"/>
        </w:numPr>
        <w:tabs>
          <w:tab w:pos="619" w:val="left" w:leader="none"/>
          <w:tab w:pos="621" w:val="left" w:leader="none"/>
        </w:tabs>
        <w:spacing w:line="203" w:lineRule="exact" w:before="0" w:after="0"/>
        <w:ind w:left="620" w:right="0" w:hanging="482"/>
        <w:jc w:val="left"/>
        <w:rPr>
          <w:sz w:val="18"/>
        </w:rPr>
      </w:pPr>
      <w:r>
        <w:rPr>
          <w:color w:val="231F20"/>
          <w:sz w:val="18"/>
        </w:rPr>
        <w:t>The Committee discussed the significance of</w:t>
      </w:r>
    </w:p>
    <w:p>
      <w:pPr>
        <w:pStyle w:val="BodyText"/>
        <w:spacing w:line="232" w:lineRule="auto" w:before="2"/>
        <w:ind w:left="139" w:right="78"/>
      </w:pPr>
      <w:r>
        <w:rPr>
          <w:color w:val="231F20"/>
        </w:rPr>
        <w:t>stronger-than-expected output, and four points were made. First, the manufacturing output figures combined with the newly </w:t>
      </w:r>
      <w:r>
        <w:rPr>
          <w:color w:val="231F20"/>
          <w:spacing w:val="-3"/>
        </w:rPr>
        <w:t>released </w:t>
      </w:r>
      <w:r>
        <w:rPr>
          <w:color w:val="231F20"/>
        </w:rPr>
        <w:t>Workforce In Employment survey implied, if taken at face value, that manufacturing productivity had been static in the last two years, during which the economy had been in a cyclical upswing. Some members thought that the manufacturing output figures would be revised upwards. To the extent that higher output reflected higher productivity and higher capacity output this would not necessarily imply that there was more pressure on productive capacity than currently thought.</w:t>
      </w:r>
    </w:p>
    <w:p>
      <w:pPr>
        <w:pStyle w:val="BodyText"/>
        <w:spacing w:before="10"/>
        <w:rPr>
          <w:sz w:val="21"/>
        </w:rPr>
      </w:pPr>
    </w:p>
    <w:p>
      <w:pPr>
        <w:pStyle w:val="ListParagraph"/>
        <w:numPr>
          <w:ilvl w:val="0"/>
          <w:numId w:val="45"/>
        </w:numPr>
        <w:tabs>
          <w:tab w:pos="619" w:val="left" w:leader="none"/>
          <w:tab w:pos="621" w:val="left" w:leader="none"/>
        </w:tabs>
        <w:spacing w:line="232" w:lineRule="auto" w:before="0" w:after="0"/>
        <w:ind w:left="139" w:right="53" w:firstLine="0"/>
        <w:jc w:val="left"/>
        <w:rPr>
          <w:sz w:val="18"/>
        </w:rPr>
      </w:pPr>
      <w:r>
        <w:rPr>
          <w:color w:val="231F20"/>
          <w:sz w:val="18"/>
        </w:rPr>
        <w:t>Second, the depreciation of the exchange rate since its peak in late July would have relieved part of the pressure on exporters’ margins. Moreover, it might have encouraged exporters to believe that the earlier appreciation was partly transitory, and thus to </w:t>
      </w:r>
      <w:r>
        <w:rPr>
          <w:color w:val="231F20"/>
          <w:spacing w:val="-3"/>
          <w:sz w:val="18"/>
        </w:rPr>
        <w:t>persist </w:t>
      </w:r>
      <w:r>
        <w:rPr>
          <w:color w:val="231F20"/>
          <w:sz w:val="18"/>
        </w:rPr>
        <w:t>in selling at unattractive margins to maintain their presence in overseas markets. The Committee considered whether recent reports that the United Kingdom was more likely to join EMU would have encouraged exporters further, by reducing uncertainty about future exchange rates.</w:t>
      </w:r>
    </w:p>
    <w:p>
      <w:pPr>
        <w:pStyle w:val="ListParagraph"/>
        <w:numPr>
          <w:ilvl w:val="0"/>
          <w:numId w:val="45"/>
        </w:numPr>
        <w:tabs>
          <w:tab w:pos="619" w:val="left" w:leader="none"/>
          <w:tab w:pos="621" w:val="left" w:leader="none"/>
        </w:tabs>
        <w:spacing w:line="232" w:lineRule="auto" w:before="98" w:after="0"/>
        <w:ind w:left="140" w:right="116" w:firstLine="0"/>
        <w:jc w:val="left"/>
        <w:rPr>
          <w:sz w:val="18"/>
        </w:rPr>
      </w:pPr>
      <w:r>
        <w:rPr>
          <w:color w:val="231F20"/>
          <w:sz w:val="18"/>
        </w:rPr>
        <w:br w:type="column"/>
        <w:t>Third, it was possible that the effects of sterling appreciation on net exports had simply been delayed. It was notoriously difficult to predict the timing of peaks in economic growth rates, and the peak might come a little later than had been projected in the August </w:t>
      </w:r>
      <w:r>
        <w:rPr>
          <w:i/>
          <w:color w:val="231F20"/>
          <w:sz w:val="18"/>
        </w:rPr>
        <w:t>Inflation Report</w:t>
      </w:r>
      <w:r>
        <w:rPr>
          <w:color w:val="231F20"/>
          <w:sz w:val="18"/>
        </w:rPr>
        <w:t>. There were signs in business surveys that growth might now be slowing and important questions for policy were whether the labour market was at the point at which earnings would begin to accelerate and whether the policy tightening that had taken place already would be enough to bring GDP growth back towards trend. If the peak in growth were to be later than in the </w:t>
      </w:r>
      <w:r>
        <w:rPr>
          <w:i/>
          <w:color w:val="231F20"/>
          <w:sz w:val="18"/>
        </w:rPr>
        <w:t>Inflation </w:t>
      </w:r>
      <w:r>
        <w:rPr>
          <w:i/>
          <w:color w:val="231F20"/>
          <w:sz w:val="18"/>
        </w:rPr>
        <w:t>Report </w:t>
      </w:r>
      <w:r>
        <w:rPr>
          <w:color w:val="231F20"/>
          <w:sz w:val="18"/>
        </w:rPr>
        <w:t>projection, but the profile of growth after the peak were to be the same as in the projection, the level of output after the peak would be higher than in the projection by a constant amount. Inflation would be higher than in the projection, unless potential output was also higher than assumed.</w:t>
      </w:r>
    </w:p>
    <w:p>
      <w:pPr>
        <w:pStyle w:val="BodyText"/>
        <w:spacing w:before="4"/>
        <w:rPr>
          <w:sz w:val="16"/>
        </w:rPr>
      </w:pPr>
    </w:p>
    <w:p>
      <w:pPr>
        <w:pStyle w:val="ListParagraph"/>
        <w:numPr>
          <w:ilvl w:val="0"/>
          <w:numId w:val="45"/>
        </w:numPr>
        <w:tabs>
          <w:tab w:pos="619" w:val="left" w:leader="none"/>
          <w:tab w:pos="621" w:val="left" w:leader="none"/>
        </w:tabs>
        <w:spacing w:line="232" w:lineRule="auto" w:before="0" w:after="0"/>
        <w:ind w:left="140" w:right="296" w:firstLine="0"/>
        <w:jc w:val="left"/>
        <w:rPr>
          <w:sz w:val="18"/>
        </w:rPr>
      </w:pPr>
      <w:r>
        <w:rPr>
          <w:color w:val="231F20"/>
          <w:sz w:val="18"/>
        </w:rPr>
        <w:t>Fourth, it was possible that there had been a supply-side improvement in the non-price competitiveness of internationally tradeable goods and services produced in the United Kingdom, </w:t>
      </w:r>
      <w:r>
        <w:rPr>
          <w:color w:val="231F20"/>
          <w:spacing w:val="-9"/>
          <w:sz w:val="18"/>
        </w:rPr>
        <w:t>or </w:t>
      </w:r>
      <w:r>
        <w:rPr>
          <w:color w:val="231F20"/>
          <w:sz w:val="18"/>
        </w:rPr>
        <w:t>that the relevant price elasticities were smaller than had been thought, so that the long-run effect of the appreciation on net exports would be smaller than had been projected.</w:t>
      </w:r>
    </w:p>
    <w:p>
      <w:pPr>
        <w:pStyle w:val="BodyText"/>
        <w:rPr>
          <w:sz w:val="17"/>
        </w:rPr>
      </w:pPr>
    </w:p>
    <w:p>
      <w:pPr>
        <w:pStyle w:val="ListParagraph"/>
        <w:numPr>
          <w:ilvl w:val="0"/>
          <w:numId w:val="45"/>
        </w:numPr>
        <w:tabs>
          <w:tab w:pos="619" w:val="left" w:leader="none"/>
          <w:tab w:pos="621" w:val="left" w:leader="none"/>
        </w:tabs>
        <w:spacing w:line="232" w:lineRule="auto" w:before="0" w:after="0"/>
        <w:ind w:left="140" w:right="321" w:firstLine="0"/>
        <w:jc w:val="left"/>
        <w:rPr>
          <w:sz w:val="18"/>
        </w:rPr>
      </w:pPr>
      <w:r>
        <w:rPr>
          <w:color w:val="231F20"/>
          <w:sz w:val="18"/>
        </w:rPr>
        <w:t>Taken as a whole, the evidence suggested that net exports could remain stronger than had been projected in August, and </w:t>
      </w:r>
      <w:r>
        <w:rPr>
          <w:color w:val="231F20"/>
          <w:spacing w:val="-6"/>
          <w:sz w:val="18"/>
        </w:rPr>
        <w:t>the </w:t>
      </w:r>
      <w:r>
        <w:rPr>
          <w:color w:val="231F20"/>
          <w:sz w:val="18"/>
        </w:rPr>
        <w:t>net effect of this on total demand and hence on domestic costs would need to be carefully watched.</w:t>
      </w:r>
    </w:p>
    <w:p>
      <w:pPr>
        <w:pStyle w:val="BodyText"/>
        <w:spacing w:before="5"/>
        <w:rPr>
          <w:sz w:val="20"/>
        </w:rPr>
      </w:pPr>
    </w:p>
    <w:p>
      <w:pPr>
        <w:pStyle w:val="Heading7"/>
        <w:ind w:left="140" w:firstLine="0"/>
      </w:pPr>
      <w:r>
        <w:rPr>
          <w:color w:val="009483"/>
        </w:rPr>
        <w:t>Labour market</w:t>
      </w:r>
    </w:p>
    <w:p>
      <w:pPr>
        <w:pStyle w:val="ListParagraph"/>
        <w:numPr>
          <w:ilvl w:val="0"/>
          <w:numId w:val="45"/>
        </w:numPr>
        <w:tabs>
          <w:tab w:pos="619" w:val="left" w:leader="none"/>
          <w:tab w:pos="621" w:val="left" w:leader="none"/>
        </w:tabs>
        <w:spacing w:line="232" w:lineRule="auto" w:before="190" w:after="0"/>
        <w:ind w:left="140" w:right="121" w:firstLine="0"/>
        <w:jc w:val="left"/>
        <w:rPr>
          <w:sz w:val="18"/>
        </w:rPr>
      </w:pPr>
      <w:r>
        <w:rPr>
          <w:color w:val="231F20"/>
          <w:sz w:val="18"/>
        </w:rPr>
        <w:t>The tightening of the labour market had continued, and the fall in claimant unemployment of 49,000 in August had been higher than the staff estimate of the trend fall of 25,000–30,000 a month. According to the most recent Labour Force Survey, short-term unemployment was at its lowest since the early 1980s. The inactivity rate, however, was not unusually low: the counterpart of rising employment during this recovery had been falling unemployment rather than a falling inactivity rate, and total employment was still well below its late-1980s levels. The higher inactivity rate, and its persistence, might be a one-off consequence of the expansion of tertiary education. Indications of skill shortages were becoming more widespread. More information on the extent of labour market tightening would be provided in the quarterly Labour Force Survey, which would be available before the Committee’s next meeting.</w:t>
      </w:r>
    </w:p>
    <w:p>
      <w:pPr>
        <w:pStyle w:val="BodyText"/>
        <w:spacing w:before="4"/>
        <w:rPr>
          <w:sz w:val="16"/>
        </w:rPr>
      </w:pPr>
    </w:p>
    <w:p>
      <w:pPr>
        <w:pStyle w:val="ListParagraph"/>
        <w:numPr>
          <w:ilvl w:val="0"/>
          <w:numId w:val="45"/>
        </w:numPr>
        <w:tabs>
          <w:tab w:pos="619" w:val="left" w:leader="none"/>
          <w:tab w:pos="621" w:val="left" w:leader="none"/>
        </w:tabs>
        <w:spacing w:line="232" w:lineRule="auto" w:before="0" w:after="0"/>
        <w:ind w:left="139" w:right="126" w:firstLine="0"/>
        <w:jc w:val="left"/>
        <w:rPr>
          <w:sz w:val="18"/>
        </w:rPr>
      </w:pPr>
      <w:r>
        <w:rPr>
          <w:color w:val="231F20"/>
          <w:sz w:val="18"/>
        </w:rPr>
        <w:t>Notwithstanding the tightening of the labour market, earnings growth had remained lower than projected in the August </w:t>
      </w:r>
      <w:r>
        <w:rPr>
          <w:i/>
          <w:color w:val="231F20"/>
          <w:sz w:val="18"/>
        </w:rPr>
        <w:t>Inflation Report</w:t>
      </w:r>
      <w:r>
        <w:rPr>
          <w:color w:val="231F20"/>
          <w:sz w:val="18"/>
        </w:rPr>
        <w:t>. The staff analysis had showed that the reported increase in underlying average earnings growth in July had been </w:t>
      </w:r>
      <w:r>
        <w:rPr>
          <w:color w:val="231F20"/>
          <w:spacing w:val="-6"/>
          <w:sz w:val="18"/>
        </w:rPr>
        <w:t>the </w:t>
      </w:r>
      <w:r>
        <w:rPr>
          <w:color w:val="231F20"/>
          <w:sz w:val="18"/>
        </w:rPr>
        <w:t>result of bonus payments. Spreading these payments over the full year put underlying average earnings growth in the range 4</w:t>
      </w:r>
      <w:r>
        <w:rPr>
          <w:color w:val="231F20"/>
          <w:position w:val="6"/>
          <w:sz w:val="9"/>
        </w:rPr>
        <w:t>1</w:t>
      </w:r>
      <w:r>
        <w:rPr>
          <w:color w:val="231F20"/>
          <w:sz w:val="18"/>
        </w:rPr>
        <w:t>/</w:t>
      </w:r>
      <w:r>
        <w:rPr>
          <w:color w:val="231F20"/>
          <w:sz w:val="9"/>
        </w:rPr>
        <w:t>4</w:t>
      </w:r>
      <w:r>
        <w:rPr>
          <w:color w:val="231F20"/>
          <w:sz w:val="18"/>
        </w:rPr>
        <w:t>%–4</w:t>
      </w:r>
      <w:r>
        <w:rPr>
          <w:color w:val="231F20"/>
          <w:position w:val="6"/>
          <w:sz w:val="9"/>
        </w:rPr>
        <w:t>1</w:t>
      </w:r>
      <w:r>
        <w:rPr>
          <w:color w:val="231F20"/>
          <w:sz w:val="18"/>
        </w:rPr>
        <w:t>/</w:t>
      </w:r>
      <w:r>
        <w:rPr>
          <w:color w:val="231F20"/>
          <w:sz w:val="9"/>
        </w:rPr>
        <w:t>2</w:t>
      </w:r>
      <w:r>
        <w:rPr>
          <w:color w:val="231F20"/>
          <w:sz w:val="18"/>
        </w:rPr>
        <w:t>%; these calculations did not show any acceleration in earnings during the last few months.</w:t>
      </w:r>
    </w:p>
    <w:p>
      <w:pPr>
        <w:pStyle w:val="BodyText"/>
        <w:spacing w:before="10"/>
        <w:rPr>
          <w:sz w:val="16"/>
        </w:rPr>
      </w:pPr>
    </w:p>
    <w:p>
      <w:pPr>
        <w:pStyle w:val="ListParagraph"/>
        <w:numPr>
          <w:ilvl w:val="0"/>
          <w:numId w:val="45"/>
        </w:numPr>
        <w:tabs>
          <w:tab w:pos="619" w:val="left" w:leader="none"/>
          <w:tab w:pos="621" w:val="left" w:leader="none"/>
        </w:tabs>
        <w:spacing w:line="232" w:lineRule="auto" w:before="0" w:after="0"/>
        <w:ind w:left="139" w:right="197" w:firstLine="0"/>
        <w:jc w:val="left"/>
        <w:rPr>
          <w:sz w:val="18"/>
        </w:rPr>
      </w:pPr>
      <w:r>
        <w:rPr>
          <w:color w:val="231F20"/>
          <w:sz w:val="18"/>
        </w:rPr>
        <w:t>Members discussed the recent three-year pay settlement in the construction industry. It appeared that the first-year award included the consolidation of a number of special payments and in aggregate terms was equivalent to around 3</w:t>
      </w:r>
      <w:r>
        <w:rPr>
          <w:color w:val="231F20"/>
          <w:position w:val="6"/>
          <w:sz w:val="9"/>
        </w:rPr>
        <w:t>1</w:t>
      </w:r>
      <w:r>
        <w:rPr>
          <w:color w:val="231F20"/>
          <w:sz w:val="18"/>
        </w:rPr>
        <w:t>/</w:t>
      </w:r>
      <w:r>
        <w:rPr>
          <w:color w:val="231F20"/>
          <w:sz w:val="9"/>
        </w:rPr>
        <w:t>2</w:t>
      </w:r>
      <w:r>
        <w:rPr>
          <w:color w:val="231F20"/>
          <w:sz w:val="18"/>
        </w:rPr>
        <w:t>%. But the larger increases in later years appeared to reflect both shortages of </w:t>
      </w:r>
      <w:r>
        <w:rPr>
          <w:color w:val="231F20"/>
          <w:spacing w:val="-3"/>
          <w:sz w:val="18"/>
        </w:rPr>
        <w:t>skilled </w:t>
      </w:r>
      <w:r>
        <w:rPr>
          <w:color w:val="231F20"/>
          <w:sz w:val="18"/>
        </w:rPr>
        <w:t>labour and an expectation of rising inflation.</w:t>
      </w:r>
    </w:p>
    <w:p>
      <w:pPr>
        <w:pStyle w:val="BodyText"/>
        <w:rPr>
          <w:sz w:val="17"/>
        </w:rPr>
      </w:pPr>
    </w:p>
    <w:p>
      <w:pPr>
        <w:pStyle w:val="ListParagraph"/>
        <w:numPr>
          <w:ilvl w:val="0"/>
          <w:numId w:val="45"/>
        </w:numPr>
        <w:tabs>
          <w:tab w:pos="619" w:val="left" w:leader="none"/>
          <w:tab w:pos="621" w:val="left" w:leader="none"/>
        </w:tabs>
        <w:spacing w:line="232" w:lineRule="auto" w:before="0" w:after="0"/>
        <w:ind w:left="140" w:right="181" w:firstLine="0"/>
        <w:jc w:val="left"/>
        <w:rPr>
          <w:sz w:val="18"/>
        </w:rPr>
      </w:pPr>
      <w:r>
        <w:rPr>
          <w:color w:val="231F20"/>
          <w:sz w:val="18"/>
        </w:rPr>
        <w:t>Members discussed the current combination of rapid tightening and surprisingly low earnings growth, and made a number of points. First, the level of the natural rate of unemployment was uncertain, but it was plausible that it was</w:t>
      </w:r>
      <w:r>
        <w:rPr>
          <w:color w:val="231F20"/>
          <w:spacing w:val="2"/>
          <w:sz w:val="18"/>
        </w:rPr>
        <w:t> </w:t>
      </w:r>
      <w:r>
        <w:rPr>
          <w:color w:val="231F20"/>
          <w:spacing w:val="-4"/>
          <w:sz w:val="18"/>
        </w:rPr>
        <w:t>lower</w:t>
      </w:r>
    </w:p>
    <w:p>
      <w:pPr>
        <w:spacing w:after="0" w:line="232" w:lineRule="auto"/>
        <w:jc w:val="left"/>
        <w:rPr>
          <w:sz w:val="18"/>
        </w:rPr>
        <w:sectPr>
          <w:type w:val="continuous"/>
          <w:pgSz w:w="11900" w:h="16840"/>
          <w:pgMar w:top="1040" w:bottom="280" w:left="660" w:right="680"/>
          <w:cols w:num="2" w:equalWidth="0">
            <w:col w:w="5089" w:space="304"/>
            <w:col w:w="5167"/>
          </w:cols>
        </w:sectPr>
      </w:pPr>
    </w:p>
    <w:p>
      <w:pPr>
        <w:pStyle w:val="BodyText"/>
        <w:spacing w:before="4"/>
        <w:rPr>
          <w:sz w:val="29"/>
        </w:rPr>
      </w:pPr>
    </w:p>
    <w:p>
      <w:pPr>
        <w:spacing w:after="0"/>
        <w:rPr>
          <w:sz w:val="29"/>
        </w:rPr>
        <w:sectPr>
          <w:pgSz w:w="11900" w:h="16840"/>
          <w:pgMar w:header="566" w:footer="597" w:top="800" w:bottom="780" w:left="660" w:right="680"/>
        </w:sectPr>
      </w:pPr>
    </w:p>
    <w:p>
      <w:pPr>
        <w:pStyle w:val="BodyText"/>
        <w:spacing w:line="232" w:lineRule="auto" w:before="105"/>
        <w:ind w:left="160" w:right="39"/>
      </w:pPr>
      <w:r>
        <w:rPr>
          <w:color w:val="231F20"/>
        </w:rPr>
        <w:t>than in the 1980s, because of the structural changes that had taken place since then. Second, even if the natural rate of unemployment were below the current level, there might be a ‘speed limit </w:t>
      </w:r>
      <w:r>
        <w:rPr>
          <w:color w:val="231F20"/>
          <w:spacing w:val="-3"/>
        </w:rPr>
        <w:t>effect’— </w:t>
      </w:r>
      <w:r>
        <w:rPr>
          <w:color w:val="231F20"/>
        </w:rPr>
        <w:t>ie the faster unemployment fell towards the natural rate, the higher the rate of inflation. Third, some of the payments that were recorded as bonuses represented profit-sharing payments to staff, which would automatically decrease if profits fell. Such payments were akin in some respects to equity returns.</w:t>
      </w:r>
    </w:p>
    <w:p>
      <w:pPr>
        <w:pStyle w:val="BodyText"/>
        <w:spacing w:before="7"/>
        <w:rPr>
          <w:sz w:val="23"/>
        </w:rPr>
      </w:pPr>
    </w:p>
    <w:p>
      <w:pPr>
        <w:pStyle w:val="Heading7"/>
        <w:ind w:firstLine="0"/>
      </w:pPr>
      <w:r>
        <w:rPr>
          <w:color w:val="009483"/>
        </w:rPr>
        <w:t>Prices</w:t>
      </w:r>
    </w:p>
    <w:p>
      <w:pPr>
        <w:pStyle w:val="ListParagraph"/>
        <w:numPr>
          <w:ilvl w:val="0"/>
          <w:numId w:val="45"/>
        </w:numPr>
        <w:tabs>
          <w:tab w:pos="639" w:val="left" w:leader="none"/>
          <w:tab w:pos="641" w:val="left" w:leader="none"/>
        </w:tabs>
        <w:spacing w:line="232" w:lineRule="auto" w:before="209" w:after="0"/>
        <w:ind w:left="160" w:right="67" w:firstLine="0"/>
        <w:jc w:val="left"/>
        <w:rPr>
          <w:sz w:val="18"/>
        </w:rPr>
      </w:pPr>
      <w:r>
        <w:rPr>
          <w:color w:val="231F20"/>
          <w:sz w:val="18"/>
        </w:rPr>
        <w:t>The Committee discussed recent price data. RPIX inflation was stronger than had been projected in the August </w:t>
      </w:r>
      <w:r>
        <w:rPr>
          <w:i/>
          <w:color w:val="231F20"/>
          <w:sz w:val="18"/>
        </w:rPr>
        <w:t>Inflation </w:t>
      </w:r>
      <w:r>
        <w:rPr>
          <w:i/>
          <w:color w:val="231F20"/>
          <w:sz w:val="18"/>
        </w:rPr>
        <w:t>Report</w:t>
      </w:r>
      <w:r>
        <w:rPr>
          <w:color w:val="231F20"/>
          <w:sz w:val="18"/>
        </w:rPr>
        <w:t>, and the staff analysis suggested that import prices had fallen by less than was expected given the rise in the exchange </w:t>
      </w:r>
      <w:r>
        <w:rPr>
          <w:color w:val="231F20"/>
          <w:spacing w:val="-3"/>
          <w:sz w:val="18"/>
        </w:rPr>
        <w:t>rate, </w:t>
      </w:r>
      <w:r>
        <w:rPr>
          <w:color w:val="231F20"/>
          <w:sz w:val="18"/>
        </w:rPr>
        <w:t>and that retail prices had risen by more than was expected. In </w:t>
      </w:r>
      <w:r>
        <w:rPr>
          <w:color w:val="231F20"/>
          <w:spacing w:val="-4"/>
          <w:sz w:val="18"/>
        </w:rPr>
        <w:t>other </w:t>
      </w:r>
      <w:r>
        <w:rPr>
          <w:color w:val="231F20"/>
          <w:sz w:val="18"/>
        </w:rPr>
        <w:t>words, the pass-through from exchange rate appreciation had been unexpectedly weak.</w:t>
      </w:r>
    </w:p>
    <w:p>
      <w:pPr>
        <w:pStyle w:val="BodyText"/>
        <w:spacing w:before="5"/>
        <w:rPr>
          <w:sz w:val="20"/>
        </w:rPr>
      </w:pPr>
    </w:p>
    <w:p>
      <w:pPr>
        <w:pStyle w:val="ListParagraph"/>
        <w:numPr>
          <w:ilvl w:val="0"/>
          <w:numId w:val="45"/>
        </w:numPr>
        <w:tabs>
          <w:tab w:pos="639" w:val="left" w:leader="none"/>
          <w:tab w:pos="641" w:val="left" w:leader="none"/>
        </w:tabs>
        <w:spacing w:line="232" w:lineRule="auto" w:before="0" w:after="0"/>
        <w:ind w:left="160" w:right="72" w:firstLine="0"/>
        <w:jc w:val="left"/>
        <w:rPr>
          <w:sz w:val="18"/>
        </w:rPr>
      </w:pPr>
      <w:r>
        <w:rPr>
          <w:color w:val="231F20"/>
          <w:sz w:val="18"/>
        </w:rPr>
        <w:t>The Committee emphasised that policy decisions had to be based on forecast inflation, rather than on current inflation, </w:t>
      </w:r>
      <w:r>
        <w:rPr>
          <w:color w:val="231F20"/>
          <w:spacing w:val="-3"/>
          <w:sz w:val="18"/>
        </w:rPr>
        <w:t>because </w:t>
      </w:r>
      <w:r>
        <w:rPr>
          <w:color w:val="231F20"/>
          <w:sz w:val="18"/>
        </w:rPr>
        <w:t>of the lag between an interest rate change and its effect on output and prices. The unexpectedly small fall in RPIX inflation during the last few months had been accompanied by a widening of retailers’ margins, which members thought reflected the strength of domestic demand. Members discussed whether the depreciation of sterling since August would have an upward effect on the domestic price level, but concluded that since the pass-through from the earlier much larger appreciation seemed to be incomplete, there was a good chance that the recent depreciation would have little effect.</w:t>
      </w:r>
    </w:p>
    <w:p>
      <w:pPr>
        <w:pStyle w:val="BodyText"/>
        <w:rPr>
          <w:sz w:val="20"/>
        </w:rPr>
      </w:pPr>
    </w:p>
    <w:p>
      <w:pPr>
        <w:pStyle w:val="ListParagraph"/>
        <w:numPr>
          <w:ilvl w:val="0"/>
          <w:numId w:val="45"/>
        </w:numPr>
        <w:tabs>
          <w:tab w:pos="639" w:val="left" w:leader="none"/>
          <w:tab w:pos="641" w:val="left" w:leader="none"/>
        </w:tabs>
        <w:spacing w:line="232" w:lineRule="auto" w:before="0" w:after="0"/>
        <w:ind w:left="160" w:right="77" w:firstLine="0"/>
        <w:jc w:val="left"/>
        <w:rPr>
          <w:sz w:val="18"/>
        </w:rPr>
      </w:pPr>
      <w:r>
        <w:rPr>
          <w:color w:val="231F20"/>
          <w:sz w:val="18"/>
        </w:rPr>
        <w:t>The dip in the twelve-month rate of inflation that had been expected in the August </w:t>
      </w:r>
      <w:r>
        <w:rPr>
          <w:i/>
          <w:color w:val="231F20"/>
          <w:sz w:val="18"/>
        </w:rPr>
        <w:t>Inflation Report </w:t>
      </w:r>
      <w:r>
        <w:rPr>
          <w:color w:val="231F20"/>
          <w:sz w:val="18"/>
        </w:rPr>
        <w:t>now seemed likely to be shallower, so that RPIX inflation might prove to be below 2</w:t>
      </w:r>
      <w:r>
        <w:rPr>
          <w:color w:val="231F20"/>
          <w:position w:val="6"/>
          <w:sz w:val="9"/>
        </w:rPr>
        <w:t>1</w:t>
      </w:r>
      <w:r>
        <w:rPr>
          <w:color w:val="231F20"/>
          <w:sz w:val="18"/>
        </w:rPr>
        <w:t>/</w:t>
      </w:r>
      <w:r>
        <w:rPr>
          <w:color w:val="231F20"/>
          <w:sz w:val="9"/>
        </w:rPr>
        <w:t>2</w:t>
      </w:r>
      <w:r>
        <w:rPr>
          <w:color w:val="231F20"/>
          <w:sz w:val="18"/>
        </w:rPr>
        <w:t>% </w:t>
      </w:r>
      <w:r>
        <w:rPr>
          <w:color w:val="231F20"/>
          <w:spacing w:val="-6"/>
          <w:sz w:val="18"/>
        </w:rPr>
        <w:t>for </w:t>
      </w:r>
      <w:r>
        <w:rPr>
          <w:color w:val="231F20"/>
          <w:sz w:val="18"/>
        </w:rPr>
        <w:t>a shorter period than expected. Members noted that recent experience had been of above-trend growth accompanied by flat or declining inflation, but it was suggested that had it not been for the appreciation of sterling, the inflation profile would have been considerably less reassuring.</w:t>
      </w:r>
    </w:p>
    <w:p>
      <w:pPr>
        <w:pStyle w:val="BodyText"/>
        <w:spacing w:before="5"/>
        <w:rPr>
          <w:sz w:val="25"/>
        </w:rPr>
      </w:pPr>
    </w:p>
    <w:p>
      <w:pPr>
        <w:pStyle w:val="Heading7"/>
        <w:ind w:firstLine="0"/>
      </w:pPr>
      <w:r>
        <w:rPr>
          <w:color w:val="009483"/>
        </w:rPr>
        <w:t>Monetary growth</w:t>
      </w:r>
    </w:p>
    <w:p>
      <w:pPr>
        <w:pStyle w:val="ListParagraph"/>
        <w:numPr>
          <w:ilvl w:val="0"/>
          <w:numId w:val="45"/>
        </w:numPr>
        <w:tabs>
          <w:tab w:pos="639" w:val="left" w:leader="none"/>
          <w:tab w:pos="641" w:val="left" w:leader="none"/>
        </w:tabs>
        <w:spacing w:line="232" w:lineRule="auto" w:before="209" w:after="0"/>
        <w:ind w:left="160" w:right="112" w:firstLine="0"/>
        <w:jc w:val="left"/>
        <w:rPr>
          <w:sz w:val="18"/>
        </w:rPr>
      </w:pPr>
      <w:r>
        <w:rPr>
          <w:color w:val="231F20"/>
          <w:sz w:val="18"/>
        </w:rPr>
        <w:t>There was little new information. The Committee noted that, on the latest month’s data, monetary growth, both narrow and broad, and M4 lending now seemed a little slower. It was acknowledged that the policy implications of recent monetary growth depended on the comparison with the earlier expectation </w:t>
      </w:r>
      <w:r>
        <w:rPr>
          <w:color w:val="231F20"/>
          <w:spacing w:val="-9"/>
          <w:sz w:val="18"/>
        </w:rPr>
        <w:t>of </w:t>
      </w:r>
      <w:r>
        <w:rPr>
          <w:color w:val="231F20"/>
          <w:sz w:val="18"/>
        </w:rPr>
        <w:t>a gradual deceleration in the monetary aggregates as demand slowed.</w:t>
      </w:r>
    </w:p>
    <w:p>
      <w:pPr>
        <w:pStyle w:val="BodyText"/>
        <w:spacing w:before="5"/>
        <w:rPr>
          <w:sz w:val="25"/>
        </w:rPr>
      </w:pPr>
    </w:p>
    <w:p>
      <w:pPr>
        <w:pStyle w:val="Heading7"/>
        <w:ind w:firstLine="0"/>
      </w:pPr>
      <w:r>
        <w:rPr>
          <w:color w:val="009483"/>
        </w:rPr>
        <w:t>Financial market developments</w:t>
      </w:r>
    </w:p>
    <w:p>
      <w:pPr>
        <w:pStyle w:val="ListParagraph"/>
        <w:numPr>
          <w:ilvl w:val="0"/>
          <w:numId w:val="45"/>
        </w:numPr>
        <w:tabs>
          <w:tab w:pos="639" w:val="left" w:leader="none"/>
          <w:tab w:pos="641" w:val="left" w:leader="none"/>
        </w:tabs>
        <w:spacing w:line="232" w:lineRule="auto" w:before="209" w:after="0"/>
        <w:ind w:left="160" w:right="227" w:firstLine="0"/>
        <w:jc w:val="left"/>
        <w:rPr>
          <w:sz w:val="18"/>
        </w:rPr>
      </w:pPr>
      <w:r>
        <w:rPr>
          <w:color w:val="231F20"/>
          <w:sz w:val="18"/>
        </w:rPr>
        <w:t>The Committee discussed the impact of the perceived increased likelihood of the United Kingdom joining EMU on the yield curve. Implied future short-term interest rates were </w:t>
      </w:r>
      <w:r>
        <w:rPr>
          <w:color w:val="231F20"/>
          <w:spacing w:val="-3"/>
          <w:sz w:val="18"/>
        </w:rPr>
        <w:t>slightly </w:t>
      </w:r>
      <w:r>
        <w:rPr>
          <w:color w:val="231F20"/>
          <w:sz w:val="18"/>
        </w:rPr>
        <w:t>higher at the March 1998 maturity but much lower at 1999 and 2000 maturities.</w:t>
      </w:r>
    </w:p>
    <w:p>
      <w:pPr>
        <w:pStyle w:val="BodyText"/>
        <w:spacing w:before="3"/>
        <w:rPr>
          <w:sz w:val="22"/>
        </w:rPr>
      </w:pPr>
    </w:p>
    <w:p>
      <w:pPr>
        <w:pStyle w:val="ListParagraph"/>
        <w:numPr>
          <w:ilvl w:val="0"/>
          <w:numId w:val="45"/>
        </w:numPr>
        <w:tabs>
          <w:tab w:pos="639" w:val="left" w:leader="none"/>
          <w:tab w:pos="641" w:val="left" w:leader="none"/>
        </w:tabs>
        <w:spacing w:line="232" w:lineRule="auto" w:before="0" w:after="0"/>
        <w:ind w:left="160" w:right="227" w:firstLine="0"/>
        <w:jc w:val="left"/>
        <w:rPr>
          <w:sz w:val="18"/>
        </w:rPr>
      </w:pPr>
      <w:r>
        <w:rPr>
          <w:color w:val="231F20"/>
          <w:sz w:val="18"/>
        </w:rPr>
        <w:t>The Committee noted that </w:t>
      </w:r>
      <w:r>
        <w:rPr>
          <w:i/>
          <w:color w:val="231F20"/>
          <w:sz w:val="18"/>
        </w:rPr>
        <w:t>ex ante </w:t>
      </w:r>
      <w:r>
        <w:rPr>
          <w:color w:val="231F20"/>
          <w:sz w:val="18"/>
        </w:rPr>
        <w:t>real interest rates at the two-year maturity appeared to have fallen sharply in the last month. Moreover, equity prices had risen and bond yields had fallen, and the exchange rate had depreciated after the </w:t>
      </w:r>
      <w:r>
        <w:rPr>
          <w:i/>
          <w:color w:val="231F20"/>
          <w:sz w:val="18"/>
        </w:rPr>
        <w:t>Financial </w:t>
      </w:r>
      <w:r>
        <w:rPr>
          <w:i/>
          <w:color w:val="231F20"/>
          <w:sz w:val="18"/>
        </w:rPr>
        <w:t>Times </w:t>
      </w:r>
      <w:r>
        <w:rPr>
          <w:color w:val="231F20"/>
          <w:sz w:val="18"/>
        </w:rPr>
        <w:t>story suggesting that the United Kingdom was likely to join EMU had appeared on 26 September. While </w:t>
      </w:r>
      <w:r>
        <w:rPr>
          <w:color w:val="231F20"/>
          <w:spacing w:val="-2"/>
          <w:sz w:val="18"/>
        </w:rPr>
        <w:t>acknowledging </w:t>
      </w:r>
      <w:r>
        <w:rPr>
          <w:color w:val="231F20"/>
          <w:sz w:val="18"/>
        </w:rPr>
        <w:t>that markets were currently more than usually volatile, the Committee felt that the changes that had taken place during</w:t>
      </w:r>
    </w:p>
    <w:p>
      <w:pPr>
        <w:pStyle w:val="BodyText"/>
        <w:spacing w:line="232" w:lineRule="auto"/>
        <w:ind w:left="160" w:right="609"/>
      </w:pPr>
      <w:r>
        <w:rPr>
          <w:color w:val="231F20"/>
        </w:rPr>
        <w:t>the month were likely to have a positive effect on aggregate demand.</w:t>
      </w:r>
    </w:p>
    <w:p>
      <w:pPr>
        <w:pStyle w:val="Heading7"/>
        <w:spacing w:before="91"/>
        <w:ind w:firstLine="0"/>
      </w:pPr>
      <w:r>
        <w:rPr>
          <w:b w:val="0"/>
        </w:rPr>
        <w:br w:type="column"/>
      </w:r>
      <w:r>
        <w:rPr>
          <w:color w:val="009483"/>
        </w:rPr>
        <w:t>Summary and policy conclusion</w:t>
      </w:r>
    </w:p>
    <w:p>
      <w:pPr>
        <w:pStyle w:val="ListParagraph"/>
        <w:numPr>
          <w:ilvl w:val="0"/>
          <w:numId w:val="45"/>
        </w:numPr>
        <w:tabs>
          <w:tab w:pos="640" w:val="left" w:leader="none"/>
          <w:tab w:pos="641" w:val="left" w:leader="none"/>
        </w:tabs>
        <w:spacing w:line="232" w:lineRule="auto" w:before="169" w:after="0"/>
        <w:ind w:left="160" w:right="174" w:firstLine="0"/>
        <w:jc w:val="left"/>
        <w:rPr>
          <w:sz w:val="18"/>
        </w:rPr>
      </w:pPr>
      <w:r>
        <w:rPr>
          <w:color w:val="231F20"/>
          <w:sz w:val="18"/>
        </w:rPr>
        <w:t>Though the monetary data now looked a little more encouraging than in previous months and earnings growth had not accelerated, a number of the developments that the Committee had surveyed pointed to somewhat faster output growth than had been expected. It remained probable that economic growth was about </w:t>
      </w:r>
      <w:r>
        <w:rPr>
          <w:color w:val="231F20"/>
          <w:spacing w:val="-9"/>
          <w:sz w:val="18"/>
        </w:rPr>
        <w:t>to </w:t>
      </w:r>
      <w:r>
        <w:rPr>
          <w:color w:val="231F20"/>
          <w:sz w:val="18"/>
        </w:rPr>
        <w:t>slow down, although one or two quarters later than expected.</w:t>
      </w:r>
    </w:p>
    <w:p>
      <w:pPr>
        <w:pStyle w:val="BodyText"/>
        <w:rPr>
          <w:sz w:val="17"/>
        </w:rPr>
      </w:pPr>
    </w:p>
    <w:p>
      <w:pPr>
        <w:pStyle w:val="ListParagraph"/>
        <w:numPr>
          <w:ilvl w:val="0"/>
          <w:numId w:val="45"/>
        </w:numPr>
        <w:tabs>
          <w:tab w:pos="640" w:val="left" w:leader="none"/>
          <w:tab w:pos="641" w:val="left" w:leader="none"/>
        </w:tabs>
        <w:spacing w:line="232" w:lineRule="auto" w:before="0" w:after="0"/>
        <w:ind w:left="160" w:right="119" w:firstLine="0"/>
        <w:jc w:val="left"/>
        <w:rPr>
          <w:sz w:val="18"/>
        </w:rPr>
      </w:pPr>
      <w:r>
        <w:rPr>
          <w:color w:val="231F20"/>
          <w:sz w:val="18"/>
        </w:rPr>
        <w:t>Members discussed how recent developments affected the inflation outlook. Output and demand were stronger in Q3 than </w:t>
      </w:r>
      <w:r>
        <w:rPr>
          <w:color w:val="231F20"/>
          <w:spacing w:val="-6"/>
          <w:sz w:val="18"/>
        </w:rPr>
        <w:t>had </w:t>
      </w:r>
      <w:r>
        <w:rPr>
          <w:color w:val="231F20"/>
          <w:sz w:val="18"/>
        </w:rPr>
        <w:t>been expected, and it was possible that net exports would remain stronger than projected. Taken together with the effects of changes in asset prices and the exchange rate, this suggested that the level </w:t>
      </w:r>
      <w:r>
        <w:rPr>
          <w:color w:val="231F20"/>
          <w:spacing w:val="-7"/>
          <w:sz w:val="18"/>
        </w:rPr>
        <w:t>of </w:t>
      </w:r>
      <w:r>
        <w:rPr>
          <w:color w:val="231F20"/>
          <w:sz w:val="18"/>
        </w:rPr>
        <w:t>output might be higher than expected in relation to the productive capacity of the economy, so that inflation might be higher than the August projection. The absence of much reduction in RPIX inflation in the past few months suggested that the expected dip in the twelve-month rate of inflation might be shallower than previously thought, and that when inflation began to increase it would do so from a higher starting rate.</w:t>
      </w:r>
    </w:p>
    <w:p>
      <w:pPr>
        <w:pStyle w:val="BodyText"/>
        <w:spacing w:before="6"/>
        <w:rPr>
          <w:sz w:val="16"/>
        </w:rPr>
      </w:pPr>
    </w:p>
    <w:p>
      <w:pPr>
        <w:pStyle w:val="ListParagraph"/>
        <w:numPr>
          <w:ilvl w:val="0"/>
          <w:numId w:val="45"/>
        </w:numPr>
        <w:tabs>
          <w:tab w:pos="640" w:val="left" w:leader="none"/>
          <w:tab w:pos="641" w:val="left" w:leader="none"/>
        </w:tabs>
        <w:spacing w:line="232" w:lineRule="auto" w:before="0" w:after="0"/>
        <w:ind w:left="160" w:right="153" w:firstLine="0"/>
        <w:jc w:val="left"/>
        <w:rPr>
          <w:sz w:val="18"/>
        </w:rPr>
      </w:pPr>
      <w:r>
        <w:rPr>
          <w:color w:val="231F20"/>
          <w:sz w:val="18"/>
        </w:rPr>
        <w:t>Members discussed how policy should react to this situation, bearing in mind the statement in the August </w:t>
      </w:r>
      <w:r>
        <w:rPr>
          <w:i/>
          <w:color w:val="231F20"/>
          <w:sz w:val="18"/>
        </w:rPr>
        <w:t>Inflation Report</w:t>
      </w:r>
      <w:r>
        <w:rPr>
          <w:i/>
          <w:color w:val="231F20"/>
          <w:spacing w:val="-1"/>
          <w:sz w:val="18"/>
        </w:rPr>
        <w:t> </w:t>
      </w:r>
      <w:r>
        <w:rPr>
          <w:color w:val="231F20"/>
          <w:sz w:val="18"/>
        </w:rPr>
        <w:t>that</w:t>
      </w:r>
    </w:p>
    <w:p>
      <w:pPr>
        <w:pStyle w:val="BodyText"/>
        <w:spacing w:line="232" w:lineRule="auto"/>
        <w:ind w:left="160" w:right="136"/>
      </w:pPr>
      <w:r>
        <w:rPr>
          <w:color w:val="231F20"/>
        </w:rPr>
        <w:t>‘. . . the Monetary Policy Committee concluded that monetary policy has now reached a position at which it should be possible to pause in order to assess the direction in which the risks are likely to materialise’.</w:t>
      </w:r>
    </w:p>
    <w:p>
      <w:pPr>
        <w:pStyle w:val="BodyText"/>
        <w:rPr>
          <w:sz w:val="17"/>
        </w:rPr>
      </w:pPr>
    </w:p>
    <w:p>
      <w:pPr>
        <w:pStyle w:val="ListParagraph"/>
        <w:numPr>
          <w:ilvl w:val="0"/>
          <w:numId w:val="45"/>
        </w:numPr>
        <w:tabs>
          <w:tab w:pos="640" w:val="left" w:leader="none"/>
          <w:tab w:pos="641" w:val="left" w:leader="none"/>
        </w:tabs>
        <w:spacing w:line="232" w:lineRule="auto" w:before="0" w:after="0"/>
        <w:ind w:left="160" w:right="129" w:firstLine="0"/>
        <w:jc w:val="left"/>
        <w:rPr>
          <w:sz w:val="18"/>
        </w:rPr>
      </w:pPr>
      <w:r>
        <w:rPr>
          <w:color w:val="231F20"/>
          <w:sz w:val="18"/>
        </w:rPr>
        <w:t>Members considered whether a rise in interest rates was needed in order to meet the inflation target. The prospects for weaker net trade—supported by survey evidence of lower exports in the near term—suggested that output growth was likely to fall. Two possible interpretations of this outlook were discussed. The first was that the impact on domestic demand of the monetary and fiscal tightening earlier this year would be sufficient to slow down the economy, and so the need for a further rise in interest rates was not yet clear. One argument in support of that proposition was the failure of earnings growth, adjusting for the timing of bonuses, to rise this year. The second interpretation was that the early indications of strong growth in the third quarter meant that the slowdown had at least been deferred, and so the risks to the inflation outlook were clearly on the upside. On that interpretation, there would need to be a further significant rise in interest rates in order to meet the inflation target. The Committee agreed that it did not, as yet, have sufficient information to feel confident in </w:t>
      </w:r>
      <w:r>
        <w:rPr>
          <w:color w:val="231F20"/>
          <w:spacing w:val="-3"/>
          <w:sz w:val="18"/>
        </w:rPr>
        <w:t>choosing </w:t>
      </w:r>
      <w:r>
        <w:rPr>
          <w:color w:val="231F20"/>
          <w:sz w:val="18"/>
        </w:rPr>
        <w:t>between these two interpretations.</w:t>
      </w:r>
    </w:p>
    <w:p>
      <w:pPr>
        <w:pStyle w:val="BodyText"/>
        <w:spacing w:before="2"/>
        <w:rPr>
          <w:sz w:val="16"/>
        </w:rPr>
      </w:pPr>
    </w:p>
    <w:p>
      <w:pPr>
        <w:pStyle w:val="ListParagraph"/>
        <w:numPr>
          <w:ilvl w:val="0"/>
          <w:numId w:val="45"/>
        </w:numPr>
        <w:tabs>
          <w:tab w:pos="640" w:val="left" w:leader="none"/>
          <w:tab w:pos="641" w:val="left" w:leader="none"/>
        </w:tabs>
        <w:spacing w:line="232" w:lineRule="auto" w:before="0" w:after="0"/>
        <w:ind w:left="160" w:right="129" w:firstLine="0"/>
        <w:jc w:val="left"/>
        <w:rPr>
          <w:sz w:val="18"/>
        </w:rPr>
      </w:pPr>
      <w:r>
        <w:rPr>
          <w:color w:val="231F20"/>
          <w:sz w:val="18"/>
        </w:rPr>
        <w:t>The Committee considered whether, if a rise in interest rates were needed, it would be better to implement it immediately, or to make no change this month but with the expectation of an increase in November. The arguments for an immediate move were that </w:t>
      </w:r>
      <w:r>
        <w:rPr>
          <w:color w:val="231F20"/>
          <w:spacing w:val="-6"/>
          <w:sz w:val="18"/>
        </w:rPr>
        <w:t>any </w:t>
      </w:r>
      <w:r>
        <w:rPr>
          <w:color w:val="231F20"/>
          <w:sz w:val="18"/>
        </w:rPr>
        <w:t>delay would carry the risk that the eventual increase might need to be larger than would otherwise have been the case. Moreover, if there was an inhibition about moving other than in steps of </w:t>
      </w:r>
      <w:r>
        <w:rPr>
          <w:color w:val="231F20"/>
          <w:position w:val="6"/>
          <w:sz w:val="9"/>
        </w:rPr>
        <w:t>1</w:t>
      </w:r>
      <w:r>
        <w:rPr>
          <w:color w:val="231F20"/>
          <w:sz w:val="18"/>
        </w:rPr>
        <w:t>/</w:t>
      </w:r>
      <w:r>
        <w:rPr>
          <w:color w:val="231F20"/>
          <w:sz w:val="9"/>
        </w:rPr>
        <w:t>4</w:t>
      </w:r>
      <w:r>
        <w:rPr>
          <w:color w:val="231F20"/>
          <w:sz w:val="18"/>
        </w:rPr>
        <w:t>%, and the necessary increase was more than </w:t>
      </w:r>
      <w:r>
        <w:rPr>
          <w:color w:val="231F20"/>
          <w:position w:val="6"/>
          <w:sz w:val="9"/>
        </w:rPr>
        <w:t>1</w:t>
      </w:r>
      <w:r>
        <w:rPr>
          <w:color w:val="231F20"/>
          <w:sz w:val="18"/>
        </w:rPr>
        <w:t>/</w:t>
      </w:r>
      <w:r>
        <w:rPr>
          <w:color w:val="231F20"/>
          <w:sz w:val="9"/>
        </w:rPr>
        <w:t>4</w:t>
      </w:r>
      <w:r>
        <w:rPr>
          <w:color w:val="231F20"/>
          <w:sz w:val="18"/>
        </w:rPr>
        <w:t>%, then it would be better to start the process of increasing rates immediately. The arguments for waiting a month before raising interest rates were as follows. First, in practice it was unlikely that a delay of a month would make a significant difference to the economic impact of a rise in interest rates, should a rise prove necessary. Second, there was no reason why interest rates should not move in steps of more than </w:t>
      </w:r>
      <w:r>
        <w:rPr>
          <w:color w:val="231F20"/>
          <w:position w:val="6"/>
          <w:sz w:val="9"/>
        </w:rPr>
        <w:t>1</w:t>
      </w:r>
      <w:r>
        <w:rPr>
          <w:color w:val="231F20"/>
          <w:sz w:val="18"/>
        </w:rPr>
        <w:t>/</w:t>
      </w:r>
      <w:r>
        <w:rPr>
          <w:color w:val="231F20"/>
          <w:sz w:val="9"/>
        </w:rPr>
        <w:t>4</w:t>
      </w:r>
      <w:r>
        <w:rPr>
          <w:color w:val="231F20"/>
          <w:sz w:val="18"/>
        </w:rPr>
        <w:t>%, or indeed less, if circumstances warranted it. Third, a large amount of quarterly information would become available before the next meeting—the CBI Quarterly Survey, the preliminary estimate of GDP in Q3, the Labour Force Survey, the money figures for Q3, including sectoral money holdings and estimates of Divisia money. Moreover, work on the November </w:t>
      </w:r>
      <w:r>
        <w:rPr>
          <w:i/>
          <w:color w:val="231F20"/>
          <w:sz w:val="18"/>
        </w:rPr>
        <w:t>Inflation Report</w:t>
      </w:r>
      <w:r>
        <w:rPr>
          <w:color w:val="231F20"/>
          <w:sz w:val="18"/>
        </w:rPr>
        <w:t>, which would take place before the next meeting, would enable the Committee to make a new inflation forecast. Members preferred to wait another month to see how the evidence on the balance of risks accumulated.</w:t>
      </w:r>
    </w:p>
    <w:p>
      <w:pPr>
        <w:spacing w:after="0" w:line="232" w:lineRule="auto"/>
        <w:jc w:val="left"/>
        <w:rPr>
          <w:sz w:val="18"/>
        </w:rPr>
        <w:sectPr>
          <w:type w:val="continuous"/>
          <w:pgSz w:w="11900" w:h="16840"/>
          <w:pgMar w:top="1040" w:bottom="280" w:left="660" w:right="680"/>
          <w:cols w:num="2" w:equalWidth="0">
            <w:col w:w="5098" w:space="282"/>
            <w:col w:w="5180"/>
          </w:cols>
        </w:sectPr>
      </w:pPr>
    </w:p>
    <w:p>
      <w:pPr>
        <w:pStyle w:val="BodyText"/>
        <w:rPr>
          <w:sz w:val="20"/>
        </w:rPr>
      </w:pPr>
    </w:p>
    <w:p>
      <w:pPr>
        <w:pStyle w:val="BodyText"/>
        <w:spacing w:before="5"/>
      </w:pPr>
    </w:p>
    <w:p>
      <w:pPr>
        <w:pStyle w:val="ListParagraph"/>
        <w:numPr>
          <w:ilvl w:val="0"/>
          <w:numId w:val="45"/>
        </w:numPr>
        <w:tabs>
          <w:tab w:pos="619" w:val="left" w:leader="none"/>
          <w:tab w:pos="621" w:val="left" w:leader="none"/>
        </w:tabs>
        <w:spacing w:line="232" w:lineRule="auto" w:before="1" w:after="0"/>
        <w:ind w:left="140" w:right="6238" w:firstLine="0"/>
        <w:jc w:val="left"/>
        <w:rPr>
          <w:sz w:val="18"/>
        </w:rPr>
      </w:pPr>
      <w:r>
        <w:rPr>
          <w:color w:val="231F20"/>
          <w:sz w:val="18"/>
        </w:rPr>
        <w:t>In the light of the discussion, the Committee voted unanimously to leave interest rates unchanged this </w:t>
      </w:r>
      <w:r>
        <w:rPr>
          <w:color w:val="231F20"/>
          <w:spacing w:val="-3"/>
          <w:sz w:val="18"/>
        </w:rPr>
        <w:t>month.</w:t>
      </w:r>
    </w:p>
    <w:p>
      <w:pPr>
        <w:pStyle w:val="ListParagraph"/>
        <w:numPr>
          <w:ilvl w:val="0"/>
          <w:numId w:val="45"/>
        </w:numPr>
        <w:tabs>
          <w:tab w:pos="619" w:val="left" w:leader="none"/>
          <w:tab w:pos="621" w:val="left" w:leader="none"/>
        </w:tabs>
        <w:spacing w:line="400" w:lineRule="atLeast" w:before="0" w:after="0"/>
        <w:ind w:left="140" w:right="589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40" w:right="7825"/>
      </w:pPr>
      <w:r>
        <w:rPr>
          <w:color w:val="231F20"/>
        </w:rPr>
        <w:t>David Clementi (Deputy Governor) Willem Buiter</w:t>
      </w:r>
    </w:p>
    <w:p>
      <w:pPr>
        <w:pStyle w:val="BodyText"/>
        <w:spacing w:line="232" w:lineRule="auto"/>
        <w:ind w:left="140" w:right="8805"/>
      </w:pPr>
      <w:r>
        <w:rPr>
          <w:color w:val="231F20"/>
        </w:rPr>
        <w:t>Charles </w:t>
      </w:r>
      <w:r>
        <w:rPr>
          <w:color w:val="231F20"/>
          <w:spacing w:val="-3"/>
        </w:rPr>
        <w:t>Goodhart </w:t>
      </w:r>
      <w:r>
        <w:rPr>
          <w:color w:val="231F20"/>
        </w:rPr>
        <w:t>DeAnne Julius Mervyn King</w:t>
      </w:r>
    </w:p>
    <w:p>
      <w:pPr>
        <w:pStyle w:val="BodyText"/>
        <w:spacing w:line="200" w:lineRule="exact"/>
        <w:ind w:left="140"/>
      </w:pPr>
      <w:r>
        <w:rPr>
          <w:color w:val="231F20"/>
        </w:rPr>
        <w:t>Ian Plenderleith</w:t>
      </w:r>
    </w:p>
    <w:p>
      <w:pPr>
        <w:pStyle w:val="BodyText"/>
        <w:spacing w:before="10"/>
        <w:rPr>
          <w:sz w:val="16"/>
        </w:rPr>
      </w:pPr>
    </w:p>
    <w:p>
      <w:pPr>
        <w:pStyle w:val="ListParagraph"/>
        <w:numPr>
          <w:ilvl w:val="0"/>
          <w:numId w:val="45"/>
        </w:numPr>
        <w:tabs>
          <w:tab w:pos="619" w:val="left" w:leader="none"/>
          <w:tab w:pos="621" w:val="left" w:leader="none"/>
        </w:tabs>
        <w:spacing w:line="232" w:lineRule="auto" w:before="0" w:after="0"/>
        <w:ind w:left="140" w:right="6084" w:firstLine="0"/>
        <w:jc w:val="left"/>
        <w:rPr>
          <w:sz w:val="18"/>
        </w:rPr>
      </w:pPr>
      <w:r>
        <w:rPr>
          <w:color w:val="231F20"/>
          <w:sz w:val="18"/>
        </w:rPr>
        <w:t>The Treasury representative, Sir Alan Budd, was </w:t>
      </w:r>
      <w:r>
        <w:rPr>
          <w:color w:val="231F20"/>
          <w:spacing w:val="-5"/>
          <w:sz w:val="18"/>
        </w:rPr>
        <w:t>also </w:t>
      </w:r>
      <w:r>
        <w:rPr>
          <w:color w:val="231F20"/>
          <w:sz w:val="18"/>
        </w:rPr>
        <w:t>present.</w:t>
      </w:r>
    </w:p>
    <w:p>
      <w:pPr>
        <w:spacing w:after="0" w:line="232" w:lineRule="auto"/>
        <w:jc w:val="left"/>
        <w:rPr>
          <w:sz w:val="18"/>
        </w:rPr>
        <w:sectPr>
          <w:pgSz w:w="11900" w:h="16840"/>
          <w:pgMar w:header="566" w:footer="597" w:top="800" w:bottom="780" w:left="660" w:right="680"/>
        </w:sectPr>
      </w:pPr>
    </w:p>
    <w:p>
      <w:pPr>
        <w:pStyle w:val="BodyText"/>
        <w:spacing w:before="10"/>
        <w:rPr>
          <w:sz w:val="25"/>
        </w:rPr>
      </w:pPr>
    </w:p>
    <w:p>
      <w:pPr>
        <w:pStyle w:val="Heading1"/>
        <w:tabs>
          <w:tab w:pos="1395" w:val="left" w:leader="none"/>
        </w:tabs>
        <w:ind w:left="160"/>
      </w:pPr>
      <w:bookmarkStart w:name="Summary of data presented by Bank staff" w:id="110"/>
      <w:bookmarkEnd w:id="110"/>
      <w:r>
        <w:rPr>
          <w:b w:val="0"/>
        </w:rPr>
      </w:r>
      <w:r>
        <w:rPr>
          <w:color w:val="009483"/>
        </w:rPr>
        <w:t>Annex:</w:t>
        <w:tab/>
        <w:t>Summary of data presented by Bank</w:t>
      </w:r>
      <w:r>
        <w:rPr>
          <w:color w:val="009483"/>
          <w:spacing w:val="-2"/>
        </w:rPr>
        <w:t> </w:t>
      </w:r>
      <w:r>
        <w:rPr>
          <w:color w:val="009483"/>
        </w:rPr>
        <w:t>staff</w:t>
      </w:r>
    </w:p>
    <w:p>
      <w:pPr>
        <w:pStyle w:val="BodyText"/>
        <w:spacing w:before="2"/>
        <w:rPr>
          <w:b/>
          <w:sz w:val="20"/>
        </w:rPr>
      </w:pPr>
    </w:p>
    <w:p>
      <w:pPr>
        <w:spacing w:after="0"/>
        <w:rPr>
          <w:sz w:val="20"/>
        </w:rPr>
        <w:sectPr>
          <w:pgSz w:w="11900" w:h="16840"/>
          <w:pgMar w:header="566" w:footer="597" w:top="800" w:bottom="780" w:left="660" w:right="680"/>
        </w:sectPr>
      </w:pPr>
    </w:p>
    <w:p>
      <w:pPr>
        <w:pStyle w:val="ListParagraph"/>
        <w:numPr>
          <w:ilvl w:val="0"/>
          <w:numId w:val="46"/>
        </w:numPr>
        <w:tabs>
          <w:tab w:pos="639" w:val="left" w:leader="none"/>
          <w:tab w:pos="641" w:val="left" w:leader="none"/>
        </w:tabs>
        <w:spacing w:line="232" w:lineRule="auto" w:before="98" w:after="0"/>
        <w:ind w:left="160" w:right="128"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3 October 1997, in advance of its meeting. At the start of the Committee meeting itself, members were made aware of information that had subsequently become available, and that information is included in the Annex.</w:t>
      </w:r>
    </w:p>
    <w:p>
      <w:pPr>
        <w:pStyle w:val="BodyText"/>
        <w:spacing w:before="4"/>
        <w:rPr>
          <w:sz w:val="20"/>
        </w:rPr>
      </w:pPr>
    </w:p>
    <w:p>
      <w:pPr>
        <w:pStyle w:val="Heading7"/>
        <w:numPr>
          <w:ilvl w:val="0"/>
          <w:numId w:val="47"/>
        </w:numPr>
        <w:tabs>
          <w:tab w:pos="639" w:val="left" w:leader="none"/>
          <w:tab w:pos="641" w:val="left" w:leader="none"/>
        </w:tabs>
        <w:spacing w:line="240" w:lineRule="auto" w:before="0" w:after="0"/>
        <w:ind w:left="640" w:right="0" w:hanging="481"/>
        <w:jc w:val="left"/>
      </w:pPr>
      <w:r>
        <w:rPr>
          <w:color w:val="009483"/>
        </w:rPr>
        <w:t>Monetary</w:t>
      </w:r>
      <w:r>
        <w:rPr>
          <w:color w:val="009483"/>
          <w:spacing w:val="-1"/>
        </w:rPr>
        <w:t> </w:t>
      </w:r>
      <w:r>
        <w:rPr>
          <w:color w:val="009483"/>
        </w:rPr>
        <w:t>conditions</w:t>
      </w:r>
    </w:p>
    <w:p>
      <w:pPr>
        <w:pStyle w:val="ListParagraph"/>
        <w:numPr>
          <w:ilvl w:val="0"/>
          <w:numId w:val="46"/>
        </w:numPr>
        <w:tabs>
          <w:tab w:pos="639" w:val="left" w:leader="none"/>
          <w:tab w:pos="641" w:val="left" w:leader="none"/>
        </w:tabs>
        <w:spacing w:line="232" w:lineRule="auto" w:before="189" w:after="0"/>
        <w:ind w:left="160" w:right="53" w:firstLine="0"/>
        <w:jc w:val="left"/>
        <w:rPr>
          <w:sz w:val="18"/>
        </w:rPr>
      </w:pPr>
      <w:r>
        <w:rPr>
          <w:color w:val="231F20"/>
          <w:sz w:val="18"/>
        </w:rPr>
        <w:t>Notes and coins had decelerated during the summer and </w:t>
      </w:r>
      <w:r>
        <w:rPr>
          <w:color w:val="231F20"/>
          <w:spacing w:val="-4"/>
          <w:sz w:val="18"/>
        </w:rPr>
        <w:t>their </w:t>
      </w:r>
      <w:r>
        <w:rPr>
          <w:color w:val="231F20"/>
          <w:sz w:val="18"/>
        </w:rPr>
        <w:t>twelve-month growth rate had fallen from 6.1% in June to 5.1% in August. There had been bounce-back in September, when notes and coin had risen by 1.0% and the twelve-month growth rate had gone back up to 5.9%. It seemed likely, however, that the September outturn had been affected by the introduction of the new 50p coin on 1 September.  The amount issued during the month was equivalent to 0.4% of notes and coin. The banks were not yet able to surrender all of their old 50p coins, but would be able to do so during the remainder of this financial year. It therefore seemed likely that the introduction of the new coin had inflated both the month-to-month and the twelve-month growth rate of notes and coin by about 0.4% in September, and that the effect on the level of notes and coin would unwind by the end of the financial year, though the statistical effect on the twelve-month growth rate would last longer. Abstracting from the 50p coin effect, it was not clear whether the deceleration in notes and coin during recent months reflected the re-establishment of a rising trend in velocity, or whether it indicated a slowing-down in demand.</w:t>
      </w:r>
    </w:p>
    <w:p>
      <w:pPr>
        <w:pStyle w:val="BodyText"/>
        <w:spacing w:before="1"/>
        <w:rPr>
          <w:sz w:val="16"/>
        </w:rPr>
      </w:pPr>
    </w:p>
    <w:p>
      <w:pPr>
        <w:pStyle w:val="ListParagraph"/>
        <w:numPr>
          <w:ilvl w:val="0"/>
          <w:numId w:val="46"/>
        </w:numPr>
        <w:tabs>
          <w:tab w:pos="639" w:val="left" w:leader="none"/>
          <w:tab w:pos="641" w:val="left" w:leader="none"/>
        </w:tabs>
        <w:spacing w:line="232" w:lineRule="auto" w:before="0" w:after="0"/>
        <w:ind w:left="160" w:right="138" w:firstLine="0"/>
        <w:jc w:val="left"/>
        <w:rPr>
          <w:sz w:val="18"/>
        </w:rPr>
      </w:pPr>
      <w:r>
        <w:rPr>
          <w:color w:val="231F20"/>
          <w:sz w:val="18"/>
        </w:rPr>
        <w:t>The estimated increase in M4 in July had been revised downwards from 1.0% to 0.9%, and the estimated August </w:t>
      </w:r>
      <w:r>
        <w:rPr>
          <w:color w:val="231F20"/>
          <w:spacing w:val="-3"/>
          <w:sz w:val="18"/>
        </w:rPr>
        <w:t>increase </w:t>
      </w:r>
      <w:r>
        <w:rPr>
          <w:color w:val="231F20"/>
          <w:sz w:val="18"/>
        </w:rPr>
        <w:t>was 0.8%. In August, the annualised three and six-month growth rates (10.4% and 11.0% respectively) were lower than the</w:t>
      </w:r>
    </w:p>
    <w:p>
      <w:pPr>
        <w:pStyle w:val="BodyText"/>
        <w:spacing w:line="232" w:lineRule="auto"/>
        <w:ind w:left="159" w:right="27"/>
      </w:pPr>
      <w:r>
        <w:rPr>
          <w:color w:val="231F20"/>
        </w:rPr>
        <w:t>twelve-month rate (11.6%). Real M4 (ie M4 deflated by RPIX) grew by around 8</w:t>
      </w:r>
      <w:r>
        <w:rPr>
          <w:color w:val="231F20"/>
          <w:position w:val="6"/>
          <w:sz w:val="9"/>
        </w:rPr>
        <w:t>1</w:t>
      </w:r>
      <w:r>
        <w:rPr>
          <w:color w:val="231F20"/>
        </w:rPr>
        <w:t>/</w:t>
      </w:r>
      <w:r>
        <w:rPr>
          <w:color w:val="231F20"/>
          <w:sz w:val="9"/>
        </w:rPr>
        <w:t>2</w:t>
      </w:r>
      <w:r>
        <w:rPr>
          <w:color w:val="231F20"/>
        </w:rPr>
        <w:t>% in the twelve months to August, but its annualised growth rate in the latest three months was around 6</w:t>
      </w:r>
      <w:r>
        <w:rPr>
          <w:color w:val="231F20"/>
          <w:position w:val="6"/>
          <w:sz w:val="9"/>
        </w:rPr>
        <w:t>1</w:t>
      </w:r>
      <w:r>
        <w:rPr>
          <w:color w:val="231F20"/>
        </w:rPr>
        <w:t>/</w:t>
      </w:r>
      <w:r>
        <w:rPr>
          <w:color w:val="231F20"/>
          <w:sz w:val="9"/>
        </w:rPr>
        <w:t>2</w:t>
      </w:r>
      <w:r>
        <w:rPr>
          <w:color w:val="231F20"/>
        </w:rPr>
        <w:t>%. Since the trough of the recession in 1992 Q1, M4 had risen by 44%; two thirds of this increase had occurred since 1995 Q1. It was not easy to explain the fall in the velocity of M4 since 1995 Q1 by reference to structural changes of the kind that had led to falling velocity throughout the 1980s.</w:t>
      </w:r>
    </w:p>
    <w:p>
      <w:pPr>
        <w:pStyle w:val="BodyText"/>
        <w:spacing w:before="7"/>
        <w:rPr>
          <w:sz w:val="16"/>
        </w:rPr>
      </w:pPr>
    </w:p>
    <w:p>
      <w:pPr>
        <w:pStyle w:val="ListParagraph"/>
        <w:numPr>
          <w:ilvl w:val="0"/>
          <w:numId w:val="46"/>
        </w:numPr>
        <w:tabs>
          <w:tab w:pos="639" w:val="left" w:leader="none"/>
          <w:tab w:pos="641" w:val="left" w:leader="none"/>
        </w:tabs>
        <w:spacing w:line="232" w:lineRule="auto" w:before="0" w:after="0"/>
        <w:ind w:left="159" w:right="79" w:firstLine="0"/>
        <w:jc w:val="left"/>
        <w:rPr>
          <w:sz w:val="18"/>
        </w:rPr>
      </w:pPr>
      <w:r>
        <w:rPr>
          <w:color w:val="231F20"/>
          <w:sz w:val="18"/>
        </w:rPr>
        <w:t>Retail M4 went up by 0.4% in August, and its twelve-month growth rate fell to 7.0%. There were strong indications of speculative flows into the remaining building societies: in July </w:t>
      </w:r>
      <w:r>
        <w:rPr>
          <w:color w:val="231F20"/>
          <w:spacing w:val="-6"/>
          <w:sz w:val="18"/>
        </w:rPr>
        <w:t>and </w:t>
      </w:r>
      <w:r>
        <w:rPr>
          <w:color w:val="231F20"/>
          <w:sz w:val="18"/>
        </w:rPr>
        <w:t>August retail flows into societies had been unusually large, while there had been only a very small rise in retail bank deposits, even though the rates offered by building societies were generally materially lower than deposit rates offered by banks.</w:t>
      </w:r>
    </w:p>
    <w:p>
      <w:pPr>
        <w:pStyle w:val="BodyText"/>
        <w:spacing w:before="10"/>
        <w:rPr>
          <w:sz w:val="16"/>
        </w:rPr>
      </w:pPr>
    </w:p>
    <w:p>
      <w:pPr>
        <w:pStyle w:val="ListParagraph"/>
        <w:numPr>
          <w:ilvl w:val="0"/>
          <w:numId w:val="46"/>
        </w:numPr>
        <w:tabs>
          <w:tab w:pos="641" w:val="left" w:leader="none"/>
        </w:tabs>
        <w:spacing w:line="232" w:lineRule="auto" w:before="1" w:after="0"/>
        <w:ind w:left="159" w:right="63" w:firstLine="0"/>
        <w:jc w:val="both"/>
        <w:rPr>
          <w:sz w:val="18"/>
        </w:rPr>
      </w:pPr>
      <w:r>
        <w:rPr>
          <w:color w:val="231F20"/>
          <w:sz w:val="18"/>
        </w:rPr>
        <w:t>Wholesale M4 had risen by 1.4% in August. There had </w:t>
      </w:r>
      <w:r>
        <w:rPr>
          <w:color w:val="231F20"/>
          <w:spacing w:val="-5"/>
          <w:sz w:val="18"/>
        </w:rPr>
        <w:t>been </w:t>
      </w:r>
      <w:r>
        <w:rPr>
          <w:color w:val="231F20"/>
          <w:sz w:val="18"/>
        </w:rPr>
        <w:t>a strong public sector contribution, including a gilt redemption, but no gilt auction.</w:t>
      </w:r>
    </w:p>
    <w:p>
      <w:pPr>
        <w:pStyle w:val="BodyText"/>
        <w:spacing w:before="2"/>
        <w:rPr>
          <w:sz w:val="17"/>
        </w:rPr>
      </w:pPr>
    </w:p>
    <w:p>
      <w:pPr>
        <w:pStyle w:val="ListParagraph"/>
        <w:numPr>
          <w:ilvl w:val="0"/>
          <w:numId w:val="46"/>
        </w:numPr>
        <w:tabs>
          <w:tab w:pos="639" w:val="left" w:leader="none"/>
          <w:tab w:pos="641" w:val="left" w:leader="none"/>
        </w:tabs>
        <w:spacing w:line="232" w:lineRule="auto" w:before="0" w:after="0"/>
        <w:ind w:left="159" w:right="73" w:firstLine="0"/>
        <w:jc w:val="left"/>
        <w:rPr>
          <w:sz w:val="18"/>
        </w:rPr>
      </w:pPr>
      <w:r>
        <w:rPr>
          <w:color w:val="231F20"/>
          <w:sz w:val="18"/>
        </w:rPr>
        <w:t>The signs of a slowdown since the spring were clearer in </w:t>
      </w:r>
      <w:r>
        <w:rPr>
          <w:color w:val="231F20"/>
          <w:spacing w:val="-9"/>
          <w:sz w:val="18"/>
        </w:rPr>
        <w:t>M4 </w:t>
      </w:r>
      <w:r>
        <w:rPr>
          <w:color w:val="231F20"/>
          <w:sz w:val="18"/>
        </w:rPr>
        <w:t>lending than in M4. The annualised three, six and twelve-month growth rates were 6.5%, 8.0% and 8.7% respectively. In August, steady growth in net secured lending to individuals continued (up 6.4% on a year earlier). Net unsecured lending to individuals by banks and building societies had been unusually low in July, probably because people had made extra repayments out of windfalls from demutualisations, but it had rebounded in August and its twelve-month growth rate was 17.6%. Its continued growth might reflect the narrowing of interest rate spreads since the end of 1995.</w:t>
      </w:r>
    </w:p>
    <w:p>
      <w:pPr>
        <w:pStyle w:val="BodyText"/>
        <w:spacing w:before="7"/>
        <w:rPr>
          <w:sz w:val="16"/>
        </w:rPr>
      </w:pPr>
    </w:p>
    <w:p>
      <w:pPr>
        <w:pStyle w:val="ListParagraph"/>
        <w:numPr>
          <w:ilvl w:val="0"/>
          <w:numId w:val="46"/>
        </w:numPr>
        <w:tabs>
          <w:tab w:pos="639" w:val="left" w:leader="none"/>
          <w:tab w:pos="641" w:val="left" w:leader="none"/>
        </w:tabs>
        <w:spacing w:line="232" w:lineRule="auto" w:before="0" w:after="0"/>
        <w:ind w:left="159" w:right="207" w:firstLine="0"/>
        <w:jc w:val="left"/>
        <w:rPr>
          <w:sz w:val="18"/>
        </w:rPr>
      </w:pPr>
      <w:r>
        <w:rPr>
          <w:color w:val="231F20"/>
          <w:sz w:val="18"/>
        </w:rPr>
        <w:t>The preliminary estimate of lending to OFIs was unusually low in August (only £0.2 billion); the slowdown was entirely accounted for by a fall in reverse repos included in M4 lending.</w:t>
      </w:r>
    </w:p>
    <w:p>
      <w:pPr>
        <w:pStyle w:val="BodyText"/>
        <w:spacing w:line="232" w:lineRule="auto" w:before="97"/>
        <w:ind w:left="159" w:right="177"/>
      </w:pPr>
      <w:r>
        <w:rPr/>
        <w:br w:type="column"/>
      </w:r>
      <w:r>
        <w:rPr>
          <w:color w:val="231F20"/>
        </w:rPr>
        <w:t>But lending to leasing companies (which represented about one third of the stock of bank lending to OFIs) had grown. Though it appeared to have picked up somewhat in August, lending to ICCs had slowed down over a longer period. Its twelve-month growth rate had fallen from 13.1% at the end of 1996 to 7.2% at the end of 1997 Q2.</w:t>
      </w:r>
    </w:p>
    <w:p>
      <w:pPr>
        <w:pStyle w:val="BodyText"/>
        <w:rPr>
          <w:sz w:val="17"/>
        </w:rPr>
      </w:pPr>
    </w:p>
    <w:p>
      <w:pPr>
        <w:pStyle w:val="ListParagraph"/>
        <w:numPr>
          <w:ilvl w:val="0"/>
          <w:numId w:val="46"/>
        </w:numPr>
        <w:tabs>
          <w:tab w:pos="639" w:val="left" w:leader="none"/>
          <w:tab w:pos="641" w:val="left" w:leader="none"/>
        </w:tabs>
        <w:spacing w:line="232" w:lineRule="auto" w:before="0" w:after="0"/>
        <w:ind w:left="159" w:right="684" w:firstLine="0"/>
        <w:jc w:val="left"/>
        <w:rPr>
          <w:sz w:val="18"/>
        </w:rPr>
      </w:pPr>
      <w:r>
        <w:rPr>
          <w:color w:val="231F20"/>
          <w:sz w:val="18"/>
        </w:rPr>
        <w:t>Estimates of ex ante real interest rates at the </w:t>
      </w:r>
      <w:r>
        <w:rPr>
          <w:color w:val="231F20"/>
          <w:spacing w:val="-3"/>
          <w:sz w:val="18"/>
        </w:rPr>
        <w:t>two-year </w:t>
      </w:r>
      <w:r>
        <w:rPr>
          <w:color w:val="231F20"/>
          <w:sz w:val="18"/>
        </w:rPr>
        <w:t>maturity can be derived either from the short end of the</w:t>
      </w:r>
    </w:p>
    <w:p>
      <w:pPr>
        <w:pStyle w:val="BodyText"/>
        <w:spacing w:line="232" w:lineRule="auto"/>
        <w:ind w:left="159" w:right="124"/>
      </w:pPr>
      <w:r>
        <w:rPr>
          <w:color w:val="231F20"/>
        </w:rPr>
        <w:t>index-linked zero-coupon gilt yield curve or from the nominal </w:t>
      </w:r>
      <w:r>
        <w:rPr>
          <w:color w:val="231F20"/>
          <w:spacing w:val="-4"/>
        </w:rPr>
        <w:t>yield </w:t>
      </w:r>
      <w:r>
        <w:rPr>
          <w:color w:val="231F20"/>
        </w:rPr>
        <w:t>curve and a survey-based estimate of inflationary expectations.</w:t>
      </w:r>
    </w:p>
    <w:p>
      <w:pPr>
        <w:pStyle w:val="BodyText"/>
        <w:spacing w:line="232" w:lineRule="auto"/>
        <w:ind w:left="159" w:right="144"/>
      </w:pPr>
      <w:r>
        <w:rPr>
          <w:color w:val="231F20"/>
        </w:rPr>
        <w:t>Both techniques indicated a rise in </w:t>
      </w:r>
      <w:r>
        <w:rPr>
          <w:i/>
          <w:color w:val="231F20"/>
        </w:rPr>
        <w:t>ex ante </w:t>
      </w:r>
      <w:r>
        <w:rPr>
          <w:color w:val="231F20"/>
        </w:rPr>
        <w:t>real interest rates between early June and early September: the indexed yield curve showed a rise from 3.7% to 4.2% and the survey-based method from 4.1% to 4.4%. At the same time, the ten-year forward real yield (ie the short-term real yield implicit in the yield curve for a date ten years in the future), which might give some indication of equilibrium, had fallen from 3.7% to 3.5%. In other words, monetary conditions on this measure had become tighter. Between early September and 1 October, however, index-linked yields in </w:t>
      </w:r>
      <w:r>
        <w:rPr>
          <w:color w:val="231F20"/>
          <w:spacing w:val="-6"/>
        </w:rPr>
        <w:t>the </w:t>
      </w:r>
      <w:r>
        <w:rPr>
          <w:color w:val="231F20"/>
        </w:rPr>
        <w:t>United Kingdom had fallen sharply, and the estimated two-year zero coupon real yield had fallen from 4.2% to 3.3%, while the</w:t>
      </w:r>
    </w:p>
    <w:p>
      <w:pPr>
        <w:pStyle w:val="BodyText"/>
        <w:spacing w:line="232" w:lineRule="auto"/>
        <w:ind w:left="159" w:right="152"/>
      </w:pPr>
      <w:r>
        <w:rPr>
          <w:color w:val="231F20"/>
        </w:rPr>
        <w:t>ten-year forward real yield had fallen more modestly, from 3.5% to 3.3%. These latest moves in both short and long-term real interest rates seemed likely to have a positive effect on aggregate demand.</w:t>
      </w:r>
    </w:p>
    <w:p>
      <w:pPr>
        <w:pStyle w:val="BodyText"/>
        <w:spacing w:before="6"/>
        <w:rPr>
          <w:sz w:val="19"/>
        </w:rPr>
      </w:pPr>
    </w:p>
    <w:p>
      <w:pPr>
        <w:pStyle w:val="Heading7"/>
        <w:numPr>
          <w:ilvl w:val="0"/>
          <w:numId w:val="47"/>
        </w:numPr>
        <w:tabs>
          <w:tab w:pos="639" w:val="left" w:leader="none"/>
          <w:tab w:pos="641" w:val="left" w:leader="none"/>
        </w:tabs>
        <w:spacing w:line="240" w:lineRule="auto" w:before="0" w:after="0"/>
        <w:ind w:left="640" w:right="0" w:hanging="482"/>
        <w:jc w:val="left"/>
      </w:pPr>
      <w:r>
        <w:rPr>
          <w:color w:val="009483"/>
        </w:rPr>
        <w:t>Demand and output</w:t>
      </w:r>
    </w:p>
    <w:p>
      <w:pPr>
        <w:pStyle w:val="ListParagraph"/>
        <w:numPr>
          <w:ilvl w:val="0"/>
          <w:numId w:val="46"/>
        </w:numPr>
        <w:tabs>
          <w:tab w:pos="639" w:val="left" w:leader="none"/>
          <w:tab w:pos="641" w:val="left" w:leader="none"/>
        </w:tabs>
        <w:spacing w:line="232" w:lineRule="auto" w:before="190" w:after="0"/>
        <w:ind w:left="159" w:right="259" w:firstLine="0"/>
        <w:jc w:val="left"/>
        <w:rPr>
          <w:sz w:val="18"/>
        </w:rPr>
      </w:pPr>
      <w:r>
        <w:rPr>
          <w:color w:val="231F20"/>
          <w:sz w:val="18"/>
        </w:rPr>
        <w:t>The full national accounts for Q2 incorporated a </w:t>
      </w:r>
      <w:r>
        <w:rPr>
          <w:color w:val="231F20"/>
          <w:spacing w:val="-3"/>
          <w:sz w:val="18"/>
        </w:rPr>
        <w:t>downward </w:t>
      </w:r>
      <w:r>
        <w:rPr>
          <w:color w:val="231F20"/>
          <w:sz w:val="18"/>
        </w:rPr>
        <w:t>revision of estimated GDP growth in Q1 from 0.9% to 0.8%, compensated by an upward revision of estimated growth in Q2 from 0.9% to 1.0%. The estimated fall in net exports in Q2 was revised from 0.4% to 0.5% of GDP, and estimated growth in investment was revised upwards from 0.1% to 2.0%. The estimated increase in consumption of 1.5% was unchanged.</w:t>
      </w:r>
    </w:p>
    <w:p>
      <w:pPr>
        <w:pStyle w:val="BodyText"/>
        <w:spacing w:before="10"/>
        <w:rPr>
          <w:sz w:val="16"/>
        </w:rPr>
      </w:pPr>
    </w:p>
    <w:p>
      <w:pPr>
        <w:pStyle w:val="ListParagraph"/>
        <w:numPr>
          <w:ilvl w:val="0"/>
          <w:numId w:val="46"/>
        </w:numPr>
        <w:tabs>
          <w:tab w:pos="639" w:val="left" w:leader="none"/>
          <w:tab w:pos="641" w:val="left" w:leader="none"/>
        </w:tabs>
        <w:spacing w:line="232" w:lineRule="auto" w:before="0" w:after="0"/>
        <w:ind w:left="159" w:right="238" w:firstLine="0"/>
        <w:jc w:val="left"/>
        <w:rPr>
          <w:sz w:val="18"/>
        </w:rPr>
      </w:pPr>
      <w:r>
        <w:rPr>
          <w:color w:val="231F20"/>
          <w:sz w:val="18"/>
        </w:rPr>
        <w:t>The estimated savings ratio increased to 11.7% in Q2. </w:t>
      </w:r>
      <w:r>
        <w:rPr>
          <w:color w:val="231F20"/>
          <w:spacing w:val="-4"/>
          <w:sz w:val="18"/>
        </w:rPr>
        <w:t>This </w:t>
      </w:r>
      <w:r>
        <w:rPr>
          <w:color w:val="231F20"/>
          <w:sz w:val="18"/>
        </w:rPr>
        <w:t>might partly have reflected unusually large corporate dividend payments ahead of the Budget.</w:t>
      </w:r>
    </w:p>
    <w:p>
      <w:pPr>
        <w:pStyle w:val="BodyText"/>
        <w:spacing w:before="2"/>
        <w:rPr>
          <w:sz w:val="17"/>
        </w:rPr>
      </w:pPr>
    </w:p>
    <w:p>
      <w:pPr>
        <w:pStyle w:val="ListParagraph"/>
        <w:numPr>
          <w:ilvl w:val="0"/>
          <w:numId w:val="46"/>
        </w:numPr>
        <w:tabs>
          <w:tab w:pos="639" w:val="left" w:leader="none"/>
          <w:tab w:pos="641" w:val="left" w:leader="none"/>
        </w:tabs>
        <w:spacing w:line="232" w:lineRule="auto" w:before="0" w:after="0"/>
        <w:ind w:left="159" w:right="124" w:firstLine="0"/>
        <w:jc w:val="left"/>
        <w:rPr>
          <w:sz w:val="18"/>
        </w:rPr>
      </w:pPr>
      <w:r>
        <w:rPr>
          <w:color w:val="231F20"/>
          <w:sz w:val="18"/>
        </w:rPr>
        <w:t>Retail sales volumes increased by a further 0.4% in August, when they were up by 5%–6% on a year earlier. The picture of accelerating retail sales in the ONS data was not consistent with the survey data from the CBI and the BRC, which were more subdued. The survey data fitted more closely with the ONS retail sales </w:t>
      </w:r>
      <w:r>
        <w:rPr>
          <w:color w:val="231F20"/>
          <w:spacing w:val="-3"/>
          <w:sz w:val="18"/>
        </w:rPr>
        <w:t>values </w:t>
      </w:r>
      <w:r>
        <w:rPr>
          <w:color w:val="231F20"/>
          <w:sz w:val="18"/>
        </w:rPr>
        <w:t>data, which had accelerated by less than the volume data as goods price inflation had slowed. Moreover, the surveys were mainly of large retailers, which had been gaining market share particularly fast in 1995–96. This had affected the relationship between the surveys and the comprehensive ONS data.  Large retailers were now gaining share at a somewhat slower rate than in 1995–96; this could help explain the apparent relative strength of the ONS data. The BRC survey showed ‘like-for-like’ percentage increases in sales, but these figures did not allow for the effect of increasing floorspace, and typically showed lower growth in retail sales values than the ONS data.</w:t>
      </w:r>
    </w:p>
    <w:p>
      <w:pPr>
        <w:pStyle w:val="BodyText"/>
        <w:spacing w:before="3"/>
        <w:rPr>
          <w:sz w:val="16"/>
        </w:rPr>
      </w:pPr>
    </w:p>
    <w:p>
      <w:pPr>
        <w:pStyle w:val="ListParagraph"/>
        <w:numPr>
          <w:ilvl w:val="0"/>
          <w:numId w:val="46"/>
        </w:numPr>
        <w:tabs>
          <w:tab w:pos="639" w:val="left" w:leader="none"/>
          <w:tab w:pos="641" w:val="left" w:leader="none"/>
        </w:tabs>
        <w:spacing w:line="232" w:lineRule="auto" w:before="0" w:after="0"/>
        <w:ind w:left="159" w:right="209" w:firstLine="0"/>
        <w:jc w:val="left"/>
        <w:rPr>
          <w:sz w:val="18"/>
        </w:rPr>
      </w:pPr>
      <w:r>
        <w:rPr>
          <w:color w:val="231F20"/>
          <w:sz w:val="18"/>
        </w:rPr>
        <w:t>How much of recent spending had been windfall-related? The ONS, using a simple technique based on comparison of outturns with an extrapolated trend, estimated that windfall-related spending on household and other goods had been around</w:t>
      </w:r>
    </w:p>
    <w:p>
      <w:pPr>
        <w:pStyle w:val="BodyText"/>
        <w:spacing w:line="232" w:lineRule="auto"/>
        <w:ind w:left="159" w:right="127"/>
      </w:pPr>
      <w:r>
        <w:rPr>
          <w:color w:val="231F20"/>
        </w:rPr>
        <w:t>£500 million between May and August. On this basis, retail sales volumes excluding windfall effects had been growing at around 5% during the last year, but were not accelerating rapidly.</w:t>
      </w:r>
    </w:p>
    <w:p>
      <w:pPr>
        <w:pStyle w:val="BodyText"/>
        <w:spacing w:before="11"/>
        <w:rPr>
          <w:sz w:val="16"/>
        </w:rPr>
      </w:pPr>
    </w:p>
    <w:p>
      <w:pPr>
        <w:pStyle w:val="ListParagraph"/>
        <w:numPr>
          <w:ilvl w:val="0"/>
          <w:numId w:val="46"/>
        </w:numPr>
        <w:tabs>
          <w:tab w:pos="639" w:val="left" w:leader="none"/>
          <w:tab w:pos="641" w:val="left" w:leader="none"/>
        </w:tabs>
        <w:spacing w:line="232" w:lineRule="auto" w:before="0" w:after="0"/>
        <w:ind w:left="159" w:right="118" w:firstLine="0"/>
        <w:jc w:val="left"/>
        <w:rPr>
          <w:sz w:val="18"/>
        </w:rPr>
      </w:pPr>
      <w:r>
        <w:rPr>
          <w:color w:val="231F20"/>
          <w:sz w:val="18"/>
        </w:rPr>
        <w:t>Spending on consumer durables had been unusually strong </w:t>
      </w:r>
      <w:r>
        <w:rPr>
          <w:color w:val="231F20"/>
          <w:spacing w:val="-9"/>
          <w:sz w:val="18"/>
        </w:rPr>
        <w:t>in </w:t>
      </w:r>
      <w:r>
        <w:rPr>
          <w:color w:val="231F20"/>
          <w:sz w:val="18"/>
        </w:rPr>
        <w:t>Q2—up by 6.8% on the quarter. Although spending on durables was normally volatile, the Q2 increase was consistent with other</w:t>
      </w:r>
    </w:p>
    <w:p>
      <w:pPr>
        <w:spacing w:after="0" w:line="232" w:lineRule="auto"/>
        <w:jc w:val="left"/>
        <w:rPr>
          <w:sz w:val="18"/>
        </w:rPr>
        <w:sectPr>
          <w:type w:val="continuous"/>
          <w:pgSz w:w="11900" w:h="16840"/>
          <w:pgMar w:top="1040" w:bottom="280" w:left="660" w:right="680"/>
          <w:cols w:num="2" w:equalWidth="0">
            <w:col w:w="5100" w:space="280"/>
            <w:col w:w="5180"/>
          </w:cols>
        </w:sectPr>
      </w:pPr>
    </w:p>
    <w:p>
      <w:pPr>
        <w:pStyle w:val="BodyText"/>
        <w:spacing w:before="2"/>
        <w:rPr>
          <w:sz w:val="28"/>
        </w:rPr>
      </w:pPr>
    </w:p>
    <w:p>
      <w:pPr>
        <w:spacing w:after="0"/>
        <w:rPr>
          <w:sz w:val="28"/>
        </w:rPr>
        <w:sectPr>
          <w:pgSz w:w="11900" w:h="16840"/>
          <w:pgMar w:header="566" w:footer="597" w:top="800" w:bottom="780" w:left="660" w:right="680"/>
        </w:sectPr>
      </w:pPr>
    </w:p>
    <w:p>
      <w:pPr>
        <w:pStyle w:val="BodyText"/>
        <w:spacing w:line="232" w:lineRule="auto" w:before="99"/>
        <w:ind w:left="120"/>
      </w:pPr>
      <w:r>
        <w:rPr>
          <w:color w:val="231F20"/>
        </w:rPr>
        <w:t>evidence of spending of windfalls from demutualisations. Car registrations in August were the highest for 16 years, and there was no solid evidence that pre-registrations had been higher than in August 1996; registrations in September had been the highest since 1989.</w:t>
      </w:r>
    </w:p>
    <w:p>
      <w:pPr>
        <w:pStyle w:val="BodyText"/>
        <w:rPr>
          <w:sz w:val="17"/>
        </w:rPr>
      </w:pPr>
    </w:p>
    <w:p>
      <w:pPr>
        <w:pStyle w:val="ListParagraph"/>
        <w:numPr>
          <w:ilvl w:val="0"/>
          <w:numId w:val="46"/>
        </w:numPr>
        <w:tabs>
          <w:tab w:pos="599" w:val="left" w:leader="none"/>
          <w:tab w:pos="601" w:val="left" w:leader="none"/>
        </w:tabs>
        <w:spacing w:line="232" w:lineRule="auto" w:before="0" w:after="0"/>
        <w:ind w:left="120" w:right="133" w:firstLine="0"/>
        <w:jc w:val="left"/>
        <w:rPr>
          <w:sz w:val="18"/>
        </w:rPr>
      </w:pPr>
      <w:r>
        <w:rPr>
          <w:color w:val="231F20"/>
          <w:sz w:val="18"/>
        </w:rPr>
        <w:t>The divergence between the Nationwide and Halifax estimates of house price inflation had widened further: their estimates for the year to September were 12.9% and 6.9% respectively. Housing market turnover, as measured by particulars delivered, fell in August, but there had been an increase in housing starts.</w:t>
      </w:r>
    </w:p>
    <w:p>
      <w:pPr>
        <w:pStyle w:val="BodyText"/>
        <w:rPr>
          <w:sz w:val="17"/>
        </w:rPr>
      </w:pPr>
    </w:p>
    <w:p>
      <w:pPr>
        <w:pStyle w:val="ListParagraph"/>
        <w:numPr>
          <w:ilvl w:val="0"/>
          <w:numId w:val="46"/>
        </w:numPr>
        <w:tabs>
          <w:tab w:pos="599" w:val="left" w:leader="none"/>
          <w:tab w:pos="601" w:val="left" w:leader="none"/>
        </w:tabs>
        <w:spacing w:line="232" w:lineRule="auto" w:before="0" w:after="0"/>
        <w:ind w:left="120" w:right="38" w:firstLine="0"/>
        <w:jc w:val="left"/>
        <w:rPr>
          <w:sz w:val="18"/>
        </w:rPr>
      </w:pPr>
      <w:r>
        <w:rPr>
          <w:color w:val="231F20"/>
          <w:sz w:val="18"/>
        </w:rPr>
        <w:t>Manufacturing investment had grown strongly in Q2, and the ONS data were now more consistent with indications from business surveys. Investment in service industries as recorded in the </w:t>
      </w:r>
      <w:r>
        <w:rPr>
          <w:color w:val="231F20"/>
          <w:spacing w:val="-3"/>
          <w:sz w:val="18"/>
        </w:rPr>
        <w:t>national </w:t>
      </w:r>
      <w:r>
        <w:rPr>
          <w:color w:val="231F20"/>
          <w:sz w:val="18"/>
        </w:rPr>
        <w:t>accounts had fallen: the ONS had adjusted the results of the capital expenditure survey (which had shown a large increase) in order to achieve consistency with other parts of the national accounts. The adjustments in Q1 and Q2 had been large and in opposite directions. Surveys continued to indicate quite strong investment intentions in service industries.</w:t>
      </w:r>
    </w:p>
    <w:p>
      <w:pPr>
        <w:pStyle w:val="BodyText"/>
        <w:spacing w:before="8"/>
        <w:rPr>
          <w:sz w:val="16"/>
        </w:rPr>
      </w:pPr>
    </w:p>
    <w:p>
      <w:pPr>
        <w:pStyle w:val="ListParagraph"/>
        <w:numPr>
          <w:ilvl w:val="0"/>
          <w:numId w:val="46"/>
        </w:numPr>
        <w:tabs>
          <w:tab w:pos="599" w:val="left" w:leader="none"/>
          <w:tab w:pos="601" w:val="left" w:leader="none"/>
        </w:tabs>
        <w:spacing w:line="232" w:lineRule="auto" w:before="1" w:after="0"/>
        <w:ind w:left="120" w:right="437" w:firstLine="0"/>
        <w:jc w:val="left"/>
        <w:rPr>
          <w:sz w:val="18"/>
        </w:rPr>
      </w:pPr>
      <w:r>
        <w:rPr>
          <w:color w:val="231F20"/>
          <w:sz w:val="18"/>
        </w:rPr>
        <w:t>Stockbuilding had made a small positive contribution </w:t>
      </w:r>
      <w:r>
        <w:rPr>
          <w:color w:val="231F20"/>
          <w:spacing w:val="-9"/>
          <w:sz w:val="18"/>
        </w:rPr>
        <w:t>to </w:t>
      </w:r>
      <w:r>
        <w:rPr>
          <w:color w:val="231F20"/>
          <w:sz w:val="18"/>
        </w:rPr>
        <w:t>GDP growth in Q2.</w:t>
      </w:r>
    </w:p>
    <w:p>
      <w:pPr>
        <w:pStyle w:val="BodyText"/>
        <w:spacing w:before="2"/>
        <w:rPr>
          <w:sz w:val="17"/>
        </w:rPr>
      </w:pPr>
    </w:p>
    <w:p>
      <w:pPr>
        <w:pStyle w:val="ListParagraph"/>
        <w:numPr>
          <w:ilvl w:val="0"/>
          <w:numId w:val="46"/>
        </w:numPr>
        <w:tabs>
          <w:tab w:pos="599" w:val="left" w:leader="none"/>
          <w:tab w:pos="601" w:val="left" w:leader="none"/>
        </w:tabs>
        <w:spacing w:line="232" w:lineRule="auto" w:before="1" w:after="0"/>
        <w:ind w:left="120" w:right="47" w:firstLine="0"/>
        <w:jc w:val="left"/>
        <w:rPr>
          <w:sz w:val="18"/>
        </w:rPr>
      </w:pPr>
      <w:r>
        <w:rPr>
          <w:color w:val="231F20"/>
          <w:sz w:val="18"/>
        </w:rPr>
        <w:t>The external current account had recorded its third consecutive quarterly surplus in Q2. Though net exports of goods and services had fallen in Q2 by the equivalent of 0.5% of GDP, </w:t>
      </w:r>
      <w:r>
        <w:rPr>
          <w:color w:val="231F20"/>
          <w:spacing w:val="-6"/>
          <w:sz w:val="18"/>
        </w:rPr>
        <w:t>the </w:t>
      </w:r>
      <w:r>
        <w:rPr>
          <w:color w:val="231F20"/>
          <w:sz w:val="18"/>
        </w:rPr>
        <w:t>fall was entirely accounted for by oil and erratic items, and net exports of goods other than oil and erratic items had increased. The CIPS survey showed only a small decrease in orders for manufactured exports in September. There were reports from the Agencies that demand in Europe was recovering and that there had been some switching of exports to markets where demand was stronger.</w:t>
      </w:r>
    </w:p>
    <w:p>
      <w:pPr>
        <w:pStyle w:val="BodyText"/>
        <w:spacing w:before="7"/>
        <w:rPr>
          <w:sz w:val="16"/>
        </w:rPr>
      </w:pPr>
    </w:p>
    <w:p>
      <w:pPr>
        <w:pStyle w:val="ListParagraph"/>
        <w:numPr>
          <w:ilvl w:val="0"/>
          <w:numId w:val="46"/>
        </w:numPr>
        <w:tabs>
          <w:tab w:pos="599" w:val="left" w:leader="none"/>
          <w:tab w:pos="601" w:val="left" w:leader="none"/>
        </w:tabs>
        <w:spacing w:line="232" w:lineRule="auto" w:before="1" w:after="0"/>
        <w:ind w:left="119" w:right="187" w:firstLine="0"/>
        <w:jc w:val="left"/>
        <w:rPr>
          <w:sz w:val="18"/>
        </w:rPr>
      </w:pPr>
      <w:r>
        <w:rPr>
          <w:color w:val="231F20"/>
          <w:sz w:val="18"/>
        </w:rPr>
        <w:t>Notwithstanding recent ONS data revisions, output was growing much faster in services (up by 1.2% in Q2) than in manufacturing (up by 0.3% in Q2). But recent C</w:t>
      </w:r>
      <w:r>
        <w:rPr>
          <w:color w:val="231F20"/>
          <w:sz w:val="14"/>
        </w:rPr>
        <w:t>IPS </w:t>
      </w:r>
      <w:r>
        <w:rPr>
          <w:color w:val="231F20"/>
          <w:sz w:val="18"/>
        </w:rPr>
        <w:t>surveys were indicating a slowdown in services output and perhaps some acceleration in manufacturing, and ONS data suggested that manufacturing output had strengthened in July and August. Moreover, CBI surveys suggested consistently that </w:t>
      </w:r>
      <w:r>
        <w:rPr>
          <w:color w:val="231F20"/>
          <w:spacing w:val="-2"/>
          <w:sz w:val="18"/>
        </w:rPr>
        <w:t>manufacturing </w:t>
      </w:r>
      <w:r>
        <w:rPr>
          <w:color w:val="231F20"/>
          <w:sz w:val="18"/>
        </w:rPr>
        <w:t>output was stronger than the ONS data indicated, and there was a wide gap between the growth rate of retail sales of manufactured goods and output of manufactured consumer goods, which was much lower.</w:t>
      </w:r>
    </w:p>
    <w:p>
      <w:pPr>
        <w:pStyle w:val="BodyText"/>
        <w:spacing w:before="7"/>
        <w:rPr>
          <w:sz w:val="16"/>
        </w:rPr>
      </w:pPr>
    </w:p>
    <w:p>
      <w:pPr>
        <w:pStyle w:val="ListParagraph"/>
        <w:numPr>
          <w:ilvl w:val="0"/>
          <w:numId w:val="46"/>
        </w:numPr>
        <w:tabs>
          <w:tab w:pos="599" w:val="left" w:leader="none"/>
          <w:tab w:pos="600" w:val="left" w:leader="none"/>
        </w:tabs>
        <w:spacing w:line="232" w:lineRule="auto" w:before="1" w:after="0"/>
        <w:ind w:left="119" w:right="68" w:firstLine="0"/>
        <w:jc w:val="left"/>
        <w:rPr>
          <w:sz w:val="18"/>
        </w:rPr>
      </w:pPr>
      <w:r>
        <w:rPr>
          <w:color w:val="231F20"/>
          <w:sz w:val="18"/>
        </w:rPr>
        <w:t>Bank research showed that the construction industry was very sensitive to interest rates. Construction output had increased by 1.0% in Q2 and had been up by 3.5% on 1996 Q2. Indicators of capacity utilisation from BEC surveys had risen during the last </w:t>
      </w:r>
      <w:r>
        <w:rPr>
          <w:color w:val="231F20"/>
          <w:spacing w:val="-4"/>
          <w:sz w:val="18"/>
        </w:rPr>
        <w:t>year </w:t>
      </w:r>
      <w:r>
        <w:rPr>
          <w:color w:val="231F20"/>
          <w:sz w:val="18"/>
        </w:rPr>
        <w:t>or so. The recent building industry wage settlement increased </w:t>
      </w:r>
      <w:r>
        <w:rPr>
          <w:color w:val="231F20"/>
          <w:spacing w:val="-4"/>
          <w:sz w:val="18"/>
        </w:rPr>
        <w:t>basic </w:t>
      </w:r>
      <w:r>
        <w:rPr>
          <w:color w:val="231F20"/>
          <w:sz w:val="18"/>
        </w:rPr>
        <w:t>pay by 5.5% from August this year, with larger increases agreed </w:t>
      </w:r>
      <w:r>
        <w:rPr>
          <w:color w:val="231F20"/>
          <w:spacing w:val="-6"/>
          <w:sz w:val="18"/>
        </w:rPr>
        <w:t>for </w:t>
      </w:r>
      <w:r>
        <w:rPr>
          <w:color w:val="231F20"/>
          <w:sz w:val="18"/>
        </w:rPr>
        <w:t>1998 and 1999. Tender price inflation had increased. There had been an upward trend in orders.</w:t>
      </w:r>
    </w:p>
    <w:p>
      <w:pPr>
        <w:pStyle w:val="BodyText"/>
        <w:spacing w:before="9"/>
        <w:rPr>
          <w:sz w:val="16"/>
        </w:rPr>
      </w:pPr>
    </w:p>
    <w:p>
      <w:pPr>
        <w:pStyle w:val="ListParagraph"/>
        <w:numPr>
          <w:ilvl w:val="0"/>
          <w:numId w:val="46"/>
        </w:numPr>
        <w:tabs>
          <w:tab w:pos="599" w:val="left" w:leader="none"/>
          <w:tab w:pos="600" w:val="left" w:leader="none"/>
        </w:tabs>
        <w:spacing w:line="232" w:lineRule="auto" w:before="0" w:after="0"/>
        <w:ind w:left="119" w:right="157" w:firstLine="0"/>
        <w:jc w:val="left"/>
        <w:rPr>
          <w:sz w:val="18"/>
        </w:rPr>
      </w:pPr>
      <w:r>
        <w:rPr>
          <w:color w:val="231F20"/>
          <w:sz w:val="18"/>
        </w:rPr>
        <w:t>The unexpectedly low PSBR in the first five months of the financial year (April-August) appeared to be mainly the result of unexpectedly low outlays. The shortfall in outlays was larger </w:t>
      </w:r>
      <w:r>
        <w:rPr>
          <w:color w:val="231F20"/>
          <w:spacing w:val="-5"/>
          <w:sz w:val="18"/>
        </w:rPr>
        <w:t>than </w:t>
      </w:r>
      <w:r>
        <w:rPr>
          <w:color w:val="231F20"/>
          <w:sz w:val="18"/>
        </w:rPr>
        <w:t>could be accounted for by the fact that unemployment was lower than had been assumed in making the projection.</w:t>
      </w:r>
    </w:p>
    <w:p>
      <w:pPr>
        <w:pStyle w:val="BodyText"/>
        <w:spacing w:before="1"/>
        <w:rPr>
          <w:sz w:val="17"/>
        </w:rPr>
      </w:pPr>
    </w:p>
    <w:p>
      <w:pPr>
        <w:pStyle w:val="ListParagraph"/>
        <w:numPr>
          <w:ilvl w:val="0"/>
          <w:numId w:val="46"/>
        </w:numPr>
        <w:tabs>
          <w:tab w:pos="599" w:val="left" w:leader="none"/>
          <w:tab w:pos="600" w:val="left" w:leader="none"/>
        </w:tabs>
        <w:spacing w:line="232" w:lineRule="auto" w:before="0" w:after="0"/>
        <w:ind w:left="119" w:right="52" w:firstLine="0"/>
        <w:jc w:val="left"/>
        <w:rPr>
          <w:sz w:val="18"/>
        </w:rPr>
      </w:pPr>
      <w:r>
        <w:rPr>
          <w:color w:val="231F20"/>
          <w:sz w:val="18"/>
        </w:rPr>
        <w:t>The Bank’s regional Agencies had conducted a survey of 144 contacts on the recent behaviour of imports.  Of those surveyed, 90 were manufacturers, 25 retailers and 15 service providers. 39 were large (turnover of £100 million), 42 were medium-sized (turnover £25–100 million) and 63 were small. </w:t>
      </w:r>
      <w:r>
        <w:rPr>
          <w:color w:val="231F20"/>
          <w:spacing w:val="-5"/>
          <w:sz w:val="18"/>
        </w:rPr>
        <w:t>Most </w:t>
      </w:r>
      <w:r>
        <w:rPr>
          <w:color w:val="231F20"/>
          <w:sz w:val="18"/>
        </w:rPr>
        <w:t>respondents (55%, including 72% of retailers) thought that the market share of imports of goods and services had increased during the last twelve months, and 57% expected it to increase during the</w:t>
      </w:r>
    </w:p>
    <w:p>
      <w:pPr>
        <w:pStyle w:val="BodyText"/>
        <w:spacing w:line="232" w:lineRule="auto" w:before="98"/>
        <w:ind w:left="119" w:right="217"/>
      </w:pPr>
      <w:r>
        <w:rPr/>
        <w:br w:type="column"/>
      </w:r>
      <w:r>
        <w:rPr>
          <w:color w:val="231F20"/>
        </w:rPr>
        <w:t>next twelve months. The impact of imports had been greatest in homogenous products; niche markets were easier to defend but even there, profitability had been affected. Long-standing partnership arrangements between suppliers and customers had helped to delay the effect of the exchange rate appreciation on sourcing. There was some limited evidence of a reduction in foreign visitors to the United Kingdom and a rise in holidays abroad.</w:t>
      </w:r>
    </w:p>
    <w:p>
      <w:pPr>
        <w:pStyle w:val="BodyText"/>
        <w:spacing w:before="9"/>
        <w:rPr>
          <w:sz w:val="16"/>
        </w:rPr>
      </w:pPr>
    </w:p>
    <w:p>
      <w:pPr>
        <w:pStyle w:val="ListParagraph"/>
        <w:numPr>
          <w:ilvl w:val="0"/>
          <w:numId w:val="46"/>
        </w:numPr>
        <w:tabs>
          <w:tab w:pos="599" w:val="left" w:leader="none"/>
          <w:tab w:pos="600" w:val="left" w:leader="none"/>
        </w:tabs>
        <w:spacing w:line="232" w:lineRule="auto" w:before="1" w:after="0"/>
        <w:ind w:left="119" w:right="174" w:firstLine="0"/>
        <w:jc w:val="left"/>
        <w:rPr>
          <w:sz w:val="18"/>
        </w:rPr>
      </w:pPr>
      <w:r>
        <w:rPr>
          <w:color w:val="231F20"/>
          <w:sz w:val="18"/>
        </w:rPr>
        <w:t>The fall in the cost of imports was much smaller than the appreciation of the exchange rate. 17% of respondents said that </w:t>
      </w:r>
      <w:r>
        <w:rPr>
          <w:color w:val="231F20"/>
          <w:spacing w:val="-6"/>
          <w:sz w:val="18"/>
        </w:rPr>
        <w:t>the </w:t>
      </w:r>
      <w:r>
        <w:rPr>
          <w:color w:val="231F20"/>
          <w:sz w:val="18"/>
        </w:rPr>
        <w:t>cost of imports to them had not fallen at all during the past twelve months; 45% said it had fallen by less than 5%, and only 38% said it had fallen by more than 5%. Only 13% of respondents said they had cut their own prices by more than 5% because of cheaper imported imports in relation to a year ago; 27% said they had cut prices by less than 5%; and 60% said they had not cut prices.</w:t>
      </w:r>
    </w:p>
    <w:p>
      <w:pPr>
        <w:pStyle w:val="BodyText"/>
        <w:spacing w:before="9"/>
        <w:rPr>
          <w:sz w:val="16"/>
        </w:rPr>
      </w:pPr>
    </w:p>
    <w:p>
      <w:pPr>
        <w:pStyle w:val="ListParagraph"/>
        <w:numPr>
          <w:ilvl w:val="0"/>
          <w:numId w:val="46"/>
        </w:numPr>
        <w:tabs>
          <w:tab w:pos="599" w:val="left" w:leader="none"/>
          <w:tab w:pos="600" w:val="left" w:leader="none"/>
        </w:tabs>
        <w:spacing w:line="232" w:lineRule="auto" w:before="0" w:after="0"/>
        <w:ind w:left="119" w:right="169" w:firstLine="0"/>
        <w:jc w:val="left"/>
        <w:rPr>
          <w:sz w:val="18"/>
        </w:rPr>
      </w:pPr>
      <w:r>
        <w:rPr>
          <w:color w:val="231F20"/>
          <w:sz w:val="18"/>
        </w:rPr>
        <w:t>There had been somewhat more price-cutting to maintain market share against cheaper imports. 23% of respondents (including 29% of manufacturers) had cut prices by more than 5% for that reason, 34% had cut prices by less than 5%, and 42% had not cut at all. Some respondents said that foreign cars were </w:t>
      </w:r>
      <w:r>
        <w:rPr>
          <w:color w:val="231F20"/>
          <w:spacing w:val="-3"/>
          <w:sz w:val="18"/>
        </w:rPr>
        <w:t>gaining </w:t>
      </w:r>
      <w:r>
        <w:rPr>
          <w:color w:val="231F20"/>
          <w:sz w:val="18"/>
        </w:rPr>
        <w:t>market share: their prices had not been cut, but more extras were being offered.</w:t>
      </w:r>
    </w:p>
    <w:p>
      <w:pPr>
        <w:pStyle w:val="ListParagraph"/>
        <w:numPr>
          <w:ilvl w:val="0"/>
          <w:numId w:val="46"/>
        </w:numPr>
        <w:tabs>
          <w:tab w:pos="599" w:val="left" w:leader="none"/>
          <w:tab w:pos="600" w:val="left" w:leader="none"/>
        </w:tabs>
        <w:spacing w:line="232" w:lineRule="auto" w:before="175" w:after="0"/>
        <w:ind w:left="119" w:right="179" w:firstLine="0"/>
        <w:jc w:val="left"/>
        <w:rPr>
          <w:sz w:val="18"/>
        </w:rPr>
      </w:pPr>
      <w:r>
        <w:rPr>
          <w:color w:val="231F20"/>
          <w:sz w:val="18"/>
        </w:rPr>
        <w:t>51% of respondents said the appreciation of sterling had damaged their profitability—chiefly on account of exports, but </w:t>
      </w:r>
      <w:r>
        <w:rPr>
          <w:color w:val="231F20"/>
          <w:spacing w:val="-5"/>
          <w:sz w:val="18"/>
        </w:rPr>
        <w:t>also </w:t>
      </w:r>
      <w:r>
        <w:rPr>
          <w:color w:val="231F20"/>
          <w:sz w:val="18"/>
        </w:rPr>
        <w:t>partly because of competition from imports. 28% reported no change in profitability, and 20% (notably retailers) reported an improvement resulting from lower input costs.</w:t>
      </w:r>
    </w:p>
    <w:p>
      <w:pPr>
        <w:pStyle w:val="ListParagraph"/>
        <w:numPr>
          <w:ilvl w:val="0"/>
          <w:numId w:val="46"/>
        </w:numPr>
        <w:tabs>
          <w:tab w:pos="599" w:val="left" w:leader="none"/>
          <w:tab w:pos="600" w:val="left" w:leader="none"/>
        </w:tabs>
        <w:spacing w:line="232" w:lineRule="auto" w:before="176" w:after="0"/>
        <w:ind w:left="119" w:right="194" w:firstLine="0"/>
        <w:jc w:val="left"/>
        <w:rPr>
          <w:sz w:val="18"/>
        </w:rPr>
      </w:pPr>
      <w:r>
        <w:rPr>
          <w:color w:val="231F20"/>
          <w:sz w:val="18"/>
        </w:rPr>
        <w:t>Asked whether the exchange rate appreciation had led to a transfer of production overseas, 55% of respondents (notably small companies) said ‘no’. 13% said ‘yes’ and a further 14% said that </w:t>
      </w:r>
      <w:r>
        <w:rPr>
          <w:color w:val="231F20"/>
          <w:spacing w:val="-9"/>
          <w:sz w:val="18"/>
        </w:rPr>
        <w:t>it </w:t>
      </w:r>
      <w:r>
        <w:rPr>
          <w:color w:val="231F20"/>
          <w:sz w:val="18"/>
        </w:rPr>
        <w:t>was likely to do so in the future.</w:t>
      </w:r>
    </w:p>
    <w:p>
      <w:pPr>
        <w:pStyle w:val="BodyText"/>
        <w:spacing w:before="5"/>
        <w:rPr>
          <w:sz w:val="20"/>
        </w:rPr>
      </w:pPr>
    </w:p>
    <w:p>
      <w:pPr>
        <w:pStyle w:val="Heading7"/>
        <w:numPr>
          <w:ilvl w:val="0"/>
          <w:numId w:val="47"/>
        </w:numPr>
        <w:tabs>
          <w:tab w:pos="599" w:val="left" w:leader="none"/>
          <w:tab w:pos="601" w:val="left" w:leader="none"/>
        </w:tabs>
        <w:spacing w:line="240" w:lineRule="auto" w:before="0" w:after="0"/>
        <w:ind w:left="600" w:right="0" w:hanging="481"/>
        <w:jc w:val="left"/>
      </w:pPr>
      <w:r>
        <w:rPr>
          <w:color w:val="009483"/>
        </w:rPr>
        <w:t>Labour</w:t>
      </w:r>
      <w:r>
        <w:rPr>
          <w:color w:val="009483"/>
          <w:spacing w:val="-1"/>
        </w:rPr>
        <w:t> </w:t>
      </w:r>
      <w:r>
        <w:rPr>
          <w:color w:val="009483"/>
        </w:rPr>
        <w:t>market</w:t>
      </w:r>
    </w:p>
    <w:p>
      <w:pPr>
        <w:pStyle w:val="ListParagraph"/>
        <w:numPr>
          <w:ilvl w:val="0"/>
          <w:numId w:val="46"/>
        </w:numPr>
        <w:tabs>
          <w:tab w:pos="600" w:val="left" w:leader="none"/>
          <w:tab w:pos="601" w:val="left" w:leader="none"/>
        </w:tabs>
        <w:spacing w:line="232" w:lineRule="auto" w:before="150" w:after="0"/>
        <w:ind w:left="120" w:right="158" w:firstLine="0"/>
        <w:jc w:val="left"/>
        <w:rPr>
          <w:sz w:val="18"/>
        </w:rPr>
      </w:pPr>
      <w:r>
        <w:rPr>
          <w:color w:val="231F20"/>
          <w:sz w:val="18"/>
        </w:rPr>
        <w:t>Claimant unemployment fell by 49,000 in August to a rate </w:t>
      </w:r>
      <w:r>
        <w:rPr>
          <w:color w:val="231F20"/>
          <w:spacing w:val="-9"/>
          <w:sz w:val="18"/>
        </w:rPr>
        <w:t>of </w:t>
      </w:r>
      <w:r>
        <w:rPr>
          <w:color w:val="231F20"/>
          <w:sz w:val="18"/>
        </w:rPr>
        <w:t>5.3%, the lowest since August 1980. This was a larger fall than Bank staff had expected and followed a large fall in July (now revised up to 55,000), which was thought to reflect a</w:t>
      </w:r>
    </w:p>
    <w:p>
      <w:pPr>
        <w:pStyle w:val="BodyText"/>
        <w:spacing w:line="232" w:lineRule="auto"/>
        <w:ind w:left="120" w:right="176"/>
      </w:pPr>
      <w:r>
        <w:rPr>
          <w:color w:val="231F20"/>
        </w:rPr>
        <w:t>lower-than-usual flow of students into the claimant count. There were three possible explanations for the surprising August figure— continuing adjustment to the Jobseekers’ Allowance,</w:t>
      </w:r>
    </w:p>
    <w:p>
      <w:pPr>
        <w:pStyle w:val="BodyText"/>
        <w:spacing w:line="232" w:lineRule="auto"/>
        <w:ind w:left="120" w:right="217"/>
      </w:pPr>
      <w:r>
        <w:rPr>
          <w:color w:val="231F20"/>
        </w:rPr>
        <w:t>month-to-month volatility, and a faster rate of labour market tightening than previously thought. The next Labour Force Survey should help distinguish among these explanations. The stock of vacancies rose by 7,000 in August.</w:t>
      </w:r>
    </w:p>
    <w:p>
      <w:pPr>
        <w:pStyle w:val="BodyText"/>
        <w:spacing w:before="7"/>
        <w:rPr>
          <w:sz w:val="16"/>
        </w:rPr>
      </w:pPr>
    </w:p>
    <w:p>
      <w:pPr>
        <w:pStyle w:val="ListParagraph"/>
        <w:numPr>
          <w:ilvl w:val="0"/>
          <w:numId w:val="46"/>
        </w:numPr>
        <w:tabs>
          <w:tab w:pos="600" w:val="left" w:leader="none"/>
          <w:tab w:pos="601" w:val="left" w:leader="none"/>
        </w:tabs>
        <w:spacing w:line="232" w:lineRule="auto" w:before="0" w:after="0"/>
        <w:ind w:left="120" w:right="219" w:firstLine="0"/>
        <w:jc w:val="left"/>
        <w:rPr>
          <w:sz w:val="18"/>
        </w:rPr>
      </w:pPr>
      <w:r>
        <w:rPr>
          <w:color w:val="231F20"/>
          <w:sz w:val="18"/>
        </w:rPr>
        <w:t>The Workforce In Employment Survey showed a rise in employment of 64,000 in 1997 Q2; the number of employees had risen by 95,000. There had been a strong rise in employment in ‘other industries’—largely construction (45,000 in Q2), but </w:t>
      </w:r>
      <w:r>
        <w:rPr>
          <w:color w:val="231F20"/>
          <w:spacing w:val="-3"/>
          <w:sz w:val="18"/>
        </w:rPr>
        <w:t>overall </w:t>
      </w:r>
      <w:r>
        <w:rPr>
          <w:color w:val="231F20"/>
          <w:sz w:val="18"/>
        </w:rPr>
        <w:t>the number of employees had risen by a little less than earlier surveys of employment intentions had suggested.</w:t>
      </w:r>
    </w:p>
    <w:p>
      <w:pPr>
        <w:pStyle w:val="BodyText"/>
        <w:rPr>
          <w:sz w:val="17"/>
        </w:rPr>
      </w:pPr>
    </w:p>
    <w:p>
      <w:pPr>
        <w:pStyle w:val="ListParagraph"/>
        <w:numPr>
          <w:ilvl w:val="0"/>
          <w:numId w:val="46"/>
        </w:numPr>
        <w:tabs>
          <w:tab w:pos="600" w:val="left" w:leader="none"/>
          <w:tab w:pos="601" w:val="left" w:leader="none"/>
        </w:tabs>
        <w:spacing w:line="232" w:lineRule="auto" w:before="0" w:after="0"/>
        <w:ind w:left="120" w:right="199" w:firstLine="0"/>
        <w:jc w:val="left"/>
        <w:rPr>
          <w:sz w:val="18"/>
        </w:rPr>
      </w:pPr>
      <w:r>
        <w:rPr>
          <w:color w:val="231F20"/>
          <w:sz w:val="18"/>
        </w:rPr>
        <w:t>The annual benchmarking survey led to large upward revisions to earlier estimates of the workforce in employment. </w:t>
      </w:r>
      <w:r>
        <w:rPr>
          <w:color w:val="231F20"/>
          <w:spacing w:val="-6"/>
          <w:sz w:val="18"/>
        </w:rPr>
        <w:t>The </w:t>
      </w:r>
      <w:r>
        <w:rPr>
          <w:color w:val="231F20"/>
          <w:sz w:val="18"/>
        </w:rPr>
        <w:t>estimated total in September 1996 had been revised upwards by some 200,000, or 0.8%. The revisions brought the changes in employment during the last year estimated by the Workforce in Employment and the Labour Force Surveys closer together. The revision implied a downward revision to whole-economy productivity growth, which was estimated at 1.6% in the year to Q2; unit wage costs rose by 2.7% in the same period.</w:t>
      </w:r>
    </w:p>
    <w:p>
      <w:pPr>
        <w:pStyle w:val="BodyText"/>
        <w:spacing w:before="9"/>
        <w:rPr>
          <w:sz w:val="16"/>
        </w:rPr>
      </w:pPr>
    </w:p>
    <w:p>
      <w:pPr>
        <w:pStyle w:val="ListParagraph"/>
        <w:numPr>
          <w:ilvl w:val="0"/>
          <w:numId w:val="46"/>
        </w:numPr>
        <w:tabs>
          <w:tab w:pos="600" w:val="left" w:leader="none"/>
          <w:tab w:pos="601" w:val="left" w:leader="none"/>
        </w:tabs>
        <w:spacing w:line="232" w:lineRule="auto" w:before="0" w:after="0"/>
        <w:ind w:left="120" w:right="149" w:firstLine="0"/>
        <w:jc w:val="left"/>
        <w:rPr>
          <w:sz w:val="18"/>
        </w:rPr>
      </w:pPr>
      <w:r>
        <w:rPr>
          <w:color w:val="231F20"/>
          <w:sz w:val="18"/>
        </w:rPr>
        <w:t>The Manpower Survey conducted in September indicated </w:t>
      </w:r>
      <w:r>
        <w:rPr>
          <w:color w:val="231F20"/>
          <w:spacing w:val="-6"/>
          <w:sz w:val="18"/>
        </w:rPr>
        <w:t>the </w:t>
      </w:r>
      <w:r>
        <w:rPr>
          <w:color w:val="231F20"/>
          <w:sz w:val="18"/>
        </w:rPr>
        <w:t>highest recruitment intentions for the next three months since 1988. The Bank’s Agencies reported continuing strength in employment in manufacturing and services, and the C</w:t>
      </w:r>
      <w:r>
        <w:rPr>
          <w:color w:val="231F20"/>
          <w:sz w:val="14"/>
        </w:rPr>
        <w:t>IPS </w:t>
      </w:r>
      <w:r>
        <w:rPr>
          <w:color w:val="231F20"/>
          <w:sz w:val="18"/>
        </w:rPr>
        <w:t>surveys reported</w:t>
      </w:r>
      <w:r>
        <w:rPr>
          <w:color w:val="231F20"/>
          <w:spacing w:val="8"/>
          <w:sz w:val="18"/>
        </w:rPr>
        <w:t> </w:t>
      </w:r>
      <w:r>
        <w:rPr>
          <w:color w:val="231F20"/>
          <w:sz w:val="18"/>
        </w:rPr>
        <w:t>that</w:t>
      </w:r>
    </w:p>
    <w:p>
      <w:pPr>
        <w:spacing w:after="0" w:line="232" w:lineRule="auto"/>
        <w:jc w:val="left"/>
        <w:rPr>
          <w:sz w:val="18"/>
        </w:rPr>
        <w:sectPr>
          <w:type w:val="continuous"/>
          <w:pgSz w:w="11900" w:h="16840"/>
          <w:pgMar w:top="1040" w:bottom="280" w:left="660" w:right="680"/>
          <w:cols w:num="2" w:equalWidth="0">
            <w:col w:w="5074" w:space="321"/>
            <w:col w:w="5165"/>
          </w:cols>
        </w:sectPr>
      </w:pPr>
    </w:p>
    <w:p>
      <w:pPr>
        <w:pStyle w:val="BodyText"/>
        <w:spacing w:before="3"/>
        <w:rPr>
          <w:sz w:val="28"/>
        </w:rPr>
      </w:pPr>
    </w:p>
    <w:p>
      <w:pPr>
        <w:spacing w:after="0"/>
        <w:rPr>
          <w:sz w:val="28"/>
        </w:rPr>
        <w:sectPr>
          <w:pgSz w:w="11900" w:h="16840"/>
          <w:pgMar w:header="566" w:footer="597" w:top="800" w:bottom="780" w:left="660" w:right="680"/>
        </w:sectPr>
      </w:pPr>
    </w:p>
    <w:p>
      <w:pPr>
        <w:pStyle w:val="BodyText"/>
        <w:spacing w:line="232" w:lineRule="auto" w:before="98"/>
        <w:ind w:left="144" w:right="91"/>
      </w:pPr>
      <w:r>
        <w:rPr>
          <w:color w:val="231F20"/>
        </w:rPr>
        <w:t>employment in manufacturing and services had increased modestly in September.</w:t>
      </w:r>
    </w:p>
    <w:p>
      <w:pPr>
        <w:pStyle w:val="BodyText"/>
        <w:spacing w:before="2"/>
        <w:rPr>
          <w:sz w:val="17"/>
        </w:rPr>
      </w:pPr>
    </w:p>
    <w:p>
      <w:pPr>
        <w:pStyle w:val="ListParagraph"/>
        <w:numPr>
          <w:ilvl w:val="0"/>
          <w:numId w:val="46"/>
        </w:numPr>
        <w:tabs>
          <w:tab w:pos="624" w:val="left" w:leader="none"/>
          <w:tab w:pos="625" w:val="left" w:leader="none"/>
        </w:tabs>
        <w:spacing w:line="232" w:lineRule="auto" w:before="0" w:after="0"/>
        <w:ind w:left="144" w:right="53" w:firstLine="0"/>
        <w:jc w:val="left"/>
        <w:rPr>
          <w:sz w:val="18"/>
        </w:rPr>
      </w:pPr>
      <w:r>
        <w:rPr>
          <w:color w:val="231F20"/>
          <w:sz w:val="18"/>
        </w:rPr>
        <w:t>Reported underlying average earnings growth increased </w:t>
      </w:r>
      <w:r>
        <w:rPr>
          <w:color w:val="231F20"/>
          <w:spacing w:val="-5"/>
          <w:sz w:val="18"/>
        </w:rPr>
        <w:t>from </w:t>
      </w:r>
      <w:r>
        <w:rPr>
          <w:color w:val="231F20"/>
          <w:sz w:val="18"/>
        </w:rPr>
        <w:t>4</w:t>
      </w:r>
      <w:r>
        <w:rPr>
          <w:color w:val="231F20"/>
          <w:position w:val="6"/>
          <w:sz w:val="9"/>
        </w:rPr>
        <w:t>1</w:t>
      </w:r>
      <w:r>
        <w:rPr>
          <w:color w:val="231F20"/>
          <w:sz w:val="18"/>
        </w:rPr>
        <w:t>/</w:t>
      </w:r>
      <w:r>
        <w:rPr>
          <w:color w:val="231F20"/>
          <w:sz w:val="9"/>
        </w:rPr>
        <w:t>4</w:t>
      </w:r>
      <w:r>
        <w:rPr>
          <w:color w:val="231F20"/>
          <w:sz w:val="18"/>
        </w:rPr>
        <w:t>% in June to 4</w:t>
      </w:r>
      <w:r>
        <w:rPr>
          <w:color w:val="231F20"/>
          <w:position w:val="6"/>
          <w:sz w:val="9"/>
        </w:rPr>
        <w:t>1</w:t>
      </w:r>
      <w:r>
        <w:rPr>
          <w:color w:val="231F20"/>
          <w:sz w:val="18"/>
        </w:rPr>
        <w:t>/</w:t>
      </w:r>
      <w:r>
        <w:rPr>
          <w:color w:val="231F20"/>
          <w:sz w:val="9"/>
        </w:rPr>
        <w:t>2</w:t>
      </w:r>
      <w:r>
        <w:rPr>
          <w:color w:val="231F20"/>
          <w:sz w:val="18"/>
        </w:rPr>
        <w:t>% in July. The figures for manufacturing and services had been unchanged at 4</w:t>
      </w:r>
      <w:r>
        <w:rPr>
          <w:color w:val="231F20"/>
          <w:position w:val="6"/>
          <w:sz w:val="9"/>
        </w:rPr>
        <w:t>1</w:t>
      </w:r>
      <w:r>
        <w:rPr>
          <w:color w:val="231F20"/>
          <w:sz w:val="18"/>
        </w:rPr>
        <w:t>/</w:t>
      </w:r>
      <w:r>
        <w:rPr>
          <w:color w:val="231F20"/>
          <w:sz w:val="9"/>
        </w:rPr>
        <w:t>4</w:t>
      </w:r>
      <w:r>
        <w:rPr>
          <w:color w:val="231F20"/>
          <w:sz w:val="18"/>
        </w:rPr>
        <w:t>% and 4</w:t>
      </w:r>
      <w:r>
        <w:rPr>
          <w:color w:val="231F20"/>
          <w:position w:val="6"/>
          <w:sz w:val="9"/>
        </w:rPr>
        <w:t>1</w:t>
      </w:r>
      <w:r>
        <w:rPr>
          <w:color w:val="231F20"/>
          <w:sz w:val="18"/>
        </w:rPr>
        <w:t>/</w:t>
      </w:r>
      <w:r>
        <w:rPr>
          <w:color w:val="231F20"/>
          <w:sz w:val="9"/>
        </w:rPr>
        <w:t>2</w:t>
      </w:r>
      <w:r>
        <w:rPr>
          <w:color w:val="231F20"/>
          <w:sz w:val="18"/>
        </w:rPr>
        <w:t>% respectively, but the unrounded rate had fallen slightly in manufacturing and risen slightly in services. Moreover, there had been a significant </w:t>
      </w:r>
      <w:r>
        <w:rPr>
          <w:color w:val="231F20"/>
          <w:spacing w:val="-3"/>
          <w:sz w:val="18"/>
        </w:rPr>
        <w:t>increase </w:t>
      </w:r>
      <w:r>
        <w:rPr>
          <w:color w:val="231F20"/>
          <w:sz w:val="18"/>
        </w:rPr>
        <w:t>in construction earnings.</w:t>
      </w:r>
    </w:p>
    <w:p>
      <w:pPr>
        <w:pStyle w:val="ListParagraph"/>
        <w:numPr>
          <w:ilvl w:val="0"/>
          <w:numId w:val="46"/>
        </w:numPr>
        <w:tabs>
          <w:tab w:pos="624" w:val="left" w:leader="none"/>
          <w:tab w:pos="625" w:val="left" w:leader="none"/>
        </w:tabs>
        <w:spacing w:line="232" w:lineRule="auto" w:before="176" w:after="0"/>
        <w:ind w:left="144" w:right="43" w:firstLine="0"/>
        <w:jc w:val="left"/>
        <w:rPr>
          <w:sz w:val="18"/>
        </w:rPr>
      </w:pPr>
      <w:r>
        <w:rPr>
          <w:color w:val="231F20"/>
          <w:sz w:val="18"/>
        </w:rPr>
        <w:t>The underlying average earnings growth figure for July had been affected by large bonus payments in the transport and communication sector, where earnings growth rose from 4% in June to 9% in July.  After adjustment to smooth out bonus payments using the technique described in the August </w:t>
      </w:r>
      <w:r>
        <w:rPr>
          <w:i/>
          <w:color w:val="231F20"/>
          <w:sz w:val="18"/>
        </w:rPr>
        <w:t>Report</w:t>
      </w:r>
      <w:r>
        <w:rPr>
          <w:color w:val="231F20"/>
          <w:sz w:val="18"/>
        </w:rPr>
        <w:t>, average earnings growth appeared either unchanged or even </w:t>
      </w:r>
      <w:r>
        <w:rPr>
          <w:color w:val="231F20"/>
          <w:spacing w:val="-3"/>
          <w:sz w:val="18"/>
        </w:rPr>
        <w:t>slightly </w:t>
      </w:r>
      <w:r>
        <w:rPr>
          <w:color w:val="231F20"/>
          <w:sz w:val="18"/>
        </w:rPr>
        <w:t>lower in July than in June.</w:t>
      </w:r>
    </w:p>
    <w:p>
      <w:pPr>
        <w:pStyle w:val="ListParagraph"/>
        <w:numPr>
          <w:ilvl w:val="0"/>
          <w:numId w:val="46"/>
        </w:numPr>
        <w:tabs>
          <w:tab w:pos="624" w:val="left" w:leader="none"/>
          <w:tab w:pos="625" w:val="left" w:leader="none"/>
        </w:tabs>
        <w:spacing w:line="232" w:lineRule="auto" w:before="174" w:after="0"/>
        <w:ind w:left="144" w:right="53" w:firstLine="0"/>
        <w:jc w:val="left"/>
        <w:rPr>
          <w:sz w:val="18"/>
        </w:rPr>
      </w:pPr>
      <w:r>
        <w:rPr>
          <w:color w:val="231F20"/>
          <w:sz w:val="18"/>
        </w:rPr>
        <w:t>The twelve-month employment-weighted mean of pay settlements rose from 3.1% in July to 3.3% in August. The private sector component rose from 3.4% to 3.7%, while the public sector component was unchanged at 2.8%. The major influence was the construction workers’ settlement, covering 600,000 people. It provides for a pay increase of 5.5% this year; craft-workers receive a further 13.9% next year and 10% in 1999; labourers receive </w:t>
      </w:r>
      <w:r>
        <w:rPr>
          <w:color w:val="231F20"/>
          <w:spacing w:val="-5"/>
          <w:sz w:val="18"/>
        </w:rPr>
        <w:t>5.7% </w:t>
      </w:r>
      <w:r>
        <w:rPr>
          <w:color w:val="231F20"/>
          <w:sz w:val="18"/>
        </w:rPr>
        <w:t>next year and 7.6% in 1999.</w:t>
      </w:r>
    </w:p>
    <w:p>
      <w:pPr>
        <w:pStyle w:val="ListParagraph"/>
        <w:numPr>
          <w:ilvl w:val="0"/>
          <w:numId w:val="46"/>
        </w:numPr>
        <w:tabs>
          <w:tab w:pos="624" w:val="left" w:leader="none"/>
          <w:tab w:pos="625" w:val="left" w:leader="none"/>
        </w:tabs>
        <w:spacing w:line="232" w:lineRule="auto" w:before="174" w:after="0"/>
        <w:ind w:left="144" w:right="97" w:firstLine="0"/>
        <w:jc w:val="left"/>
        <w:rPr>
          <w:sz w:val="18"/>
        </w:rPr>
      </w:pPr>
      <w:r>
        <w:rPr>
          <w:color w:val="231F20"/>
          <w:sz w:val="18"/>
        </w:rPr>
        <w:t>Reports from the Bank’s Agencies and business surveys indicate growing skill shortages, particularly of IT staff but also of engineering and construction workers, lawyers and accountants. A recent survey by Reed personnel suggested that 76% of firms were experiencing shortages of skilled applicants for jobs—8% up from six months earlier. Perhaps surprisingly, the shortages were most acute in manufacturing. The CBI reported that 13% of manufacturers were citing a shortage of skilled labour as a constraint on future output, compared with 10% at the beginning </w:t>
      </w:r>
      <w:r>
        <w:rPr>
          <w:color w:val="231F20"/>
          <w:spacing w:val="-9"/>
          <w:sz w:val="18"/>
        </w:rPr>
        <w:t>of </w:t>
      </w:r>
      <w:r>
        <w:rPr>
          <w:color w:val="231F20"/>
          <w:sz w:val="18"/>
        </w:rPr>
        <w:t>this year. The BCC reported that 60%–70% of firms in both manufacturing and services were experiencing recruitment difficulties. The BEC reported a rise in the number of construction firms reporting difficulties in recruiting specialised skills. And though the data are suspect, the stock of unskilled vacancies at Jobcentres has continued to increase.</w:t>
      </w:r>
    </w:p>
    <w:p>
      <w:pPr>
        <w:pStyle w:val="BodyText"/>
        <w:spacing w:before="4"/>
        <w:rPr>
          <w:sz w:val="16"/>
        </w:rPr>
      </w:pPr>
    </w:p>
    <w:p>
      <w:pPr>
        <w:pStyle w:val="ListParagraph"/>
        <w:numPr>
          <w:ilvl w:val="0"/>
          <w:numId w:val="46"/>
        </w:numPr>
        <w:tabs>
          <w:tab w:pos="624" w:val="left" w:leader="none"/>
          <w:tab w:pos="625" w:val="left" w:leader="none"/>
        </w:tabs>
        <w:spacing w:line="232" w:lineRule="auto" w:before="0" w:after="0"/>
        <w:ind w:left="144" w:right="38" w:firstLine="0"/>
        <w:jc w:val="left"/>
        <w:rPr>
          <w:sz w:val="18"/>
        </w:rPr>
      </w:pPr>
      <w:r>
        <w:rPr>
          <w:color w:val="231F20"/>
          <w:sz w:val="18"/>
        </w:rPr>
        <w:t>The CBI indicator (the percentage of manufacturing firms citing shortage of skilled labour as a constraint on future output) </w:t>
      </w:r>
      <w:r>
        <w:rPr>
          <w:color w:val="231F20"/>
          <w:spacing w:val="-6"/>
          <w:sz w:val="18"/>
        </w:rPr>
        <w:t>has </w:t>
      </w:r>
      <w:r>
        <w:rPr>
          <w:color w:val="231F20"/>
          <w:sz w:val="18"/>
        </w:rPr>
        <w:t>risen since 1992, but at 13% remains well below its late-1980s peak of more than 25%. If skills were portable across industrial sectors, this could indicate that skill shortages across the whole economy remained much less serious than in the late 1980s. But other indicators suggested a different conclusion—the BCC indicators of recruitment difficulties were back to their late-1980s levels, and the ratio of vacancies reported to Jobcentres (corrected as far as possible to remove known errors) to short-term unemployment was if anything higher than in the late 1980s.</w:t>
      </w:r>
    </w:p>
    <w:p>
      <w:pPr>
        <w:pStyle w:val="BodyText"/>
        <w:rPr>
          <w:sz w:val="20"/>
        </w:rPr>
      </w:pPr>
    </w:p>
    <w:p>
      <w:pPr>
        <w:pStyle w:val="Heading7"/>
        <w:numPr>
          <w:ilvl w:val="0"/>
          <w:numId w:val="47"/>
        </w:numPr>
        <w:tabs>
          <w:tab w:pos="624" w:val="left" w:leader="none"/>
          <w:tab w:pos="625" w:val="left" w:leader="none"/>
        </w:tabs>
        <w:spacing w:line="240" w:lineRule="auto" w:before="0" w:after="0"/>
        <w:ind w:left="624" w:right="0" w:hanging="481"/>
        <w:jc w:val="left"/>
      </w:pPr>
      <w:r>
        <w:rPr>
          <w:color w:val="009483"/>
        </w:rPr>
        <w:t>Prices</w:t>
      </w:r>
    </w:p>
    <w:p>
      <w:pPr>
        <w:pStyle w:val="ListParagraph"/>
        <w:numPr>
          <w:ilvl w:val="0"/>
          <w:numId w:val="46"/>
        </w:numPr>
        <w:tabs>
          <w:tab w:pos="624" w:val="left" w:leader="none"/>
          <w:tab w:pos="625" w:val="left" w:leader="none"/>
        </w:tabs>
        <w:spacing w:line="232" w:lineRule="auto" w:before="169" w:after="0"/>
        <w:ind w:left="144" w:right="83" w:firstLine="0"/>
        <w:jc w:val="left"/>
        <w:rPr>
          <w:sz w:val="18"/>
        </w:rPr>
      </w:pPr>
      <w:r>
        <w:rPr>
          <w:color w:val="231F20"/>
          <w:sz w:val="18"/>
        </w:rPr>
        <w:t>The Bank’s commodity price index (weighted by UK usage) rose by 1.7% (provisional) in August, to a level 6.0% lower than in August 1996. The index excluding oil rose by 0.5% in August, mainly reflecting higher prices of zinc and rubber. The price of </w:t>
      </w:r>
      <w:r>
        <w:rPr>
          <w:color w:val="231F20"/>
          <w:spacing w:val="-5"/>
          <w:sz w:val="18"/>
        </w:rPr>
        <w:t>oil, </w:t>
      </w:r>
      <w:r>
        <w:rPr>
          <w:color w:val="231F20"/>
          <w:sz w:val="18"/>
        </w:rPr>
        <w:t>which had risen in August, fell back modestly in September.</w:t>
      </w:r>
    </w:p>
    <w:p>
      <w:pPr>
        <w:pStyle w:val="ListParagraph"/>
        <w:numPr>
          <w:ilvl w:val="0"/>
          <w:numId w:val="46"/>
        </w:numPr>
        <w:tabs>
          <w:tab w:pos="624" w:val="left" w:leader="none"/>
          <w:tab w:pos="625" w:val="left" w:leader="none"/>
        </w:tabs>
        <w:spacing w:line="232" w:lineRule="auto" w:before="176" w:after="0"/>
        <w:ind w:left="144" w:right="67" w:firstLine="0"/>
        <w:jc w:val="left"/>
        <w:rPr>
          <w:sz w:val="18"/>
        </w:rPr>
      </w:pPr>
      <w:r>
        <w:rPr>
          <w:color w:val="231F20"/>
          <w:sz w:val="18"/>
        </w:rPr>
        <w:t>Producer input prices rose by 0.6% in August to a level </w:t>
      </w:r>
      <w:r>
        <w:rPr>
          <w:color w:val="231F20"/>
          <w:spacing w:val="-5"/>
          <w:sz w:val="18"/>
        </w:rPr>
        <w:t>7.9% </w:t>
      </w:r>
      <w:r>
        <w:rPr>
          <w:color w:val="231F20"/>
          <w:sz w:val="18"/>
        </w:rPr>
        <w:t>lower than in August 1996. The C</w:t>
      </w:r>
      <w:r>
        <w:rPr>
          <w:color w:val="231F20"/>
          <w:sz w:val="14"/>
        </w:rPr>
        <w:t>IPS </w:t>
      </w:r>
      <w:r>
        <w:rPr>
          <w:color w:val="231F20"/>
          <w:sz w:val="18"/>
        </w:rPr>
        <w:t>survey suggested that input prices were continuing to fall sharply. Producer output prices had risen very slightly since April. The Bank’s Agencies reported that manufacturers might try to secure price increases next January, but such attempts had generally not succeeded in recent years.</w:t>
      </w:r>
    </w:p>
    <w:p>
      <w:pPr>
        <w:pStyle w:val="ListParagraph"/>
        <w:numPr>
          <w:ilvl w:val="0"/>
          <w:numId w:val="46"/>
        </w:numPr>
        <w:tabs>
          <w:tab w:pos="624" w:val="left" w:leader="none"/>
          <w:tab w:pos="625" w:val="left" w:leader="none"/>
        </w:tabs>
        <w:spacing w:line="232" w:lineRule="auto" w:before="156" w:after="0"/>
        <w:ind w:left="144" w:right="62" w:firstLine="0"/>
        <w:jc w:val="left"/>
        <w:rPr>
          <w:sz w:val="18"/>
        </w:rPr>
      </w:pPr>
      <w:r>
        <w:rPr>
          <w:color w:val="231F20"/>
          <w:sz w:val="18"/>
        </w:rPr>
        <w:t>Consistent with the Agencies’ survey reported in paragraph 22 above, ONS data continued to show that import prices had</w:t>
      </w:r>
      <w:r>
        <w:rPr>
          <w:color w:val="231F20"/>
          <w:spacing w:val="1"/>
          <w:sz w:val="18"/>
        </w:rPr>
        <w:t> </w:t>
      </w:r>
      <w:r>
        <w:rPr>
          <w:color w:val="231F20"/>
          <w:spacing w:val="-3"/>
          <w:sz w:val="18"/>
        </w:rPr>
        <w:t>fallen</w:t>
      </w:r>
    </w:p>
    <w:p>
      <w:pPr>
        <w:pStyle w:val="BodyText"/>
        <w:spacing w:line="232" w:lineRule="auto" w:before="97"/>
        <w:ind w:left="144" w:right="176"/>
      </w:pPr>
      <w:r>
        <w:rPr/>
        <w:br w:type="column"/>
      </w:r>
      <w:r>
        <w:rPr>
          <w:color w:val="231F20"/>
        </w:rPr>
        <w:t>by much less than the exchange rate had appreciated: in July they were down by 6.9% compared with a year earlier; the corresponding fall for export prices was 5.9%. Prices of exports of services were little changed in the year to Q2, while imports of services had fallen a little more in price than imports of goods.</w:t>
      </w:r>
    </w:p>
    <w:p>
      <w:pPr>
        <w:pStyle w:val="BodyText"/>
        <w:spacing w:before="1"/>
        <w:rPr>
          <w:sz w:val="17"/>
        </w:rPr>
      </w:pPr>
    </w:p>
    <w:p>
      <w:pPr>
        <w:pStyle w:val="ListParagraph"/>
        <w:numPr>
          <w:ilvl w:val="0"/>
          <w:numId w:val="46"/>
        </w:numPr>
        <w:tabs>
          <w:tab w:pos="624" w:val="left" w:leader="none"/>
          <w:tab w:pos="625" w:val="left" w:leader="none"/>
        </w:tabs>
        <w:spacing w:line="232" w:lineRule="auto" w:before="0" w:after="0"/>
        <w:ind w:left="144" w:right="510" w:firstLine="0"/>
        <w:jc w:val="left"/>
        <w:rPr>
          <w:sz w:val="18"/>
        </w:rPr>
      </w:pPr>
      <w:r>
        <w:rPr>
          <w:color w:val="231F20"/>
          <w:sz w:val="18"/>
        </w:rPr>
        <w:t>RPIX inflation fell from 2.8% in August to 2.7% in September. The fall, which could be entirely accounted for </w:t>
      </w:r>
      <w:r>
        <w:rPr>
          <w:color w:val="231F20"/>
          <w:spacing w:val="-9"/>
          <w:sz w:val="18"/>
        </w:rPr>
        <w:t>by </w:t>
      </w:r>
      <w:r>
        <w:rPr>
          <w:color w:val="231F20"/>
          <w:sz w:val="18"/>
        </w:rPr>
        <w:t>the reduction in VAT on fuel, was smaller than might have been expected, reflecting wider domestic profit margins. For</w:t>
      </w:r>
    </w:p>
    <w:p>
      <w:pPr>
        <w:pStyle w:val="BodyText"/>
        <w:spacing w:line="232" w:lineRule="auto"/>
        <w:ind w:left="144" w:right="217"/>
      </w:pPr>
      <w:r>
        <w:rPr>
          <w:color w:val="231F20"/>
        </w:rPr>
        <w:t>example, margins on petrol had been widened after the Budget tax increase, and there had been less pass-through from lower import prices to clothing, footwear and durables than might have been expected.</w:t>
      </w:r>
    </w:p>
    <w:p>
      <w:pPr>
        <w:pStyle w:val="BodyText"/>
        <w:spacing w:before="9"/>
        <w:rPr>
          <w:sz w:val="16"/>
        </w:rPr>
      </w:pPr>
    </w:p>
    <w:p>
      <w:pPr>
        <w:pStyle w:val="ListParagraph"/>
        <w:numPr>
          <w:ilvl w:val="0"/>
          <w:numId w:val="46"/>
        </w:numPr>
        <w:tabs>
          <w:tab w:pos="624" w:val="left" w:leader="none"/>
          <w:tab w:pos="625" w:val="left" w:leader="none"/>
        </w:tabs>
        <w:spacing w:line="232" w:lineRule="auto" w:before="1" w:after="0"/>
        <w:ind w:left="144" w:right="119" w:firstLine="0"/>
        <w:jc w:val="left"/>
        <w:rPr>
          <w:sz w:val="18"/>
        </w:rPr>
      </w:pPr>
      <w:r>
        <w:rPr>
          <w:color w:val="231F20"/>
          <w:sz w:val="18"/>
        </w:rPr>
        <w:t>Consumer price inflation in Germany rose to 2.1% in August, an increase of more than 0.5% in four months, though </w:t>
      </w:r>
      <w:r>
        <w:rPr>
          <w:color w:val="231F20"/>
          <w:spacing w:val="-4"/>
          <w:sz w:val="18"/>
        </w:rPr>
        <w:t>there </w:t>
      </w:r>
      <w:r>
        <w:rPr>
          <w:color w:val="231F20"/>
          <w:sz w:val="18"/>
        </w:rPr>
        <w:t>were signs of a possible fall in inflation in September. Most of the recent increase appeared to reflect external or temporary factors— higher import prices (including oil) and administered prices (in some cases a consequence of fiscal consolidation). Measures of domestically generated inflation were lower—for example, the increase in the GDP deflator in the year to Q2 was 0.8%—and with wage settlements remaining low and broad money growth having fallen back to within the target range, the scope for second-round inflationary effects from higher import and administered prices seemed limited.</w:t>
      </w:r>
    </w:p>
    <w:p>
      <w:pPr>
        <w:pStyle w:val="BodyText"/>
        <w:spacing w:before="6"/>
        <w:rPr>
          <w:sz w:val="16"/>
        </w:rPr>
      </w:pPr>
    </w:p>
    <w:p>
      <w:pPr>
        <w:pStyle w:val="ListParagraph"/>
        <w:numPr>
          <w:ilvl w:val="0"/>
          <w:numId w:val="46"/>
        </w:numPr>
        <w:tabs>
          <w:tab w:pos="624" w:val="left" w:leader="none"/>
          <w:tab w:pos="625" w:val="left" w:leader="none"/>
        </w:tabs>
        <w:spacing w:line="232" w:lineRule="auto" w:before="0" w:after="0"/>
        <w:ind w:left="144" w:right="455" w:firstLine="0"/>
        <w:jc w:val="left"/>
        <w:rPr>
          <w:sz w:val="18"/>
        </w:rPr>
      </w:pPr>
      <w:r>
        <w:rPr>
          <w:color w:val="231F20"/>
          <w:sz w:val="18"/>
        </w:rPr>
        <w:t>The IMF forecast of an acceleration of world output growth—and of a convergence of growth rates—suggested </w:t>
      </w:r>
      <w:r>
        <w:rPr>
          <w:color w:val="231F20"/>
          <w:spacing w:val="-5"/>
          <w:sz w:val="18"/>
        </w:rPr>
        <w:t>that </w:t>
      </w:r>
      <w:r>
        <w:rPr>
          <w:color w:val="231F20"/>
          <w:sz w:val="18"/>
        </w:rPr>
        <w:t>there might be a risk of a rise in commodity prices. And the</w:t>
      </w:r>
    </w:p>
    <w:p>
      <w:pPr>
        <w:pStyle w:val="BodyText"/>
        <w:spacing w:line="232" w:lineRule="auto"/>
        <w:ind w:left="144" w:right="172"/>
      </w:pPr>
      <w:r>
        <w:rPr>
          <w:color w:val="231F20"/>
        </w:rPr>
        <w:t>El Niño weather system might put upward pressure on food prices. The IMF themselves expected prices to remain weak on account of good supply conditions, but commodity prices were inherently volatile and any changes could be sharp, though the effect on retail prices would be heavily damped.</w:t>
      </w:r>
    </w:p>
    <w:p>
      <w:pPr>
        <w:pStyle w:val="BodyText"/>
        <w:spacing w:before="8"/>
        <w:rPr>
          <w:sz w:val="23"/>
        </w:rPr>
      </w:pPr>
    </w:p>
    <w:p>
      <w:pPr>
        <w:pStyle w:val="Heading7"/>
        <w:numPr>
          <w:ilvl w:val="0"/>
          <w:numId w:val="47"/>
        </w:numPr>
        <w:tabs>
          <w:tab w:pos="624" w:val="left" w:leader="none"/>
          <w:tab w:pos="625" w:val="left" w:leader="none"/>
        </w:tabs>
        <w:spacing w:line="240" w:lineRule="auto" w:before="0" w:after="0"/>
        <w:ind w:left="624" w:right="0" w:hanging="481"/>
        <w:jc w:val="left"/>
      </w:pPr>
      <w:r>
        <w:rPr>
          <w:color w:val="009483"/>
        </w:rPr>
        <w:t>Financial</w:t>
      </w:r>
      <w:r>
        <w:rPr>
          <w:color w:val="009483"/>
          <w:spacing w:val="-1"/>
        </w:rPr>
        <w:t> </w:t>
      </w:r>
      <w:r>
        <w:rPr>
          <w:color w:val="009483"/>
        </w:rPr>
        <w:t>markets</w:t>
      </w:r>
    </w:p>
    <w:p>
      <w:pPr>
        <w:pStyle w:val="ListParagraph"/>
        <w:numPr>
          <w:ilvl w:val="0"/>
          <w:numId w:val="46"/>
        </w:numPr>
        <w:tabs>
          <w:tab w:pos="624" w:val="left" w:leader="none"/>
          <w:tab w:pos="625" w:val="left" w:leader="none"/>
        </w:tabs>
        <w:spacing w:line="232" w:lineRule="auto" w:before="189" w:after="0"/>
        <w:ind w:left="144" w:right="179" w:firstLine="0"/>
        <w:jc w:val="left"/>
        <w:rPr>
          <w:sz w:val="18"/>
        </w:rPr>
      </w:pPr>
      <w:r>
        <w:rPr>
          <w:color w:val="231F20"/>
          <w:sz w:val="18"/>
        </w:rPr>
        <w:t>The sterling ERI stood at 100.4 (1990 average = 100) at the close of business on 8 October, 0.5% higher than on 10 September, on the eve of the final part of the September meeting. Since its peak on 23 July, sterling had fallen by 5.8% on the ERI, and by 7.4% and 3.5% against the Deutsche Mark and the dollar respectively.</w:t>
      </w:r>
    </w:p>
    <w:p>
      <w:pPr>
        <w:pStyle w:val="BodyText"/>
        <w:spacing w:before="8"/>
      </w:pPr>
    </w:p>
    <w:p>
      <w:pPr>
        <w:pStyle w:val="ListParagraph"/>
        <w:numPr>
          <w:ilvl w:val="0"/>
          <w:numId w:val="46"/>
        </w:numPr>
        <w:tabs>
          <w:tab w:pos="624" w:val="left" w:leader="none"/>
          <w:tab w:pos="625" w:val="left" w:leader="none"/>
        </w:tabs>
        <w:spacing w:line="232" w:lineRule="auto" w:before="0" w:after="0"/>
        <w:ind w:left="144" w:right="354" w:firstLine="0"/>
        <w:jc w:val="left"/>
        <w:rPr>
          <w:sz w:val="18"/>
        </w:rPr>
      </w:pPr>
      <w:r>
        <w:rPr>
          <w:color w:val="231F20"/>
          <w:sz w:val="18"/>
        </w:rPr>
        <w:t>During the course of the month, sterling had strengthened after the release of strong retail sales and labour market data on 17 September, but it had fallen sharply on 26 September, when </w:t>
      </w:r>
      <w:r>
        <w:rPr>
          <w:color w:val="231F20"/>
          <w:spacing w:val="-17"/>
          <w:sz w:val="18"/>
        </w:rPr>
        <w:t>a </w:t>
      </w:r>
      <w:r>
        <w:rPr>
          <w:i/>
          <w:color w:val="231F20"/>
          <w:sz w:val="18"/>
        </w:rPr>
        <w:t>Financial Times </w:t>
      </w:r>
      <w:r>
        <w:rPr>
          <w:color w:val="231F20"/>
          <w:sz w:val="18"/>
        </w:rPr>
        <w:t>article suggested that the Government was planning to join European Monetary Union. Although the spot</w:t>
      </w:r>
    </w:p>
    <w:p>
      <w:pPr>
        <w:pStyle w:val="BodyText"/>
        <w:spacing w:line="232" w:lineRule="auto"/>
        <w:ind w:left="144" w:right="217"/>
      </w:pPr>
      <w:r>
        <w:rPr>
          <w:color w:val="231F20"/>
        </w:rPr>
        <w:t>£/DM rate had fallen after this article had appeared, the five-year forward rate had risen slightly, reflecting the fall in the UK yield curve. Chart analysis suggested no near-term trend in sterling, but it was vulnerable to further EMU-related developments.</w:t>
      </w:r>
    </w:p>
    <w:p>
      <w:pPr>
        <w:pStyle w:val="BodyText"/>
        <w:spacing w:before="9"/>
        <w:rPr>
          <w:sz w:val="16"/>
        </w:rPr>
      </w:pPr>
    </w:p>
    <w:p>
      <w:pPr>
        <w:pStyle w:val="ListParagraph"/>
        <w:numPr>
          <w:ilvl w:val="0"/>
          <w:numId w:val="46"/>
        </w:numPr>
        <w:tabs>
          <w:tab w:pos="624" w:val="left" w:leader="none"/>
          <w:tab w:pos="625" w:val="left" w:leader="none"/>
        </w:tabs>
        <w:spacing w:line="232" w:lineRule="auto" w:before="0" w:after="0"/>
        <w:ind w:left="144" w:right="159" w:firstLine="0"/>
        <w:jc w:val="left"/>
        <w:rPr>
          <w:sz w:val="18"/>
        </w:rPr>
      </w:pPr>
      <w:r>
        <w:rPr>
          <w:color w:val="231F20"/>
          <w:sz w:val="18"/>
        </w:rPr>
        <w:t>The implied one and twelve-month volatility in £/DM options prices had fallen sharply in the month since the previous MPC meeting, and the implied one and twelve-month correlations between £/$ and $/DM spot rates had increased. Part of the change took place in mid September, and part after the publication of the </w:t>
      </w:r>
      <w:r>
        <w:rPr>
          <w:i/>
          <w:color w:val="231F20"/>
          <w:sz w:val="18"/>
        </w:rPr>
        <w:t>Financial Times </w:t>
      </w:r>
      <w:r>
        <w:rPr>
          <w:color w:val="231F20"/>
          <w:sz w:val="18"/>
        </w:rPr>
        <w:t>article on 26 September. These changes were consistent with a higher probability being attached by the market </w:t>
      </w:r>
      <w:r>
        <w:rPr>
          <w:color w:val="231F20"/>
          <w:spacing w:val="-9"/>
          <w:sz w:val="18"/>
        </w:rPr>
        <w:t>to </w:t>
      </w:r>
      <w:r>
        <w:rPr>
          <w:color w:val="231F20"/>
          <w:sz w:val="18"/>
        </w:rPr>
        <w:t>the prospect of the United Kingdom joining EMU.</w:t>
      </w:r>
    </w:p>
    <w:p>
      <w:pPr>
        <w:pStyle w:val="BodyText"/>
        <w:spacing w:before="10"/>
        <w:rPr>
          <w:sz w:val="16"/>
        </w:rPr>
      </w:pPr>
    </w:p>
    <w:p>
      <w:pPr>
        <w:pStyle w:val="ListParagraph"/>
        <w:numPr>
          <w:ilvl w:val="0"/>
          <w:numId w:val="46"/>
        </w:numPr>
        <w:tabs>
          <w:tab w:pos="624" w:val="left" w:leader="none"/>
          <w:tab w:pos="625" w:val="left" w:leader="none"/>
        </w:tabs>
        <w:spacing w:line="232" w:lineRule="auto" w:before="0" w:after="0"/>
        <w:ind w:left="144" w:right="156" w:firstLine="0"/>
        <w:jc w:val="left"/>
        <w:rPr>
          <w:sz w:val="18"/>
        </w:rPr>
      </w:pPr>
      <w:r>
        <w:rPr>
          <w:color w:val="231F20"/>
          <w:sz w:val="18"/>
        </w:rPr>
        <w:t>In the domestic money markets, with the Bank’s repo rate at 7%, on 8 October three-month Libor had been 7.28%, compared with 7.22% on 10 September; the three-month Libor for </w:t>
      </w:r>
      <w:r>
        <w:rPr>
          <w:color w:val="231F20"/>
          <w:spacing w:val="-3"/>
          <w:sz w:val="18"/>
        </w:rPr>
        <w:t>December </w:t>
      </w:r>
      <w:r>
        <w:rPr>
          <w:color w:val="231F20"/>
          <w:sz w:val="18"/>
        </w:rPr>
        <w:t>1997, March 1998 and March 1999 implied by futures prices were 7.46%, 7.50% and 7.07% respectively, compared with 7.37%, 7.38% and 7.15% on 10 September. Implied volatility in option</w:t>
      </w:r>
    </w:p>
    <w:p>
      <w:pPr>
        <w:spacing w:after="0" w:line="232" w:lineRule="auto"/>
        <w:jc w:val="left"/>
        <w:rPr>
          <w:sz w:val="18"/>
        </w:rPr>
        <w:sectPr>
          <w:type w:val="continuous"/>
          <w:pgSz w:w="11900" w:h="16840"/>
          <w:pgMar w:top="1040" w:bottom="280" w:left="660" w:right="680"/>
          <w:cols w:num="2" w:equalWidth="0">
            <w:col w:w="5099" w:space="296"/>
            <w:col w:w="5165"/>
          </w:cols>
        </w:sectPr>
      </w:pPr>
    </w:p>
    <w:p>
      <w:pPr>
        <w:pStyle w:val="BodyText"/>
        <w:spacing w:before="2"/>
        <w:rPr>
          <w:sz w:val="28"/>
        </w:rPr>
      </w:pPr>
    </w:p>
    <w:p>
      <w:pPr>
        <w:spacing w:after="0"/>
        <w:rPr>
          <w:sz w:val="28"/>
        </w:rPr>
        <w:sectPr>
          <w:pgSz w:w="11900" w:h="16840"/>
          <w:pgMar w:header="566" w:footer="597" w:top="800" w:bottom="780" w:left="660" w:right="680"/>
        </w:sectPr>
      </w:pPr>
    </w:p>
    <w:p>
      <w:pPr>
        <w:pStyle w:val="BodyText"/>
        <w:spacing w:line="232" w:lineRule="auto" w:before="99"/>
        <w:ind w:left="130" w:right="390"/>
      </w:pPr>
      <w:r>
        <w:rPr>
          <w:color w:val="231F20"/>
        </w:rPr>
        <w:t>contracts on three-month sterling interest rates in the next nine months had not changed much during the last month.</w:t>
      </w:r>
    </w:p>
    <w:p>
      <w:pPr>
        <w:pStyle w:val="BodyText"/>
        <w:spacing w:before="2"/>
        <w:rPr>
          <w:sz w:val="17"/>
        </w:rPr>
      </w:pPr>
    </w:p>
    <w:p>
      <w:pPr>
        <w:pStyle w:val="ListParagraph"/>
        <w:numPr>
          <w:ilvl w:val="0"/>
          <w:numId w:val="46"/>
        </w:numPr>
        <w:tabs>
          <w:tab w:pos="609" w:val="left" w:leader="none"/>
          <w:tab w:pos="611" w:val="left" w:leader="none"/>
        </w:tabs>
        <w:spacing w:line="232" w:lineRule="auto" w:before="0" w:after="0"/>
        <w:ind w:left="129" w:right="46" w:firstLine="0"/>
        <w:jc w:val="left"/>
        <w:rPr>
          <w:sz w:val="18"/>
        </w:rPr>
      </w:pPr>
      <w:r>
        <w:rPr>
          <w:color w:val="231F20"/>
          <w:sz w:val="18"/>
        </w:rPr>
        <w:t>A number of factors had influenced the market in a turbulent month: some UK data (notably on the labour market and retail sales) had been stronger than expected, but US data (the CPI, the N</w:t>
      </w:r>
      <w:r>
        <w:rPr>
          <w:color w:val="231F20"/>
          <w:sz w:val="14"/>
        </w:rPr>
        <w:t>APM </w:t>
      </w:r>
      <w:r>
        <w:rPr>
          <w:color w:val="231F20"/>
          <w:sz w:val="18"/>
        </w:rPr>
        <w:t>survey and the labour market figures) had been generally reassuring about inflation; the PSBR figures and market </w:t>
      </w:r>
      <w:r>
        <w:rPr>
          <w:color w:val="231F20"/>
          <w:spacing w:val="-3"/>
          <w:sz w:val="18"/>
        </w:rPr>
        <w:t>comments </w:t>
      </w:r>
      <w:r>
        <w:rPr>
          <w:color w:val="231F20"/>
          <w:sz w:val="18"/>
        </w:rPr>
        <w:t>on them had led to expectations of a reduced supply of gilts; and the perceived probability of UK entry into EMU had increased.</w:t>
      </w:r>
    </w:p>
    <w:p>
      <w:pPr>
        <w:pStyle w:val="BodyText"/>
        <w:spacing w:before="11"/>
        <w:rPr>
          <w:sz w:val="16"/>
        </w:rPr>
      </w:pPr>
    </w:p>
    <w:p>
      <w:pPr>
        <w:pStyle w:val="ListParagraph"/>
        <w:numPr>
          <w:ilvl w:val="0"/>
          <w:numId w:val="46"/>
        </w:numPr>
        <w:tabs>
          <w:tab w:pos="609" w:val="left" w:leader="none"/>
          <w:tab w:pos="610" w:val="left" w:leader="none"/>
        </w:tabs>
        <w:spacing w:line="232" w:lineRule="auto" w:before="0" w:after="0"/>
        <w:ind w:left="129" w:right="38" w:firstLine="0"/>
        <w:jc w:val="left"/>
        <w:rPr>
          <w:sz w:val="18"/>
        </w:rPr>
      </w:pPr>
      <w:r>
        <w:rPr>
          <w:color w:val="231F20"/>
          <w:sz w:val="18"/>
        </w:rPr>
        <w:t>Market rates suggested that during the last month, there had been a slight increase in interest rate expectations for early 1998, but a large fall in expectations for 1999 and 2000. Three-month rates were now expected to peak early in 1998 at about 7</w:t>
      </w:r>
      <w:r>
        <w:rPr>
          <w:color w:val="231F20"/>
          <w:position w:val="6"/>
          <w:sz w:val="9"/>
        </w:rPr>
        <w:t>1</w:t>
      </w:r>
      <w:r>
        <w:rPr>
          <w:color w:val="231F20"/>
          <w:sz w:val="18"/>
        </w:rPr>
        <w:t>/</w:t>
      </w:r>
      <w:r>
        <w:rPr>
          <w:color w:val="231F20"/>
          <w:sz w:val="9"/>
        </w:rPr>
        <w:t>2</w:t>
      </w:r>
      <w:r>
        <w:rPr>
          <w:color w:val="231F20"/>
          <w:sz w:val="18"/>
        </w:rPr>
        <w:t>% and </w:t>
      </w:r>
      <w:r>
        <w:rPr>
          <w:color w:val="231F20"/>
          <w:spacing w:val="-9"/>
          <w:sz w:val="18"/>
        </w:rPr>
        <w:t>to </w:t>
      </w:r>
      <w:r>
        <w:rPr>
          <w:color w:val="231F20"/>
          <w:sz w:val="18"/>
        </w:rPr>
        <w:t>fall by more than 1% in the following two years.</w:t>
      </w:r>
    </w:p>
    <w:p>
      <w:pPr>
        <w:pStyle w:val="BodyText"/>
        <w:rPr>
          <w:sz w:val="17"/>
        </w:rPr>
      </w:pPr>
    </w:p>
    <w:p>
      <w:pPr>
        <w:pStyle w:val="ListParagraph"/>
        <w:numPr>
          <w:ilvl w:val="0"/>
          <w:numId w:val="46"/>
        </w:numPr>
        <w:tabs>
          <w:tab w:pos="609" w:val="left" w:leader="none"/>
          <w:tab w:pos="611" w:val="left" w:leader="none"/>
        </w:tabs>
        <w:spacing w:line="232" w:lineRule="auto" w:before="1" w:after="0"/>
        <w:ind w:left="129" w:right="116" w:firstLine="0"/>
        <w:jc w:val="left"/>
        <w:rPr>
          <w:sz w:val="18"/>
        </w:rPr>
      </w:pPr>
      <w:r>
        <w:rPr>
          <w:color w:val="231F20"/>
          <w:sz w:val="18"/>
        </w:rPr>
        <w:t>On 16 September, the release of the smaller-than-expected PSBR for August and the unexpectedly low US CPI figure had </w:t>
      </w:r>
      <w:r>
        <w:rPr>
          <w:color w:val="231F20"/>
          <w:spacing w:val="-6"/>
          <w:sz w:val="18"/>
        </w:rPr>
        <w:t>led </w:t>
      </w:r>
      <w:r>
        <w:rPr>
          <w:color w:val="231F20"/>
          <w:sz w:val="18"/>
        </w:rPr>
        <w:t>to falls of 10–15 basis points in futures rates, with larger falls in longer-dated futures. On 17 September, the strong UK labour market and retail sales data caused futures rates to rise modestly.</w:t>
      </w:r>
    </w:p>
    <w:p>
      <w:pPr>
        <w:pStyle w:val="BodyText"/>
        <w:rPr>
          <w:sz w:val="17"/>
        </w:rPr>
      </w:pPr>
    </w:p>
    <w:p>
      <w:pPr>
        <w:pStyle w:val="ListParagraph"/>
        <w:numPr>
          <w:ilvl w:val="0"/>
          <w:numId w:val="46"/>
        </w:numPr>
        <w:tabs>
          <w:tab w:pos="609" w:val="left" w:leader="none"/>
          <w:tab w:pos="611" w:val="left" w:leader="none"/>
        </w:tabs>
        <w:spacing w:line="232" w:lineRule="auto" w:before="0" w:after="0"/>
        <w:ind w:left="129" w:right="72" w:firstLine="0"/>
        <w:jc w:val="left"/>
        <w:rPr>
          <w:sz w:val="18"/>
        </w:rPr>
      </w:pPr>
      <w:r>
        <w:rPr>
          <w:color w:val="231F20"/>
          <w:sz w:val="18"/>
        </w:rPr>
        <w:t>The </w:t>
      </w:r>
      <w:r>
        <w:rPr>
          <w:i/>
          <w:color w:val="231F20"/>
          <w:sz w:val="18"/>
        </w:rPr>
        <w:t>Financial Times </w:t>
      </w:r>
      <w:r>
        <w:rPr>
          <w:color w:val="231F20"/>
          <w:sz w:val="18"/>
        </w:rPr>
        <w:t>article on 26 September led to heavy falls in futures rates for 1999 and 2000, though there was little change in the March 1998 rate. These developments were likely </w:t>
      </w:r>
      <w:r>
        <w:rPr>
          <w:color w:val="231F20"/>
          <w:spacing w:val="-9"/>
          <w:sz w:val="18"/>
        </w:rPr>
        <w:t>to </w:t>
      </w:r>
      <w:r>
        <w:rPr>
          <w:color w:val="231F20"/>
          <w:sz w:val="18"/>
        </w:rPr>
        <w:t>have reflected an increased probability attached to the prospect of UK and German interest rates converging.</w:t>
      </w:r>
    </w:p>
    <w:p>
      <w:pPr>
        <w:pStyle w:val="BodyText"/>
        <w:spacing w:before="1"/>
        <w:rPr>
          <w:sz w:val="17"/>
        </w:rPr>
      </w:pPr>
    </w:p>
    <w:p>
      <w:pPr>
        <w:pStyle w:val="ListParagraph"/>
        <w:numPr>
          <w:ilvl w:val="0"/>
          <w:numId w:val="46"/>
        </w:numPr>
        <w:tabs>
          <w:tab w:pos="611" w:val="left" w:leader="none"/>
        </w:tabs>
        <w:spacing w:line="232" w:lineRule="auto" w:before="0" w:after="0"/>
        <w:ind w:left="129" w:right="102" w:firstLine="0"/>
        <w:jc w:val="both"/>
        <w:rPr>
          <w:sz w:val="18"/>
        </w:rPr>
      </w:pPr>
      <w:r>
        <w:rPr>
          <w:color w:val="231F20"/>
          <w:sz w:val="18"/>
        </w:rPr>
        <w:t>The implied two-week repo rate for two weeks forward was very close to where it had been a month ago, and there was no real market expectation that the Bank’s repo rate would be increased </w:t>
      </w:r>
      <w:r>
        <w:rPr>
          <w:color w:val="231F20"/>
          <w:spacing w:val="-9"/>
          <w:sz w:val="18"/>
        </w:rPr>
        <w:t>in </w:t>
      </w:r>
      <w:r>
        <w:rPr>
          <w:color w:val="231F20"/>
          <w:sz w:val="18"/>
        </w:rPr>
        <w:t>October. This reflected the market reaction to the pause in</w:t>
      </w:r>
    </w:p>
    <w:p>
      <w:pPr>
        <w:pStyle w:val="BodyText"/>
        <w:spacing w:line="232" w:lineRule="auto" w:before="98"/>
        <w:ind w:left="129" w:right="102"/>
      </w:pPr>
      <w:r>
        <w:rPr/>
        <w:br w:type="column"/>
      </w:r>
      <w:r>
        <w:rPr>
          <w:color w:val="231F20"/>
        </w:rPr>
        <w:t>monetary policy mentioned in the August </w:t>
      </w:r>
      <w:r>
        <w:rPr>
          <w:i/>
          <w:color w:val="231F20"/>
        </w:rPr>
        <w:t>Report</w:t>
      </w:r>
      <w:r>
        <w:rPr>
          <w:color w:val="231F20"/>
        </w:rPr>
        <w:t>, and the belief that US and German interest rates were ‘on hold’. Rates implied for November were about </w:t>
      </w:r>
      <w:r>
        <w:rPr>
          <w:color w:val="231F20"/>
          <w:position w:val="6"/>
          <w:sz w:val="9"/>
        </w:rPr>
        <w:t>1</w:t>
      </w:r>
      <w:r>
        <w:rPr>
          <w:color w:val="231F20"/>
        </w:rPr>
        <w:t>/</w:t>
      </w:r>
      <w:r>
        <w:rPr>
          <w:color w:val="231F20"/>
          <w:sz w:val="9"/>
        </w:rPr>
        <w:t>8</w:t>
      </w:r>
      <w:r>
        <w:rPr>
          <w:color w:val="231F20"/>
        </w:rPr>
        <w:t>% above their current level: a substantial probability was attached to a rise in November, reflecting strong recent UK data, the upside risks mentioned in the August </w:t>
      </w:r>
      <w:r>
        <w:rPr>
          <w:i/>
          <w:color w:val="231F20"/>
        </w:rPr>
        <w:t>Report</w:t>
      </w:r>
      <w:r>
        <w:rPr>
          <w:color w:val="231F20"/>
        </w:rPr>
        <w:t>, and the belief that a new </w:t>
      </w:r>
      <w:r>
        <w:rPr>
          <w:i/>
          <w:color w:val="231F20"/>
        </w:rPr>
        <w:t>Report </w:t>
      </w:r>
      <w:r>
        <w:rPr>
          <w:color w:val="231F20"/>
        </w:rPr>
        <w:t>could provide an opportunity to raise interest rates.</w:t>
      </w:r>
    </w:p>
    <w:p>
      <w:pPr>
        <w:pStyle w:val="BodyText"/>
        <w:spacing w:before="11"/>
        <w:rPr>
          <w:sz w:val="16"/>
        </w:rPr>
      </w:pPr>
    </w:p>
    <w:p>
      <w:pPr>
        <w:pStyle w:val="ListParagraph"/>
        <w:numPr>
          <w:ilvl w:val="0"/>
          <w:numId w:val="46"/>
        </w:numPr>
        <w:tabs>
          <w:tab w:pos="610" w:val="left" w:leader="none"/>
          <w:tab w:pos="611" w:val="left" w:leader="none"/>
        </w:tabs>
        <w:spacing w:line="232" w:lineRule="auto" w:before="0" w:after="0"/>
        <w:ind w:left="130" w:right="194" w:firstLine="0"/>
        <w:jc w:val="left"/>
        <w:rPr>
          <w:sz w:val="18"/>
        </w:rPr>
      </w:pPr>
      <w:r>
        <w:rPr>
          <w:color w:val="231F20"/>
          <w:sz w:val="18"/>
        </w:rPr>
        <w:t>In the gilt market, yields had fallen at all maturities during the last month, particularly in the five-ten year area. The main change had come after the </w:t>
      </w:r>
      <w:r>
        <w:rPr>
          <w:i/>
          <w:color w:val="231F20"/>
          <w:sz w:val="18"/>
        </w:rPr>
        <w:t>Financial Times </w:t>
      </w:r>
      <w:r>
        <w:rPr>
          <w:color w:val="231F20"/>
          <w:sz w:val="18"/>
        </w:rPr>
        <w:t>article. It was curious that though implied future nominal short-term interest rates had generally fallen, at long maturities of 20 years or so they had risen. This pattern was also seen in implied inflationary expectations. A possible technical explanation was that yield curve movements </w:t>
      </w:r>
      <w:r>
        <w:rPr>
          <w:color w:val="231F20"/>
          <w:spacing w:val="-6"/>
          <w:sz w:val="18"/>
        </w:rPr>
        <w:t>had </w:t>
      </w:r>
      <w:r>
        <w:rPr>
          <w:color w:val="231F20"/>
          <w:sz w:val="18"/>
        </w:rPr>
        <w:t>been temporarily distorted by the need of the gilt-edged</w:t>
      </w:r>
    </w:p>
    <w:p>
      <w:pPr>
        <w:pStyle w:val="BodyText"/>
        <w:spacing w:line="232" w:lineRule="auto"/>
        <w:ind w:left="130" w:right="211"/>
      </w:pPr>
      <w:r>
        <w:rPr>
          <w:color w:val="231F20"/>
        </w:rPr>
        <w:t>market makers to adjust the positions they had taken in the auction held earlier that week, after the appearance of the </w:t>
      </w:r>
      <w:r>
        <w:rPr>
          <w:i/>
          <w:color w:val="231F20"/>
        </w:rPr>
        <w:t>Financial Times </w:t>
      </w:r>
      <w:r>
        <w:rPr>
          <w:color w:val="231F20"/>
        </w:rPr>
        <w:t>article. If this had been the case, the surprising pattern of forward yields might prove temporary. There had indeed been some adjustment the following week, but it could also have reflected official denials of the </w:t>
      </w:r>
      <w:r>
        <w:rPr>
          <w:i/>
          <w:color w:val="231F20"/>
        </w:rPr>
        <w:t>Financial Times </w:t>
      </w:r>
      <w:r>
        <w:rPr>
          <w:color w:val="231F20"/>
        </w:rPr>
        <w:t>story, as well as domestic and foreign data releases favourable to long gilts.</w:t>
      </w:r>
    </w:p>
    <w:p>
      <w:pPr>
        <w:pStyle w:val="BodyText"/>
        <w:spacing w:before="4"/>
        <w:rPr>
          <w:sz w:val="16"/>
        </w:rPr>
      </w:pPr>
    </w:p>
    <w:p>
      <w:pPr>
        <w:pStyle w:val="ListParagraph"/>
        <w:numPr>
          <w:ilvl w:val="0"/>
          <w:numId w:val="46"/>
        </w:numPr>
        <w:tabs>
          <w:tab w:pos="610" w:val="left" w:leader="none"/>
          <w:tab w:pos="611" w:val="left" w:leader="none"/>
        </w:tabs>
        <w:spacing w:line="232" w:lineRule="auto" w:before="0" w:after="0"/>
        <w:ind w:left="130" w:right="238" w:firstLine="0"/>
        <w:jc w:val="left"/>
        <w:rPr>
          <w:sz w:val="18"/>
        </w:rPr>
      </w:pPr>
      <w:r>
        <w:rPr>
          <w:color w:val="231F20"/>
          <w:sz w:val="18"/>
        </w:rPr>
        <w:t>The implied volatility of gilts rose during the past month, </w:t>
      </w:r>
      <w:r>
        <w:rPr>
          <w:color w:val="231F20"/>
          <w:spacing w:val="-9"/>
          <w:sz w:val="18"/>
        </w:rPr>
        <w:t>in </w:t>
      </w:r>
      <w:r>
        <w:rPr>
          <w:color w:val="231F20"/>
          <w:sz w:val="18"/>
        </w:rPr>
        <w:t>contrast to that of Bunds, which continued to fall. One possible explanation was that greater uncertainty over UK membership of EMU had led to greater uncertainty about future UK interest rates.</w:t>
      </w:r>
    </w:p>
    <w:p>
      <w:pPr>
        <w:pStyle w:val="BodyText"/>
        <w:spacing w:before="1"/>
        <w:rPr>
          <w:sz w:val="17"/>
        </w:rPr>
      </w:pPr>
    </w:p>
    <w:p>
      <w:pPr>
        <w:pStyle w:val="ListParagraph"/>
        <w:numPr>
          <w:ilvl w:val="0"/>
          <w:numId w:val="46"/>
        </w:numPr>
        <w:tabs>
          <w:tab w:pos="610" w:val="left" w:leader="none"/>
          <w:tab w:pos="611" w:val="left" w:leader="none"/>
        </w:tabs>
        <w:spacing w:line="232" w:lineRule="auto" w:before="0" w:after="0"/>
        <w:ind w:left="130" w:right="348" w:firstLine="0"/>
        <w:jc w:val="left"/>
        <w:rPr>
          <w:sz w:val="18"/>
        </w:rPr>
      </w:pPr>
      <w:r>
        <w:rPr>
          <w:color w:val="231F20"/>
          <w:sz w:val="18"/>
        </w:rPr>
        <w:t>Equity prices rose since the September MPC meeting: </w:t>
      </w:r>
      <w:r>
        <w:rPr>
          <w:color w:val="231F20"/>
          <w:spacing w:val="-6"/>
          <w:sz w:val="18"/>
        </w:rPr>
        <w:t>the </w:t>
      </w:r>
      <w:r>
        <w:rPr>
          <w:color w:val="231F20"/>
          <w:sz w:val="18"/>
        </w:rPr>
        <w:t>F</w:t>
      </w:r>
      <w:r>
        <w:rPr>
          <w:color w:val="231F20"/>
          <w:sz w:val="14"/>
        </w:rPr>
        <w:t>T-SE </w:t>
      </w:r>
      <w:r>
        <w:rPr>
          <w:color w:val="231F20"/>
          <w:sz w:val="18"/>
        </w:rPr>
        <w:t>100 index rose from 4,905 on 10 September to 5,262</w:t>
      </w:r>
      <w:r>
        <w:rPr>
          <w:color w:val="231F20"/>
          <w:spacing w:val="9"/>
          <w:sz w:val="18"/>
        </w:rPr>
        <w:t> </w:t>
      </w:r>
      <w:r>
        <w:rPr>
          <w:color w:val="231F20"/>
          <w:sz w:val="18"/>
        </w:rPr>
        <w:t>on</w:t>
      </w:r>
    </w:p>
    <w:p>
      <w:pPr>
        <w:pStyle w:val="BodyText"/>
        <w:spacing w:line="197" w:lineRule="exact"/>
        <w:ind w:left="129"/>
        <w:rPr>
          <w:sz w:val="14"/>
        </w:rPr>
      </w:pPr>
      <w:r>
        <w:rPr>
          <w:color w:val="231F20"/>
        </w:rPr>
        <w:t>8 October, the F</w:t>
      </w:r>
      <w:r>
        <w:rPr>
          <w:color w:val="231F20"/>
          <w:sz w:val="14"/>
        </w:rPr>
        <w:t>T-SE </w:t>
      </w:r>
      <w:r>
        <w:rPr>
          <w:color w:val="231F20"/>
        </w:rPr>
        <w:t>250 index from 4,665 to 4,882 and the F</w:t>
      </w:r>
      <w:r>
        <w:rPr>
          <w:color w:val="231F20"/>
          <w:sz w:val="14"/>
        </w:rPr>
        <w:t>T-SE</w:t>
      </w:r>
    </w:p>
    <w:p>
      <w:pPr>
        <w:pStyle w:val="BodyText"/>
        <w:spacing w:line="204" w:lineRule="exact"/>
        <w:ind w:left="130"/>
      </w:pPr>
      <w:r>
        <w:rPr>
          <w:color w:val="231F20"/>
        </w:rPr>
        <w:t>Small Cap from 2,281 to 2,380.</w:t>
      </w:r>
    </w:p>
    <w:p>
      <w:pPr>
        <w:spacing w:after="0" w:line="204" w:lineRule="exact"/>
        <w:sectPr>
          <w:type w:val="continuous"/>
          <w:pgSz w:w="11900" w:h="16840"/>
          <w:pgMar w:top="1040" w:bottom="280" w:left="660" w:right="680"/>
          <w:cols w:num="2" w:equalWidth="0">
            <w:col w:w="5044" w:space="351"/>
            <w:col w:w="5165"/>
          </w:cols>
        </w:sectPr>
      </w:pPr>
    </w:p>
    <w:p>
      <w:pPr>
        <w:pStyle w:val="BodyText"/>
        <w:rPr>
          <w:sz w:val="28"/>
        </w:rPr>
      </w:pPr>
    </w:p>
    <w:p>
      <w:pPr>
        <w:spacing w:line="369" w:lineRule="auto" w:before="88"/>
        <w:ind w:left="146" w:right="3184" w:firstLine="0"/>
        <w:jc w:val="left"/>
        <w:rPr>
          <w:b/>
          <w:sz w:val="28"/>
        </w:rPr>
      </w:pPr>
      <w:bookmarkStart w:name="press notice of 9 October 1997" w:id="111"/>
      <w:bookmarkEnd w:id="111"/>
      <w:r>
        <w:rPr/>
      </w:r>
      <w:bookmarkStart w:name="_bookmark50" w:id="112"/>
      <w:bookmarkEnd w:id="112"/>
      <w:r>
        <w:rPr/>
      </w:r>
      <w:r>
        <w:rPr>
          <w:b/>
          <w:color w:val="009483"/>
          <w:sz w:val="28"/>
        </w:rPr>
        <w:t>Text of Bank of England press notice of 9 October 1997 Bank of England leaves interest rate unchanged</w:t>
      </w:r>
    </w:p>
    <w:p>
      <w:pPr>
        <w:pStyle w:val="BodyText"/>
        <w:spacing w:before="152"/>
        <w:ind w:left="153"/>
      </w:pPr>
      <w:r>
        <w:rPr>
          <w:color w:val="231F20"/>
        </w:rPr>
        <w:t>The Bank of England’s Monetary Policy Committee today voted to leave the Bank’s repo rate unchanged at 7%.</w:t>
      </w:r>
    </w:p>
    <w:p>
      <w:pPr>
        <w:pStyle w:val="BodyText"/>
        <w:spacing w:before="2"/>
        <w:rPr>
          <w:sz w:val="17"/>
        </w:rPr>
      </w:pPr>
    </w:p>
    <w:p>
      <w:pPr>
        <w:pStyle w:val="BodyText"/>
        <w:spacing w:line="232" w:lineRule="auto"/>
        <w:ind w:left="153"/>
      </w:pPr>
      <w:r>
        <w:rPr>
          <w:color w:val="231F20"/>
        </w:rPr>
        <w:t>Minutes of today’s Monetary Policy Committee meeting will be published on Wednesday, 12 November. Minutes of the meeting which concluded on 11 September will be published on Wednesday, 15 October.</w:t>
      </w:r>
    </w:p>
    <w:p>
      <w:pPr>
        <w:spacing w:after="0" w:line="232" w:lineRule="auto"/>
        <w:sectPr>
          <w:pgSz w:w="11900" w:h="16840"/>
          <w:pgMar w:header="566" w:footer="597" w:top="800" w:bottom="780" w:left="660" w:right="680"/>
        </w:sectPr>
      </w:pPr>
    </w:p>
    <w:p>
      <w:pPr>
        <w:pStyle w:val="BodyText"/>
        <w:rPr>
          <w:sz w:val="28"/>
        </w:rPr>
      </w:pPr>
    </w:p>
    <w:p>
      <w:pPr>
        <w:pStyle w:val="Heading3"/>
        <w:spacing w:line="328" w:lineRule="auto" w:before="88"/>
        <w:ind w:left="138" w:right="3184" w:hanging="1"/>
      </w:pPr>
      <w:bookmarkStart w:name="press notice of 6 November 1997" w:id="113"/>
      <w:bookmarkEnd w:id="113"/>
      <w:r>
        <w:rPr>
          <w:b w:val="0"/>
        </w:rPr>
      </w:r>
      <w:bookmarkStart w:name="_bookmark51" w:id="114"/>
      <w:bookmarkEnd w:id="114"/>
      <w:r>
        <w:rPr>
          <w:b w:val="0"/>
        </w:rPr>
      </w:r>
      <w:r>
        <w:rPr>
          <w:color w:val="009483"/>
        </w:rPr>
        <w:t>Text of Bank of England press notice of 6 November 1997 Bank of England raises interest rates by 0.25% to 7.25%</w:t>
      </w:r>
    </w:p>
    <w:p>
      <w:pPr>
        <w:pStyle w:val="BodyText"/>
        <w:spacing w:before="8"/>
        <w:rPr>
          <w:b/>
          <w:sz w:val="14"/>
        </w:rPr>
      </w:pPr>
    </w:p>
    <w:p>
      <w:pPr>
        <w:pStyle w:val="BodyText"/>
        <w:spacing w:line="232" w:lineRule="auto" w:before="97"/>
        <w:ind w:left="144"/>
      </w:pPr>
      <w:r>
        <w:rPr>
          <w:color w:val="231F20"/>
        </w:rPr>
        <w:t>The Bank of England’s Monetary Policy Committee has today voted to raise the Bank’s repo rate by 0.25% to 7.25%. The increase takes immediate effect.</w:t>
      </w:r>
    </w:p>
    <w:p>
      <w:pPr>
        <w:pStyle w:val="BodyText"/>
        <w:spacing w:before="3"/>
        <w:rPr>
          <w:sz w:val="17"/>
        </w:rPr>
      </w:pPr>
    </w:p>
    <w:p>
      <w:pPr>
        <w:pStyle w:val="BodyText"/>
        <w:spacing w:line="232" w:lineRule="auto"/>
        <w:ind w:left="144"/>
      </w:pPr>
      <w:r>
        <w:rPr>
          <w:color w:val="231F20"/>
        </w:rPr>
        <w:t>The Committee reviewed the latest monetary and economic data and discussed the analysis and inflation projection to be incorporated in the Bank’s </w:t>
      </w:r>
      <w:r>
        <w:rPr>
          <w:i/>
          <w:color w:val="231F20"/>
        </w:rPr>
        <w:t>Inflation Report </w:t>
      </w:r>
      <w:r>
        <w:rPr>
          <w:color w:val="231F20"/>
        </w:rPr>
        <w:t>which will be published on 12 November.  It also considered the possible impact of recent financial market</w:t>
      </w:r>
      <w:r>
        <w:rPr>
          <w:color w:val="231F20"/>
          <w:spacing w:val="-18"/>
        </w:rPr>
        <w:t> </w:t>
      </w:r>
      <w:r>
        <w:rPr>
          <w:color w:val="231F20"/>
        </w:rPr>
        <w:t>volatility.</w:t>
      </w:r>
    </w:p>
    <w:p>
      <w:pPr>
        <w:pStyle w:val="BodyText"/>
        <w:spacing w:before="3"/>
        <w:rPr>
          <w:sz w:val="17"/>
        </w:rPr>
      </w:pPr>
    </w:p>
    <w:p>
      <w:pPr>
        <w:pStyle w:val="BodyText"/>
        <w:spacing w:line="232" w:lineRule="auto"/>
        <w:ind w:left="144" w:right="144"/>
      </w:pPr>
      <w:r>
        <w:rPr>
          <w:color w:val="231F20"/>
        </w:rPr>
        <w:t>Inflation has not moderated as much as expected in the light of sterling’s appreciation since the autumn of 1996. Domestic demand has remained robust, and the expected impact on external trade, lowering export volumes and raising import volumes, has yet to materialise, so that GDP has continued to grow at an unsustainable rate.  The labour market has tightened further, with skill shortages increasingly</w:t>
      </w:r>
      <w:r>
        <w:rPr>
          <w:color w:val="231F20"/>
          <w:spacing w:val="-19"/>
        </w:rPr>
        <w:t> </w:t>
      </w:r>
      <w:r>
        <w:rPr>
          <w:color w:val="231F20"/>
        </w:rPr>
        <w:t>reported.</w:t>
      </w:r>
    </w:p>
    <w:p>
      <w:pPr>
        <w:pStyle w:val="BodyText"/>
        <w:spacing w:before="2"/>
        <w:rPr>
          <w:sz w:val="17"/>
        </w:rPr>
      </w:pPr>
    </w:p>
    <w:p>
      <w:pPr>
        <w:pStyle w:val="BodyText"/>
        <w:spacing w:line="232" w:lineRule="auto"/>
        <w:ind w:left="144" w:right="248"/>
      </w:pPr>
      <w:r>
        <w:rPr>
          <w:color w:val="231F20"/>
        </w:rPr>
        <w:t>Looking ahead, the economy is expected to slow down next year as both domestic demand and net external trade moderate, under the combined impact of past tightening in monetary and fiscal policy, the strength of sterling, and a smaller impact of windfalls on consumption. This will help to reduce inflationary pressures. But, in the Committee’s judgment, the balance of risks implies that a modest further increase in interest rates is necessary to meet the inflation target of 2</w:t>
      </w:r>
      <w:r>
        <w:rPr>
          <w:color w:val="231F20"/>
          <w:position w:val="6"/>
          <w:sz w:val="9"/>
        </w:rPr>
        <w:t>1</w:t>
      </w:r>
      <w:r>
        <w:rPr>
          <w:color w:val="231F20"/>
        </w:rPr>
        <w:t>/</w:t>
      </w:r>
      <w:r>
        <w:rPr>
          <w:color w:val="231F20"/>
          <w:sz w:val="9"/>
        </w:rPr>
        <w:t>2</w:t>
      </w:r>
      <w:r>
        <w:rPr>
          <w:color w:val="231F20"/>
        </w:rPr>
        <w:t>% in the medium term.</w:t>
      </w:r>
    </w:p>
    <w:p>
      <w:pPr>
        <w:pStyle w:val="BodyText"/>
        <w:spacing w:before="8"/>
        <w:rPr>
          <w:sz w:val="16"/>
        </w:rPr>
      </w:pPr>
    </w:p>
    <w:p>
      <w:pPr>
        <w:pStyle w:val="BodyText"/>
        <w:ind w:left="144"/>
      </w:pPr>
      <w:r>
        <w:rPr>
          <w:color w:val="231F20"/>
        </w:rPr>
        <w:t>The Committee therefore voted to raise interest rates by 0.25%. The last change in interest rates was a rise of 0.25% on 7 August.</w:t>
      </w:r>
    </w:p>
    <w:p>
      <w:pPr>
        <w:pStyle w:val="BodyText"/>
        <w:spacing w:before="2"/>
        <w:rPr>
          <w:sz w:val="17"/>
        </w:rPr>
      </w:pPr>
    </w:p>
    <w:p>
      <w:pPr>
        <w:pStyle w:val="BodyText"/>
        <w:spacing w:line="232" w:lineRule="auto" w:before="1"/>
        <w:ind w:left="144" w:right="144"/>
      </w:pPr>
      <w:r>
        <w:rPr>
          <w:color w:val="231F20"/>
        </w:rPr>
        <w:t>The minutes of today’s Monetary Policy Committee Meeting will be published on 10 December. Minutes of the meeting held in October will be published on 12 November.</w:t>
      </w:r>
    </w:p>
    <w:p>
      <w:pPr>
        <w:spacing w:after="0" w:line="232" w:lineRule="auto"/>
        <w:sectPr>
          <w:pgSz w:w="11900" w:h="16840"/>
          <w:pgMar w:header="566" w:footer="597" w:top="800" w:bottom="780" w:left="660" w:right="680"/>
        </w:sectPr>
      </w:pPr>
    </w:p>
    <w:p>
      <w:pPr>
        <w:pStyle w:val="Heading4"/>
        <w:spacing w:before="74"/>
        <w:ind w:left="1818" w:right="1818"/>
        <w:jc w:val="center"/>
      </w:pPr>
      <w:bookmarkStart w:name="Quarterly Bulletin and Inflation Report " w:id="115"/>
      <w:bookmarkEnd w:id="115"/>
      <w:r>
        <w:rPr>
          <w:b w:val="0"/>
        </w:rPr>
      </w:r>
      <w:r>
        <w:rPr>
          <w:color w:val="00958E"/>
        </w:rPr>
        <w:t>Quarterly Bulletin and Inflation Report subscription details</w:t>
      </w:r>
    </w:p>
    <w:p>
      <w:pPr>
        <w:pStyle w:val="BodyText"/>
        <w:rPr>
          <w:b/>
          <w:sz w:val="20"/>
        </w:rPr>
      </w:pPr>
    </w:p>
    <w:p>
      <w:pPr>
        <w:pStyle w:val="BodyText"/>
        <w:rPr>
          <w:b/>
          <w:sz w:val="20"/>
        </w:rPr>
      </w:pPr>
    </w:p>
    <w:p>
      <w:pPr>
        <w:spacing w:line="249" w:lineRule="auto" w:before="1"/>
        <w:ind w:left="145" w:right="0" w:firstLine="0"/>
        <w:jc w:val="left"/>
        <w:rPr>
          <w:sz w:val="20"/>
        </w:rPr>
      </w:pPr>
      <w:r>
        <w:rPr/>
        <w:pict>
          <v:line style="position:absolute;mso-position-horizontal-relative:page;mso-position-vertical-relative:paragraph;z-index:-20603904" from="147pt,88.875931pt" to="183.12pt,88.875931pt" stroked="true" strokeweight=".125pt" strokecolor="#231f20">
            <v:stroke dashstyle="solid"/>
            <w10:wrap type="none"/>
          </v:line>
        </w:pict>
      </w:r>
      <w:r>
        <w:rPr/>
        <w:pict>
          <v:line style="position:absolute;mso-position-horizontal-relative:page;mso-position-vertical-relative:paragraph;z-index:-20603392" from="194.369995pt,89.375931pt" to="216.619995pt,89.375931pt" stroked="true" strokeweight=".125pt" strokecolor="#231f20">
            <v:stroke dashstyle="solid"/>
            <w10:wrap type="none"/>
          </v:line>
        </w:pict>
      </w:r>
      <w:r>
        <w:rPr/>
        <w:pict>
          <v:line style="position:absolute;mso-position-horizontal-relative:page;mso-position-vertical-relative:paragraph;z-index:-20602880" from="282.25pt,89.375931pt" to="312pt,89.375931pt" stroked="true" strokeweight=".125pt" strokecolor="#231f20">
            <v:stroke dashstyle="solid"/>
            <w10:wrap type="none"/>
          </v:line>
        </w:pict>
      </w:r>
      <w:r>
        <w:rPr/>
        <w:pict>
          <v:line style="position:absolute;mso-position-horizontal-relative:page;mso-position-vertical-relative:paragraph;z-index:-20602368" from="239.75pt,89.375931pt" to="274.5pt,89.375931pt" stroked="true" strokeweight=".125pt" strokecolor="#231f20">
            <v:stroke dashstyle="solid"/>
            <w10:wrap type="none"/>
          </v:line>
        </w:pict>
      </w:r>
      <w:r>
        <w:rPr/>
        <w:pict>
          <v:line style="position:absolute;mso-position-horizontal-relative:page;mso-position-vertical-relative:paragraph;z-index:-20601856" from="390.75pt,89.375931pt" to="413pt,89.375931pt" stroked="true" strokeweight=".125pt" strokecolor="#231f20">
            <v:stroke dashstyle="solid"/>
            <w10:wrap type="none"/>
          </v:line>
        </w:pict>
      </w:r>
      <w:r>
        <w:rPr/>
        <w:pict>
          <v:line style="position:absolute;mso-position-horizontal-relative:page;mso-position-vertical-relative:paragraph;z-index:-20601344" from="440.369995pt,89.375931pt" to="466.999995pt,89.375931pt" stroked="true" strokeweight=".125pt" strokecolor="#231f20">
            <v:stroke dashstyle="solid"/>
            <w10:wrap type="none"/>
          </v:line>
        </w:pict>
      </w:r>
      <w:r>
        <w:rPr/>
        <w:pict>
          <v:line style="position:absolute;mso-position-horizontal-relative:page;mso-position-vertical-relative:paragraph;z-index:-20600832" from="339.119995pt,89.375931pt" to="376.869995pt,89.375931pt" stroked="true" strokeweight=".125pt" strokecolor="#231f20">
            <v:stroke dashstyle="solid"/>
            <w10:wrap type="none"/>
          </v:line>
        </w:pict>
      </w:r>
      <w:r>
        <w:rPr/>
        <w:pict>
          <v:line style="position:absolute;mso-position-horizontal-relative:page;mso-position-vertical-relative:paragraph;z-index:-20600320" from="478.369995pt,89.375931pt" to="502.619995pt,89.375931pt" stroked="true" strokeweight=".125pt" strokecolor="#231f20">
            <v:stroke dashstyle="solid"/>
            <w10:wrap type="none"/>
          </v:line>
        </w:pict>
      </w:r>
      <w:r>
        <w:rPr/>
        <w:pict>
          <v:line style="position:absolute;mso-position-horizontal-relative:page;mso-position-vertical-relative:paragraph;z-index:-20599808" from="145.869995pt,70.625931pt" to="229.249995pt,70.625931pt" stroked="true" strokeweight=".125pt" strokecolor="#231f20">
            <v:stroke dashstyle="solid"/>
            <w10:wrap type="none"/>
          </v:line>
        </w:pict>
      </w:r>
      <w:r>
        <w:rPr/>
        <w:pict>
          <v:line style="position:absolute;mso-position-horizontal-relative:page;mso-position-vertical-relative:paragraph;z-index:-20599296" from="246.25pt,70.625931pt" to="311.37pt,70.625931pt" stroked="true" strokeweight=".125pt" strokecolor="#231f20">
            <v:stroke dashstyle="solid"/>
            <w10:wrap type="none"/>
          </v:line>
        </w:pict>
      </w:r>
      <w:r>
        <w:rPr/>
        <w:pict>
          <v:line style="position:absolute;mso-position-horizontal-relative:page;mso-position-vertical-relative:paragraph;z-index:-20598784" from="337.869995pt,70.625931pt" to="420.119995pt,70.625931pt" stroked="true" strokeweight=".125pt" strokecolor="#231f20">
            <v:stroke dashstyle="solid"/>
            <w10:wrap type="none"/>
          </v:line>
        </w:pict>
      </w:r>
      <w:r>
        <w:rPr/>
        <w:pict>
          <v:line style="position:absolute;mso-position-horizontal-relative:page;mso-position-vertical-relative:paragraph;z-index:-20598272" from="439.369995pt,70.625931pt" to="512.619995pt,70.625931pt" stroked="true" strokeweight=".125pt" strokecolor="#231f20">
            <v:stroke dashstyle="solid"/>
            <w10:wrap type="none"/>
          </v:line>
        </w:pict>
      </w:r>
      <w:r>
        <w:rPr/>
        <w:pict>
          <v:line style="position:absolute;mso-position-horizontal-relative:page;mso-position-vertical-relative:paragraph;z-index:-20597760" from="235.369995pt,50.005932pt" to="235.369995pt,232.625932pt" stroked="true" strokeweight=".125pt" strokecolor="#231f20">
            <v:stroke dashstyle="solid"/>
            <w10:wrap type="none"/>
          </v:line>
        </w:pict>
      </w:r>
      <w:r>
        <w:rPr/>
        <w:pict>
          <v:line style="position:absolute;mso-position-horizontal-relative:page;mso-position-vertical-relative:paragraph;z-index:-20597248" from="426.369995pt,49.505932pt" to="426.369995pt,234.755932pt" stroked="true" strokeweight=".125pt" strokecolor="#231f20">
            <v:stroke dashstyle="solid"/>
            <w10:wrap type="none"/>
          </v:line>
        </w:pict>
      </w:r>
      <w:r>
        <w:rPr>
          <w:color w:val="231F20"/>
          <w:sz w:val="20"/>
        </w:rPr>
        <w:t>Copies of the </w:t>
      </w:r>
      <w:r>
        <w:rPr>
          <w:i/>
          <w:color w:val="231F20"/>
          <w:sz w:val="20"/>
        </w:rPr>
        <w:t>Bulletin </w:t>
      </w:r>
      <w:r>
        <w:rPr>
          <w:color w:val="231F20"/>
          <w:sz w:val="20"/>
        </w:rPr>
        <w:t>and </w:t>
      </w:r>
      <w:r>
        <w:rPr>
          <w:i/>
          <w:color w:val="231F20"/>
          <w:sz w:val="20"/>
        </w:rPr>
        <w:t>Inflation Report </w:t>
      </w:r>
      <w:r>
        <w:rPr>
          <w:color w:val="231F20"/>
          <w:sz w:val="20"/>
        </w:rPr>
        <w:t>are available from the Bank as a </w:t>
      </w:r>
      <w:r>
        <w:rPr>
          <w:b/>
          <w:color w:val="231F20"/>
          <w:sz w:val="20"/>
        </w:rPr>
        <w:t>combined </w:t>
      </w:r>
      <w:r>
        <w:rPr>
          <w:color w:val="231F20"/>
          <w:sz w:val="20"/>
        </w:rPr>
        <w:t>package: the </w:t>
      </w:r>
      <w:r>
        <w:rPr>
          <w:i/>
          <w:color w:val="231F20"/>
          <w:sz w:val="20"/>
        </w:rPr>
        <w:t>Inflation Report </w:t>
      </w:r>
      <w:r>
        <w:rPr>
          <w:color w:val="231F20"/>
          <w:sz w:val="20"/>
        </w:rPr>
        <w:t>is </w:t>
      </w:r>
      <w:r>
        <w:rPr>
          <w:color w:val="231F20"/>
          <w:spacing w:val="-4"/>
          <w:sz w:val="20"/>
        </w:rPr>
        <w:t>also </w:t>
      </w:r>
      <w:r>
        <w:rPr>
          <w:color w:val="231F20"/>
          <w:sz w:val="20"/>
        </w:rPr>
        <w:t>available separately. The prices are set out below:</w:t>
      </w:r>
    </w:p>
    <w:p>
      <w:pPr>
        <w:pStyle w:val="BodyText"/>
        <w:rPr>
          <w:sz w:val="11"/>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848"/>
        <w:gridCol w:w="1821"/>
        <w:gridCol w:w="2100"/>
        <w:gridCol w:w="1846"/>
      </w:tblGrid>
      <w:tr>
        <w:trPr>
          <w:trHeight w:val="311" w:hRule="atLeast"/>
        </w:trPr>
        <w:tc>
          <w:tcPr>
            <w:tcW w:w="1949" w:type="dxa"/>
            <w:tcBorders>
              <w:top w:val="single" w:sz="4" w:space="0" w:color="231F20"/>
              <w:left w:val="single" w:sz="4" w:space="0" w:color="231F20"/>
              <w:bottom w:val="single" w:sz="2" w:space="0" w:color="231F20"/>
              <w:right w:val="single" w:sz="2" w:space="0" w:color="231F20"/>
            </w:tcBorders>
          </w:tcPr>
          <w:p>
            <w:pPr>
              <w:pStyle w:val="TableParagraph"/>
              <w:spacing w:before="42"/>
              <w:ind w:left="115"/>
              <w:rPr>
                <w:sz w:val="16"/>
              </w:rPr>
            </w:pPr>
            <w:r>
              <w:rPr>
                <w:color w:val="231F20"/>
                <w:sz w:val="16"/>
              </w:rPr>
              <w:t>Destination</w:t>
            </w:r>
          </w:p>
        </w:tc>
        <w:tc>
          <w:tcPr>
            <w:tcW w:w="3669" w:type="dxa"/>
            <w:gridSpan w:val="2"/>
            <w:tcBorders>
              <w:top w:val="single" w:sz="4" w:space="0" w:color="231F20"/>
              <w:left w:val="single" w:sz="2" w:space="0" w:color="231F20"/>
              <w:bottom w:val="single" w:sz="2" w:space="0" w:color="231F20"/>
              <w:right w:val="single" w:sz="2" w:space="0" w:color="231F20"/>
            </w:tcBorders>
          </w:tcPr>
          <w:p>
            <w:pPr>
              <w:pStyle w:val="TableParagraph"/>
              <w:spacing w:before="42"/>
              <w:ind w:left="1391" w:right="1913"/>
              <w:jc w:val="center"/>
              <w:rPr>
                <w:sz w:val="16"/>
              </w:rPr>
            </w:pPr>
            <w:r>
              <w:rPr>
                <w:color w:val="231F20"/>
                <w:sz w:val="16"/>
              </w:rPr>
              <w:t>1998</w:t>
            </w:r>
          </w:p>
        </w:tc>
        <w:tc>
          <w:tcPr>
            <w:tcW w:w="3946" w:type="dxa"/>
            <w:gridSpan w:val="2"/>
            <w:tcBorders>
              <w:top w:val="single" w:sz="4" w:space="0" w:color="231F20"/>
              <w:left w:val="single" w:sz="2" w:space="0" w:color="231F20"/>
              <w:bottom w:val="single" w:sz="2" w:space="0" w:color="231F20"/>
              <w:right w:val="single" w:sz="4" w:space="0" w:color="231F20"/>
            </w:tcBorders>
          </w:tcPr>
          <w:p>
            <w:pPr>
              <w:pStyle w:val="TableParagraph"/>
              <w:spacing w:before="42"/>
              <w:ind w:left="1520" w:right="2057"/>
              <w:jc w:val="center"/>
              <w:rPr>
                <w:sz w:val="16"/>
              </w:rPr>
            </w:pPr>
            <w:r>
              <w:rPr>
                <w:color w:val="231F20"/>
                <w:sz w:val="16"/>
              </w:rPr>
              <w:t>1997</w:t>
            </w:r>
          </w:p>
        </w:tc>
      </w:tr>
      <w:tr>
        <w:trPr>
          <w:trHeight w:val="266" w:hRule="atLeast"/>
        </w:trPr>
        <w:tc>
          <w:tcPr>
            <w:tcW w:w="1949" w:type="dxa"/>
            <w:vMerge w:val="restart"/>
            <w:tcBorders>
              <w:top w:val="single" w:sz="2" w:space="0" w:color="231F20"/>
              <w:left w:val="single" w:sz="4" w:space="0" w:color="231F20"/>
              <w:bottom w:val="single" w:sz="4" w:space="0" w:color="231F20"/>
              <w:right w:val="single" w:sz="2" w:space="0" w:color="231F2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37"/>
              <w:ind w:left="35"/>
              <w:rPr>
                <w:sz w:val="16"/>
              </w:rPr>
            </w:pPr>
            <w:r>
              <w:rPr>
                <w:color w:val="231F20"/>
                <w:sz w:val="16"/>
              </w:rPr>
              <w:t>United Kingdom</w:t>
            </w:r>
          </w:p>
          <w:p>
            <w:pPr>
              <w:pStyle w:val="TableParagraph"/>
              <w:spacing w:line="182" w:lineRule="exact"/>
              <w:ind w:left="155"/>
              <w:rPr>
                <w:sz w:val="12"/>
              </w:rPr>
            </w:pPr>
            <w:r>
              <w:rPr>
                <w:color w:val="231F20"/>
                <w:sz w:val="16"/>
              </w:rPr>
              <w:t>by first class mail </w:t>
            </w:r>
            <w:r>
              <w:rPr>
                <w:color w:val="231F20"/>
                <w:sz w:val="12"/>
              </w:rPr>
              <w:t>(2)</w:t>
            </w:r>
          </w:p>
          <w:p>
            <w:pPr>
              <w:pStyle w:val="TableParagraph"/>
              <w:spacing w:line="182" w:lineRule="exact" w:before="157"/>
              <w:ind w:left="35"/>
              <w:rPr>
                <w:b/>
                <w:i/>
                <w:sz w:val="16"/>
              </w:rPr>
            </w:pPr>
            <w:r>
              <w:rPr>
                <w:i/>
                <w:color w:val="231F20"/>
                <w:sz w:val="16"/>
              </w:rPr>
              <w:t>Academics, </w:t>
            </w:r>
            <w:r>
              <w:rPr>
                <w:b/>
                <w:i/>
                <w:color w:val="231F20"/>
                <w:sz w:val="16"/>
              </w:rPr>
              <w:t>UK only</w:t>
            </w:r>
          </w:p>
          <w:p>
            <w:pPr>
              <w:pStyle w:val="TableParagraph"/>
              <w:spacing w:line="182" w:lineRule="exact"/>
              <w:ind w:left="35"/>
              <w:rPr>
                <w:b/>
                <w:i/>
                <w:sz w:val="16"/>
              </w:rPr>
            </w:pPr>
            <w:r>
              <w:rPr>
                <w:i/>
                <w:color w:val="231F20"/>
                <w:sz w:val="16"/>
              </w:rPr>
              <w:t>Students, </w:t>
            </w:r>
            <w:r>
              <w:rPr>
                <w:b/>
                <w:i/>
                <w:color w:val="231F20"/>
                <w:sz w:val="16"/>
              </w:rPr>
              <w:t>UK only</w:t>
            </w:r>
          </w:p>
          <w:p>
            <w:pPr>
              <w:pStyle w:val="TableParagraph"/>
              <w:spacing w:line="235" w:lineRule="auto" w:before="159"/>
              <w:ind w:left="154" w:right="136" w:hanging="120"/>
              <w:rPr>
                <w:sz w:val="16"/>
              </w:rPr>
            </w:pPr>
            <w:r>
              <w:rPr>
                <w:color w:val="231F20"/>
                <w:sz w:val="16"/>
              </w:rPr>
              <w:t>European countries including the Republic of Ireland, by letter service</w:t>
            </w:r>
          </w:p>
          <w:p>
            <w:pPr>
              <w:pStyle w:val="TableParagraph"/>
              <w:spacing w:line="235" w:lineRule="auto" w:before="159"/>
              <w:ind w:left="114" w:right="216" w:hanging="80"/>
              <w:rPr>
                <w:sz w:val="16"/>
              </w:rPr>
            </w:pPr>
            <w:r>
              <w:rPr>
                <w:color w:val="231F20"/>
                <w:sz w:val="16"/>
              </w:rPr>
              <w:t>Countries outside Europe: Surface mail</w:t>
            </w:r>
          </w:p>
          <w:p>
            <w:pPr>
              <w:pStyle w:val="TableParagraph"/>
              <w:tabs>
                <w:tab w:pos="939" w:val="left" w:leader="none"/>
              </w:tabs>
              <w:spacing w:before="156"/>
              <w:ind w:right="256"/>
              <w:jc w:val="right"/>
              <w:rPr>
                <w:sz w:val="12"/>
              </w:rPr>
            </w:pPr>
            <w:r>
              <w:rPr>
                <w:color w:val="231F20"/>
                <w:sz w:val="16"/>
              </w:rPr>
              <w:t>Air mail:</w:t>
              <w:tab/>
              <w:t>Zone 1</w:t>
            </w:r>
            <w:r>
              <w:rPr>
                <w:color w:val="231F20"/>
                <w:spacing w:val="-4"/>
                <w:sz w:val="16"/>
              </w:rPr>
              <w:t> </w:t>
            </w:r>
            <w:r>
              <w:rPr>
                <w:color w:val="231F20"/>
                <w:sz w:val="12"/>
              </w:rPr>
              <w:t>(3)</w:t>
            </w:r>
          </w:p>
          <w:p>
            <w:pPr>
              <w:pStyle w:val="TableParagraph"/>
              <w:spacing w:before="156"/>
              <w:ind w:right="256"/>
              <w:jc w:val="right"/>
              <w:rPr>
                <w:sz w:val="12"/>
              </w:rPr>
            </w:pPr>
            <w:r>
              <w:rPr>
                <w:color w:val="231F20"/>
                <w:sz w:val="16"/>
              </w:rPr>
              <w:t>Zone 2</w:t>
            </w:r>
            <w:r>
              <w:rPr>
                <w:color w:val="231F20"/>
                <w:spacing w:val="-4"/>
                <w:sz w:val="16"/>
              </w:rPr>
              <w:t> </w:t>
            </w:r>
            <w:r>
              <w:rPr>
                <w:color w:val="231F20"/>
                <w:sz w:val="12"/>
              </w:rPr>
              <w:t>(4)</w:t>
            </w:r>
          </w:p>
        </w:tc>
        <w:tc>
          <w:tcPr>
            <w:tcW w:w="1848" w:type="dxa"/>
            <w:tcBorders>
              <w:top w:val="single" w:sz="2" w:space="0" w:color="231F20"/>
              <w:left w:val="single" w:sz="2" w:space="0" w:color="231F20"/>
            </w:tcBorders>
          </w:tcPr>
          <w:p>
            <w:pPr>
              <w:pStyle w:val="TableParagraph"/>
              <w:spacing w:line="160" w:lineRule="exact" w:before="85"/>
              <w:ind w:left="148"/>
              <w:rPr>
                <w:i/>
                <w:sz w:val="16"/>
              </w:rPr>
            </w:pPr>
            <w:r>
              <w:rPr>
                <w:i/>
                <w:color w:val="231F20"/>
                <w:sz w:val="16"/>
              </w:rPr>
              <w:t>Quarterly Bulletin and</w:t>
            </w:r>
          </w:p>
        </w:tc>
        <w:tc>
          <w:tcPr>
            <w:tcW w:w="1821" w:type="dxa"/>
            <w:tcBorders>
              <w:top w:val="single" w:sz="2" w:space="0" w:color="231F20"/>
              <w:right w:val="single" w:sz="2" w:space="0" w:color="231F20"/>
            </w:tcBorders>
          </w:tcPr>
          <w:p>
            <w:pPr>
              <w:pStyle w:val="TableParagraph"/>
              <w:spacing w:line="160" w:lineRule="exact" w:before="85"/>
              <w:ind w:left="303"/>
              <w:rPr>
                <w:i/>
                <w:sz w:val="16"/>
              </w:rPr>
            </w:pPr>
            <w:r>
              <w:rPr>
                <w:i/>
                <w:color w:val="231F20"/>
                <w:sz w:val="16"/>
              </w:rPr>
              <w:t>Inflation Report</w:t>
            </w:r>
          </w:p>
        </w:tc>
        <w:tc>
          <w:tcPr>
            <w:tcW w:w="2100" w:type="dxa"/>
            <w:tcBorders>
              <w:top w:val="single" w:sz="2" w:space="0" w:color="231F20"/>
              <w:left w:val="single" w:sz="2" w:space="0" w:color="231F20"/>
            </w:tcBorders>
          </w:tcPr>
          <w:p>
            <w:pPr>
              <w:pStyle w:val="TableParagraph"/>
              <w:spacing w:line="160" w:lineRule="exact" w:before="85"/>
              <w:ind w:left="299"/>
              <w:rPr>
                <w:i/>
                <w:sz w:val="16"/>
              </w:rPr>
            </w:pPr>
            <w:r>
              <w:rPr>
                <w:i/>
                <w:color w:val="231F20"/>
                <w:sz w:val="16"/>
              </w:rPr>
              <w:t>Quarterly Bulletin and</w:t>
            </w:r>
          </w:p>
        </w:tc>
        <w:tc>
          <w:tcPr>
            <w:tcW w:w="1846" w:type="dxa"/>
            <w:tcBorders>
              <w:top w:val="single" w:sz="2" w:space="0" w:color="231F20"/>
              <w:right w:val="single" w:sz="4" w:space="0" w:color="231F20"/>
            </w:tcBorders>
          </w:tcPr>
          <w:p>
            <w:pPr>
              <w:pStyle w:val="TableParagraph"/>
              <w:spacing w:line="160" w:lineRule="exact" w:before="85"/>
              <w:ind w:left="242"/>
              <w:rPr>
                <w:i/>
                <w:sz w:val="16"/>
              </w:rPr>
            </w:pPr>
            <w:r>
              <w:rPr>
                <w:i/>
                <w:color w:val="231F20"/>
                <w:sz w:val="16"/>
              </w:rPr>
              <w:t>Inflation Report</w:t>
            </w:r>
          </w:p>
        </w:tc>
      </w:tr>
      <w:tr>
        <w:trPr>
          <w:trHeight w:val="26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line="174" w:lineRule="exact"/>
              <w:ind w:left="148"/>
              <w:rPr>
                <w:sz w:val="16"/>
              </w:rPr>
            </w:pPr>
            <w:r>
              <w:rPr>
                <w:i/>
                <w:color w:val="231F20"/>
                <w:sz w:val="16"/>
              </w:rPr>
              <w:t>Inflation Report </w:t>
            </w:r>
            <w:r>
              <w:rPr>
                <w:color w:val="231F20"/>
                <w:sz w:val="16"/>
              </w:rPr>
              <w:t>package</w:t>
            </w:r>
          </w:p>
        </w:tc>
        <w:tc>
          <w:tcPr>
            <w:tcW w:w="1821" w:type="dxa"/>
            <w:tcBorders>
              <w:right w:val="single" w:sz="2" w:space="0" w:color="231F20"/>
            </w:tcBorders>
          </w:tcPr>
          <w:p>
            <w:pPr>
              <w:pStyle w:val="TableParagraph"/>
              <w:spacing w:line="174" w:lineRule="exact"/>
              <w:ind w:left="303"/>
              <w:rPr>
                <w:sz w:val="12"/>
              </w:rPr>
            </w:pPr>
            <w:r>
              <w:rPr>
                <w:color w:val="231F20"/>
                <w:sz w:val="16"/>
              </w:rPr>
              <w:t>only </w:t>
            </w:r>
            <w:r>
              <w:rPr>
                <w:color w:val="231F20"/>
                <w:sz w:val="12"/>
              </w:rPr>
              <w:t>(1)</w:t>
            </w:r>
          </w:p>
        </w:tc>
        <w:tc>
          <w:tcPr>
            <w:tcW w:w="2100" w:type="dxa"/>
            <w:tcBorders>
              <w:left w:val="single" w:sz="2" w:space="0" w:color="231F20"/>
            </w:tcBorders>
          </w:tcPr>
          <w:p>
            <w:pPr>
              <w:pStyle w:val="TableParagraph"/>
              <w:spacing w:line="174" w:lineRule="exact"/>
              <w:ind w:left="299"/>
              <w:rPr>
                <w:sz w:val="16"/>
              </w:rPr>
            </w:pPr>
            <w:r>
              <w:rPr>
                <w:i/>
                <w:color w:val="231F20"/>
                <w:sz w:val="16"/>
              </w:rPr>
              <w:t>Inflation Report </w:t>
            </w:r>
            <w:r>
              <w:rPr>
                <w:color w:val="231F20"/>
                <w:sz w:val="16"/>
              </w:rPr>
              <w:t>package</w:t>
            </w:r>
          </w:p>
        </w:tc>
        <w:tc>
          <w:tcPr>
            <w:tcW w:w="1846" w:type="dxa"/>
            <w:tcBorders>
              <w:right w:val="single" w:sz="4" w:space="0" w:color="231F20"/>
            </w:tcBorders>
          </w:tcPr>
          <w:p>
            <w:pPr>
              <w:pStyle w:val="TableParagraph"/>
              <w:spacing w:line="174" w:lineRule="exact"/>
              <w:ind w:left="242"/>
              <w:rPr>
                <w:sz w:val="12"/>
              </w:rPr>
            </w:pPr>
            <w:r>
              <w:rPr>
                <w:color w:val="231F20"/>
                <w:sz w:val="16"/>
              </w:rPr>
              <w:t>only </w:t>
            </w:r>
            <w:r>
              <w:rPr>
                <w:color w:val="231F20"/>
                <w:sz w:val="12"/>
              </w:rPr>
              <w:t>(1)</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08" w:val="left" w:leader="none"/>
              </w:tabs>
              <w:spacing w:before="79"/>
              <w:ind w:left="148"/>
              <w:rPr>
                <w:sz w:val="16"/>
              </w:rPr>
            </w:pPr>
            <w:r>
              <w:rPr>
                <w:color w:val="231F20"/>
                <w:sz w:val="16"/>
              </w:rPr>
              <w:t>Annual</w:t>
              <w:tab/>
              <w:t>Single</w:t>
            </w:r>
          </w:p>
        </w:tc>
        <w:tc>
          <w:tcPr>
            <w:tcW w:w="1821" w:type="dxa"/>
            <w:tcBorders>
              <w:right w:val="single" w:sz="2" w:space="0" w:color="231F20"/>
            </w:tcBorders>
          </w:tcPr>
          <w:p>
            <w:pPr>
              <w:pStyle w:val="TableParagraph"/>
              <w:tabs>
                <w:tab w:pos="1038" w:val="left" w:leader="none"/>
              </w:tabs>
              <w:spacing w:before="79"/>
              <w:ind w:left="183"/>
              <w:rPr>
                <w:sz w:val="16"/>
              </w:rPr>
            </w:pPr>
            <w:r>
              <w:rPr>
                <w:color w:val="231F20"/>
                <w:sz w:val="16"/>
              </w:rPr>
              <w:t>Annual</w:t>
              <w:tab/>
              <w:t>Single</w:t>
            </w:r>
          </w:p>
        </w:tc>
        <w:tc>
          <w:tcPr>
            <w:tcW w:w="2100" w:type="dxa"/>
            <w:tcBorders>
              <w:left w:val="single" w:sz="2" w:space="0" w:color="231F20"/>
            </w:tcBorders>
          </w:tcPr>
          <w:p>
            <w:pPr>
              <w:pStyle w:val="TableParagraph"/>
              <w:tabs>
                <w:tab w:pos="1379" w:val="left" w:leader="none"/>
              </w:tabs>
              <w:spacing w:before="79"/>
              <w:ind w:left="359"/>
              <w:rPr>
                <w:sz w:val="16"/>
              </w:rPr>
            </w:pPr>
            <w:r>
              <w:rPr>
                <w:color w:val="231F20"/>
                <w:sz w:val="16"/>
              </w:rPr>
              <w:t>Annual</w:t>
              <w:tab/>
              <w:t>Single</w:t>
            </w:r>
          </w:p>
        </w:tc>
        <w:tc>
          <w:tcPr>
            <w:tcW w:w="1846" w:type="dxa"/>
            <w:tcBorders>
              <w:right w:val="single" w:sz="4" w:space="0" w:color="231F20"/>
            </w:tcBorders>
          </w:tcPr>
          <w:p>
            <w:pPr>
              <w:pStyle w:val="TableParagraph"/>
              <w:tabs>
                <w:tab w:pos="962" w:val="left" w:leader="none"/>
              </w:tabs>
              <w:spacing w:before="79"/>
              <w:ind w:left="222"/>
              <w:rPr>
                <w:sz w:val="16"/>
              </w:rPr>
            </w:pPr>
            <w:r>
              <w:rPr>
                <w:color w:val="231F20"/>
                <w:sz w:val="16"/>
              </w:rPr>
              <w:t>Annual</w:t>
              <w:tab/>
              <w:t>Single</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£40.00</w:t>
              <w:tab/>
              <w:t>£10.00</w:t>
            </w:r>
          </w:p>
        </w:tc>
        <w:tc>
          <w:tcPr>
            <w:tcW w:w="1821" w:type="dxa"/>
            <w:tcBorders>
              <w:right w:val="single" w:sz="2" w:space="0" w:color="231F20"/>
            </w:tcBorders>
          </w:tcPr>
          <w:p>
            <w:pPr>
              <w:pStyle w:val="TableParagraph"/>
              <w:tabs>
                <w:tab w:pos="1062" w:val="left" w:leader="none"/>
              </w:tabs>
              <w:spacing w:before="159"/>
              <w:ind w:left="118"/>
              <w:rPr>
                <w:sz w:val="16"/>
              </w:rPr>
            </w:pPr>
            <w:r>
              <w:rPr>
                <w:color w:val="231F20"/>
                <w:sz w:val="16"/>
              </w:rPr>
              <w:t>£12.00</w:t>
              <w:tab/>
              <w:t>£3.00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£40.00</w:t>
              <w:tab/>
              <w:t>£10.00</w:t>
            </w:r>
          </w:p>
        </w:tc>
        <w:tc>
          <w:tcPr>
            <w:tcW w:w="1846" w:type="dxa"/>
            <w:tcBorders>
              <w:right w:val="single" w:sz="4" w:space="0" w:color="231F20"/>
            </w:tcBorders>
          </w:tcPr>
          <w:p>
            <w:pPr>
              <w:pStyle w:val="TableParagraph"/>
              <w:tabs>
                <w:tab w:pos="1041" w:val="left" w:leader="none"/>
              </w:tabs>
              <w:spacing w:before="159"/>
              <w:ind w:left="262"/>
              <w:rPr>
                <w:sz w:val="16"/>
              </w:rPr>
            </w:pPr>
            <w:r>
              <w:rPr>
                <w:color w:val="231F20"/>
                <w:sz w:val="16"/>
              </w:rPr>
              <w:t>£12.00</w:t>
              <w:tab/>
              <w:t>£3.00</w:t>
            </w:r>
          </w:p>
        </w:tc>
      </w:tr>
      <w:tr>
        <w:trPr>
          <w:trHeight w:val="25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60" w:lineRule="exact" w:before="69"/>
              <w:ind w:left="188"/>
              <w:rPr>
                <w:i/>
                <w:sz w:val="16"/>
              </w:rPr>
            </w:pPr>
            <w:r>
              <w:rPr>
                <w:i/>
                <w:color w:val="231F20"/>
                <w:sz w:val="16"/>
              </w:rPr>
              <w:t>£27.00</w:t>
              <w:tab/>
              <w:t>£6.75</w:t>
            </w:r>
          </w:p>
        </w:tc>
        <w:tc>
          <w:tcPr>
            <w:tcW w:w="1821" w:type="dxa"/>
            <w:tcBorders>
              <w:right w:val="single" w:sz="2" w:space="0" w:color="231F20"/>
            </w:tcBorders>
          </w:tcPr>
          <w:p>
            <w:pPr>
              <w:pStyle w:val="TableParagraph"/>
              <w:tabs>
                <w:tab w:pos="1062" w:val="left" w:leader="none"/>
              </w:tabs>
              <w:spacing w:line="160" w:lineRule="exact" w:before="69"/>
              <w:ind w:left="198"/>
              <w:rPr>
                <w:i/>
                <w:sz w:val="16"/>
              </w:rPr>
            </w:pPr>
            <w:r>
              <w:rPr>
                <w:i/>
                <w:color w:val="231F20"/>
                <w:sz w:val="16"/>
              </w:rPr>
              <w:t>£8.00</w:t>
              <w:tab/>
              <w:t>£2.00</w:t>
            </w:r>
          </w:p>
        </w:tc>
        <w:tc>
          <w:tcPr>
            <w:tcW w:w="2100" w:type="dxa"/>
            <w:tcBorders>
              <w:left w:val="single" w:sz="2" w:space="0" w:color="231F20"/>
            </w:tcBorders>
          </w:tcPr>
          <w:p>
            <w:pPr>
              <w:pStyle w:val="TableParagraph"/>
              <w:tabs>
                <w:tab w:pos="1416" w:val="left" w:leader="none"/>
              </w:tabs>
              <w:spacing w:line="160" w:lineRule="exact" w:before="69"/>
              <w:ind w:left="519"/>
              <w:rPr>
                <w:i/>
                <w:sz w:val="16"/>
              </w:rPr>
            </w:pPr>
            <w:r>
              <w:rPr>
                <w:i/>
                <w:color w:val="231F20"/>
                <w:sz w:val="16"/>
              </w:rPr>
              <w:t>£27.00</w:t>
              <w:tab/>
              <w:t>£6.75</w:t>
            </w:r>
          </w:p>
        </w:tc>
        <w:tc>
          <w:tcPr>
            <w:tcW w:w="1846" w:type="dxa"/>
            <w:tcBorders>
              <w:right w:val="single" w:sz="4" w:space="0" w:color="231F20"/>
            </w:tcBorders>
          </w:tcPr>
          <w:p>
            <w:pPr>
              <w:pStyle w:val="TableParagraph"/>
              <w:tabs>
                <w:tab w:pos="1041" w:val="left" w:leader="none"/>
              </w:tabs>
              <w:spacing w:line="160" w:lineRule="exact" w:before="69"/>
              <w:ind w:left="302"/>
              <w:rPr>
                <w:i/>
                <w:sz w:val="16"/>
              </w:rPr>
            </w:pPr>
            <w:r>
              <w:rPr>
                <w:i/>
                <w:color w:val="231F20"/>
                <w:sz w:val="16"/>
              </w:rPr>
              <w:t>£8.00</w:t>
              <w:tab/>
              <w:t>£2.00</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74" w:lineRule="exact"/>
              <w:ind w:left="188"/>
              <w:rPr>
                <w:i/>
                <w:sz w:val="16"/>
              </w:rPr>
            </w:pPr>
            <w:r>
              <w:rPr>
                <w:i/>
                <w:color w:val="231F20"/>
                <w:sz w:val="16"/>
              </w:rPr>
              <w:t>£14.00</w:t>
              <w:tab/>
              <w:t>£3.50</w:t>
            </w:r>
          </w:p>
        </w:tc>
        <w:tc>
          <w:tcPr>
            <w:tcW w:w="1821" w:type="dxa"/>
            <w:tcBorders>
              <w:right w:val="single" w:sz="2" w:space="0" w:color="231F20"/>
            </w:tcBorders>
          </w:tcPr>
          <w:p>
            <w:pPr>
              <w:pStyle w:val="TableParagraph"/>
              <w:tabs>
                <w:tab w:pos="1062" w:val="left" w:leader="none"/>
              </w:tabs>
              <w:spacing w:line="174" w:lineRule="exact"/>
              <w:ind w:left="198"/>
              <w:rPr>
                <w:i/>
                <w:sz w:val="16"/>
              </w:rPr>
            </w:pPr>
            <w:r>
              <w:rPr>
                <w:i/>
                <w:color w:val="231F20"/>
                <w:sz w:val="16"/>
              </w:rPr>
              <w:t>£4.50</w:t>
              <w:tab/>
              <w:t>£1.50</w:t>
            </w:r>
          </w:p>
        </w:tc>
        <w:tc>
          <w:tcPr>
            <w:tcW w:w="2100" w:type="dxa"/>
            <w:tcBorders>
              <w:left w:val="single" w:sz="2" w:space="0" w:color="231F20"/>
            </w:tcBorders>
          </w:tcPr>
          <w:p>
            <w:pPr>
              <w:pStyle w:val="TableParagraph"/>
              <w:tabs>
                <w:tab w:pos="1415" w:val="left" w:leader="none"/>
              </w:tabs>
              <w:spacing w:line="174" w:lineRule="exact"/>
              <w:ind w:left="519"/>
              <w:rPr>
                <w:i/>
                <w:sz w:val="16"/>
              </w:rPr>
            </w:pPr>
            <w:r>
              <w:rPr>
                <w:i/>
                <w:color w:val="231F20"/>
                <w:sz w:val="16"/>
              </w:rPr>
              <w:t>£14.00</w:t>
              <w:tab/>
              <w:t>£3.50</w:t>
            </w:r>
          </w:p>
        </w:tc>
        <w:tc>
          <w:tcPr>
            <w:tcW w:w="1846" w:type="dxa"/>
            <w:tcBorders>
              <w:right w:val="single" w:sz="4" w:space="0" w:color="231F20"/>
            </w:tcBorders>
          </w:tcPr>
          <w:p>
            <w:pPr>
              <w:pStyle w:val="TableParagraph"/>
              <w:tabs>
                <w:tab w:pos="1041" w:val="left" w:leader="none"/>
              </w:tabs>
              <w:spacing w:line="174" w:lineRule="exact"/>
              <w:ind w:left="301"/>
              <w:rPr>
                <w:i/>
                <w:sz w:val="16"/>
              </w:rPr>
            </w:pPr>
            <w:r>
              <w:rPr>
                <w:i/>
                <w:color w:val="231F20"/>
                <w:sz w:val="16"/>
              </w:rPr>
              <w:t>£4.50</w:t>
              <w:tab/>
              <w:t>£1.50</w:t>
            </w:r>
          </w:p>
        </w:tc>
      </w:tr>
      <w:tr>
        <w:trPr>
          <w:trHeight w:val="60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before="8"/>
              <w:rPr>
                <w:sz w:val="21"/>
              </w:rPr>
            </w:pPr>
          </w:p>
          <w:p>
            <w:pPr>
              <w:pStyle w:val="TableParagraph"/>
              <w:tabs>
                <w:tab w:pos="1056" w:val="left" w:leader="none"/>
              </w:tabs>
              <w:ind w:left="188"/>
              <w:rPr>
                <w:sz w:val="16"/>
              </w:rPr>
            </w:pPr>
            <w:r>
              <w:rPr>
                <w:color w:val="231F20"/>
                <w:sz w:val="16"/>
              </w:rPr>
              <w:t>£48.00</w:t>
              <w:tab/>
              <w:t>£12.00</w:t>
            </w:r>
          </w:p>
        </w:tc>
        <w:tc>
          <w:tcPr>
            <w:tcW w:w="1821" w:type="dxa"/>
            <w:tcBorders>
              <w:right w:val="single" w:sz="2" w:space="0" w:color="231F20"/>
            </w:tcBorders>
          </w:tcPr>
          <w:p>
            <w:pPr>
              <w:pStyle w:val="TableParagraph"/>
              <w:spacing w:before="8"/>
              <w:rPr>
                <w:sz w:val="21"/>
              </w:rPr>
            </w:pPr>
          </w:p>
          <w:p>
            <w:pPr>
              <w:pStyle w:val="TableParagraph"/>
              <w:tabs>
                <w:tab w:pos="1062" w:val="left" w:leader="none"/>
              </w:tabs>
              <w:ind w:left="118"/>
              <w:rPr>
                <w:sz w:val="16"/>
              </w:rPr>
            </w:pPr>
            <w:r>
              <w:rPr>
                <w:color w:val="231F20"/>
                <w:sz w:val="16"/>
              </w:rPr>
              <w:t>£14.00</w:t>
              <w:tab/>
              <w:t>£3.50</w:t>
            </w:r>
          </w:p>
        </w:tc>
        <w:tc>
          <w:tcPr>
            <w:tcW w:w="2100" w:type="dxa"/>
            <w:tcBorders>
              <w:left w:val="single" w:sz="2" w:space="0" w:color="231F20"/>
            </w:tcBorders>
          </w:tcPr>
          <w:p>
            <w:pPr>
              <w:pStyle w:val="TableParagraph"/>
              <w:spacing w:before="8"/>
              <w:rPr>
                <w:sz w:val="21"/>
              </w:rPr>
            </w:pPr>
          </w:p>
          <w:p>
            <w:pPr>
              <w:pStyle w:val="TableParagraph"/>
              <w:tabs>
                <w:tab w:pos="1376" w:val="left" w:leader="none"/>
              </w:tabs>
              <w:ind w:left="519"/>
              <w:rPr>
                <w:sz w:val="16"/>
              </w:rPr>
            </w:pPr>
            <w:r>
              <w:rPr>
                <w:color w:val="231F20"/>
                <w:sz w:val="16"/>
              </w:rPr>
              <w:t>£48.00</w:t>
              <w:tab/>
              <w:t>£12.00</w:t>
            </w:r>
          </w:p>
        </w:tc>
        <w:tc>
          <w:tcPr>
            <w:tcW w:w="1846" w:type="dxa"/>
            <w:tcBorders>
              <w:right w:val="single" w:sz="4" w:space="0" w:color="231F20"/>
            </w:tcBorders>
          </w:tcPr>
          <w:p>
            <w:pPr>
              <w:pStyle w:val="TableParagraph"/>
              <w:spacing w:before="8"/>
              <w:rPr>
                <w:sz w:val="21"/>
              </w:rPr>
            </w:pPr>
          </w:p>
          <w:p>
            <w:pPr>
              <w:pStyle w:val="TableParagraph"/>
              <w:tabs>
                <w:tab w:pos="1041" w:val="left" w:leader="none"/>
              </w:tabs>
              <w:ind w:left="262"/>
              <w:rPr>
                <w:sz w:val="16"/>
              </w:rPr>
            </w:pPr>
            <w:r>
              <w:rPr>
                <w:color w:val="231F20"/>
                <w:sz w:val="16"/>
              </w:rPr>
              <w:t>£14.00</w:t>
              <w:tab/>
              <w:t>£3.50</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£48.00</w:t>
              <w:tab/>
              <w:t>£12.00</w:t>
            </w:r>
          </w:p>
        </w:tc>
        <w:tc>
          <w:tcPr>
            <w:tcW w:w="1821" w:type="dxa"/>
            <w:tcBorders>
              <w:right w:val="single" w:sz="2" w:space="0" w:color="231F20"/>
            </w:tcBorders>
          </w:tcPr>
          <w:p>
            <w:pPr>
              <w:pStyle w:val="TableParagraph"/>
              <w:tabs>
                <w:tab w:pos="1062" w:val="left" w:leader="none"/>
              </w:tabs>
              <w:spacing w:before="159"/>
              <w:ind w:left="118"/>
              <w:rPr>
                <w:sz w:val="16"/>
              </w:rPr>
            </w:pPr>
            <w:r>
              <w:rPr>
                <w:color w:val="231F20"/>
                <w:sz w:val="16"/>
              </w:rPr>
              <w:t>£14.00</w:t>
              <w:tab/>
              <w:t>£3.50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£48.00</w:t>
              <w:tab/>
              <w:t>£12.00</w:t>
            </w:r>
          </w:p>
        </w:tc>
        <w:tc>
          <w:tcPr>
            <w:tcW w:w="1846" w:type="dxa"/>
            <w:tcBorders>
              <w:right w:val="single" w:sz="4" w:space="0" w:color="231F20"/>
            </w:tcBorders>
          </w:tcPr>
          <w:p>
            <w:pPr>
              <w:pStyle w:val="TableParagraph"/>
              <w:tabs>
                <w:tab w:pos="1041" w:val="left" w:leader="none"/>
              </w:tabs>
              <w:spacing w:before="159"/>
              <w:ind w:left="262"/>
              <w:rPr>
                <w:sz w:val="16"/>
              </w:rPr>
            </w:pPr>
            <w:r>
              <w:rPr>
                <w:color w:val="231F20"/>
                <w:sz w:val="16"/>
              </w:rPr>
              <w:t>£14.00</w:t>
              <w:tab/>
              <w:t>£3.50</w:t>
            </w:r>
          </w:p>
        </w:tc>
      </w:tr>
      <w:tr>
        <w:trPr>
          <w:trHeight w:val="3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69"/>
              <w:ind w:left="188"/>
              <w:rPr>
                <w:sz w:val="16"/>
              </w:rPr>
            </w:pPr>
            <w:r>
              <w:rPr>
                <w:color w:val="231F20"/>
                <w:sz w:val="16"/>
              </w:rPr>
              <w:t>£64.00</w:t>
              <w:tab/>
              <w:t>£16.00</w:t>
            </w:r>
          </w:p>
        </w:tc>
        <w:tc>
          <w:tcPr>
            <w:tcW w:w="1821" w:type="dxa"/>
            <w:tcBorders>
              <w:right w:val="single" w:sz="2" w:space="0" w:color="231F20"/>
            </w:tcBorders>
          </w:tcPr>
          <w:p>
            <w:pPr>
              <w:pStyle w:val="TableParagraph"/>
              <w:tabs>
                <w:tab w:pos="1062" w:val="left" w:leader="none"/>
              </w:tabs>
              <w:spacing w:before="69"/>
              <w:ind w:left="118"/>
              <w:rPr>
                <w:sz w:val="16"/>
              </w:rPr>
            </w:pPr>
            <w:r>
              <w:rPr>
                <w:color w:val="231F20"/>
                <w:sz w:val="16"/>
              </w:rPr>
              <w:t>£21.00</w:t>
              <w:tab/>
              <w:t>£5.25</w:t>
            </w:r>
          </w:p>
        </w:tc>
        <w:tc>
          <w:tcPr>
            <w:tcW w:w="2100" w:type="dxa"/>
            <w:tcBorders>
              <w:left w:val="single" w:sz="2" w:space="0" w:color="231F20"/>
            </w:tcBorders>
          </w:tcPr>
          <w:p>
            <w:pPr>
              <w:pStyle w:val="TableParagraph"/>
              <w:tabs>
                <w:tab w:pos="1376" w:val="left" w:leader="none"/>
              </w:tabs>
              <w:spacing w:before="69"/>
              <w:ind w:left="519"/>
              <w:rPr>
                <w:sz w:val="16"/>
              </w:rPr>
            </w:pPr>
            <w:r>
              <w:rPr>
                <w:color w:val="231F20"/>
                <w:sz w:val="16"/>
              </w:rPr>
              <w:t>£64.00</w:t>
              <w:tab/>
              <w:t>£16.00</w:t>
            </w:r>
          </w:p>
        </w:tc>
        <w:tc>
          <w:tcPr>
            <w:tcW w:w="1846" w:type="dxa"/>
            <w:tcBorders>
              <w:right w:val="single" w:sz="4" w:space="0" w:color="231F20"/>
            </w:tcBorders>
          </w:tcPr>
          <w:p>
            <w:pPr>
              <w:pStyle w:val="TableParagraph"/>
              <w:tabs>
                <w:tab w:pos="1041" w:val="left" w:leader="none"/>
              </w:tabs>
              <w:spacing w:before="69"/>
              <w:ind w:left="262"/>
              <w:rPr>
                <w:sz w:val="16"/>
              </w:rPr>
            </w:pPr>
            <w:r>
              <w:rPr>
                <w:color w:val="231F20"/>
                <w:sz w:val="16"/>
              </w:rPr>
              <w:t>£21.00</w:t>
              <w:tab/>
              <w:t>£5.25</w:t>
            </w:r>
          </w:p>
        </w:tc>
      </w:tr>
      <w:tr>
        <w:trPr>
          <w:trHeight w:val="347"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bottom w:val="single" w:sz="4" w:space="0" w:color="231F20"/>
            </w:tcBorders>
          </w:tcPr>
          <w:p>
            <w:pPr>
              <w:pStyle w:val="TableParagraph"/>
              <w:tabs>
                <w:tab w:pos="1056" w:val="left" w:leader="none"/>
              </w:tabs>
              <w:spacing w:before="69"/>
              <w:ind w:left="188"/>
              <w:rPr>
                <w:sz w:val="16"/>
              </w:rPr>
            </w:pPr>
            <w:r>
              <w:rPr>
                <w:color w:val="231F20"/>
                <w:sz w:val="16"/>
              </w:rPr>
              <w:t>£66.00</w:t>
              <w:tab/>
              <w:t>£16.50</w:t>
            </w:r>
          </w:p>
        </w:tc>
        <w:tc>
          <w:tcPr>
            <w:tcW w:w="1821" w:type="dxa"/>
            <w:tcBorders>
              <w:bottom w:val="single" w:sz="4" w:space="0" w:color="231F20"/>
              <w:right w:val="single" w:sz="2" w:space="0" w:color="231F20"/>
            </w:tcBorders>
          </w:tcPr>
          <w:p>
            <w:pPr>
              <w:pStyle w:val="TableParagraph"/>
              <w:tabs>
                <w:tab w:pos="1062" w:val="left" w:leader="none"/>
              </w:tabs>
              <w:spacing w:before="69"/>
              <w:ind w:left="118"/>
              <w:rPr>
                <w:sz w:val="16"/>
              </w:rPr>
            </w:pPr>
            <w:r>
              <w:rPr>
                <w:color w:val="231F20"/>
                <w:sz w:val="16"/>
              </w:rPr>
              <w:t>£22.00</w:t>
              <w:tab/>
              <w:t>£5.50</w:t>
            </w:r>
          </w:p>
        </w:tc>
        <w:tc>
          <w:tcPr>
            <w:tcW w:w="2100" w:type="dxa"/>
            <w:tcBorders>
              <w:left w:val="single" w:sz="2" w:space="0" w:color="231F20"/>
              <w:bottom w:val="single" w:sz="4" w:space="0" w:color="231F20"/>
            </w:tcBorders>
          </w:tcPr>
          <w:p>
            <w:pPr>
              <w:pStyle w:val="TableParagraph"/>
              <w:tabs>
                <w:tab w:pos="1376" w:val="left" w:leader="none"/>
              </w:tabs>
              <w:spacing w:before="69"/>
              <w:ind w:left="519"/>
              <w:rPr>
                <w:sz w:val="16"/>
              </w:rPr>
            </w:pPr>
            <w:r>
              <w:rPr>
                <w:color w:val="231F20"/>
                <w:sz w:val="16"/>
              </w:rPr>
              <w:t>£66.00</w:t>
              <w:tab/>
              <w:t>£16.50</w:t>
            </w:r>
          </w:p>
        </w:tc>
        <w:tc>
          <w:tcPr>
            <w:tcW w:w="1846" w:type="dxa"/>
            <w:tcBorders>
              <w:bottom w:val="single" w:sz="4" w:space="0" w:color="231F20"/>
              <w:right w:val="single" w:sz="4" w:space="0" w:color="231F20"/>
            </w:tcBorders>
          </w:tcPr>
          <w:p>
            <w:pPr>
              <w:pStyle w:val="TableParagraph"/>
              <w:tabs>
                <w:tab w:pos="1041" w:val="left" w:leader="none"/>
              </w:tabs>
              <w:spacing w:before="69"/>
              <w:ind w:left="262"/>
              <w:rPr>
                <w:sz w:val="16"/>
              </w:rPr>
            </w:pPr>
            <w:r>
              <w:rPr>
                <w:color w:val="231F20"/>
                <w:sz w:val="16"/>
              </w:rPr>
              <w:t>£22.00</w:t>
              <w:tab/>
              <w:t>£5.50</w:t>
            </w:r>
          </w:p>
        </w:tc>
      </w:tr>
    </w:tbl>
    <w:p>
      <w:pPr>
        <w:pStyle w:val="ListParagraph"/>
        <w:numPr>
          <w:ilvl w:val="0"/>
          <w:numId w:val="48"/>
        </w:numPr>
        <w:tabs>
          <w:tab w:pos="386" w:val="left" w:leader="none"/>
        </w:tabs>
        <w:spacing w:line="150" w:lineRule="exact" w:before="11" w:after="0"/>
        <w:ind w:left="385" w:right="0" w:hanging="225"/>
        <w:jc w:val="left"/>
        <w:rPr>
          <w:sz w:val="14"/>
        </w:rPr>
      </w:pPr>
      <w:r>
        <w:rPr>
          <w:color w:val="231F20"/>
          <w:sz w:val="14"/>
        </w:rPr>
        <w:t>There is a 25% discount if five copies or more are purchased.</w:t>
      </w:r>
    </w:p>
    <w:p>
      <w:pPr>
        <w:pStyle w:val="ListParagraph"/>
        <w:numPr>
          <w:ilvl w:val="0"/>
          <w:numId w:val="48"/>
        </w:numPr>
        <w:tabs>
          <w:tab w:pos="386" w:val="left" w:leader="none"/>
        </w:tabs>
        <w:spacing w:line="208" w:lineRule="auto" w:before="6" w:after="0"/>
        <w:ind w:left="385" w:right="445" w:hanging="224"/>
        <w:jc w:val="left"/>
        <w:rPr>
          <w:sz w:val="14"/>
        </w:rPr>
      </w:pPr>
      <w:r>
        <w:rPr>
          <w:color w:val="231F20"/>
          <w:sz w:val="14"/>
        </w:rPr>
        <w:t>Subscribers who wish to collect their copy(ies) of the </w:t>
      </w:r>
      <w:r>
        <w:rPr>
          <w:i/>
          <w:color w:val="231F20"/>
          <w:sz w:val="14"/>
        </w:rPr>
        <w:t>Bulletin </w:t>
      </w:r>
      <w:r>
        <w:rPr>
          <w:color w:val="231F20"/>
          <w:sz w:val="14"/>
        </w:rPr>
        <w:t>and/or </w:t>
      </w:r>
      <w:r>
        <w:rPr>
          <w:i/>
          <w:color w:val="231F20"/>
          <w:sz w:val="14"/>
        </w:rPr>
        <w:t>Inflation Report </w:t>
      </w:r>
      <w:r>
        <w:rPr>
          <w:color w:val="231F20"/>
          <w:sz w:val="14"/>
        </w:rPr>
        <w:t>may make arrangements to do so by writing to the address given below. Copies will </w:t>
      </w:r>
      <w:r>
        <w:rPr>
          <w:color w:val="231F20"/>
          <w:spacing w:val="-8"/>
          <w:sz w:val="14"/>
        </w:rPr>
        <w:t>be </w:t>
      </w:r>
      <w:r>
        <w:rPr>
          <w:color w:val="231F20"/>
          <w:sz w:val="14"/>
        </w:rPr>
        <w:t>available to personal callers at the Bank from 10.30 am on the day of issue and from 8.30 am on the following day.</w:t>
      </w:r>
    </w:p>
    <w:p>
      <w:pPr>
        <w:pStyle w:val="ListParagraph"/>
        <w:numPr>
          <w:ilvl w:val="0"/>
          <w:numId w:val="48"/>
        </w:numPr>
        <w:tabs>
          <w:tab w:pos="386" w:val="left" w:leader="none"/>
        </w:tabs>
        <w:spacing w:line="133" w:lineRule="exact" w:before="0" w:after="0"/>
        <w:ind w:left="385" w:right="0" w:hanging="225"/>
        <w:jc w:val="left"/>
        <w:rPr>
          <w:sz w:val="14"/>
        </w:rPr>
      </w:pPr>
      <w:r>
        <w:rPr>
          <w:color w:val="231F20"/>
          <w:sz w:val="14"/>
        </w:rPr>
        <w:t>All other countries other than those in Zone 2.</w:t>
      </w:r>
    </w:p>
    <w:p>
      <w:pPr>
        <w:pStyle w:val="ListParagraph"/>
        <w:numPr>
          <w:ilvl w:val="0"/>
          <w:numId w:val="48"/>
        </w:numPr>
        <w:tabs>
          <w:tab w:pos="386" w:val="left" w:leader="none"/>
        </w:tabs>
        <w:spacing w:line="150" w:lineRule="exact" w:before="0" w:after="0"/>
        <w:ind w:left="385" w:right="0" w:hanging="225"/>
        <w:jc w:val="left"/>
        <w:rPr>
          <w:sz w:val="14"/>
        </w:rPr>
      </w:pPr>
      <w:r>
        <w:rPr>
          <w:color w:val="231F20"/>
          <w:sz w:val="14"/>
        </w:rPr>
        <w:t>Australasia, Japan, China, The Philippines and Korea.</w:t>
      </w:r>
    </w:p>
    <w:p>
      <w:pPr>
        <w:spacing w:line="249" w:lineRule="auto" w:before="143"/>
        <w:ind w:left="145" w:right="177" w:firstLine="0"/>
        <w:jc w:val="left"/>
        <w:rPr>
          <w:sz w:val="20"/>
        </w:rPr>
      </w:pPr>
      <w:r>
        <w:rPr>
          <w:color w:val="231F20"/>
          <w:sz w:val="20"/>
        </w:rPr>
        <w:t>Readers who wish to become </w:t>
      </w:r>
      <w:r>
        <w:rPr>
          <w:b/>
          <w:color w:val="231F20"/>
          <w:sz w:val="20"/>
        </w:rPr>
        <w:t>regular subscribers</w:t>
      </w:r>
      <w:r>
        <w:rPr>
          <w:color w:val="231F20"/>
          <w:sz w:val="20"/>
        </w:rPr>
        <w:t>, or who wish to purchase single copies, should send to the Bank, at the address given below, the appropriate remittance, payable to the Bank of England, together with full address details, including the name, or position, of recipients in companies or institutions.  Existing subscribers will be invited to renew their subscriptions automatically. Copies of the above publications can also be obtained over the counter at the Bank’s front </w:t>
      </w:r>
      <w:r>
        <w:rPr>
          <w:color w:val="231F20"/>
          <w:spacing w:val="-4"/>
          <w:sz w:val="20"/>
        </w:rPr>
        <w:t>entrance </w:t>
      </w:r>
      <w:r>
        <w:rPr>
          <w:color w:val="231F20"/>
          <w:sz w:val="20"/>
        </w:rPr>
        <w:t>or at the Bank Museum in Bartholomew Lane; and copies of the most recent </w:t>
      </w:r>
      <w:r>
        <w:rPr>
          <w:i/>
          <w:color w:val="231F20"/>
          <w:sz w:val="20"/>
        </w:rPr>
        <w:t>Inflation Report </w:t>
      </w:r>
      <w:r>
        <w:rPr>
          <w:color w:val="231F20"/>
          <w:sz w:val="20"/>
        </w:rPr>
        <w:t>are on sale at selected</w:t>
      </w:r>
      <w:r>
        <w:rPr>
          <w:color w:val="231F20"/>
          <w:spacing w:val="-2"/>
          <w:sz w:val="20"/>
        </w:rPr>
        <w:t> </w:t>
      </w:r>
      <w:r>
        <w:rPr>
          <w:color w:val="231F20"/>
          <w:sz w:val="20"/>
        </w:rPr>
        <w:t>bookshops.</w:t>
      </w:r>
    </w:p>
    <w:p>
      <w:pPr>
        <w:spacing w:line="249" w:lineRule="auto" w:before="184"/>
        <w:ind w:left="145" w:right="144" w:firstLine="0"/>
        <w:jc w:val="left"/>
        <w:rPr>
          <w:sz w:val="20"/>
        </w:rPr>
      </w:pPr>
      <w:r>
        <w:rPr>
          <w:color w:val="231F20"/>
          <w:sz w:val="20"/>
        </w:rPr>
        <w:t>The </w:t>
      </w:r>
      <w:r>
        <w:rPr>
          <w:b/>
          <w:color w:val="231F20"/>
          <w:sz w:val="20"/>
        </w:rPr>
        <w:t>concessionary rates </w:t>
      </w:r>
      <w:r>
        <w:rPr>
          <w:color w:val="231F20"/>
          <w:sz w:val="20"/>
        </w:rPr>
        <w:t>for the combined </w:t>
      </w:r>
      <w:r>
        <w:rPr>
          <w:i/>
          <w:color w:val="231F20"/>
          <w:sz w:val="20"/>
        </w:rPr>
        <w:t>Quarterly Bulletin/Inflation Report </w:t>
      </w:r>
      <w:r>
        <w:rPr>
          <w:color w:val="231F20"/>
          <w:sz w:val="20"/>
        </w:rPr>
        <w:t>package and the separate </w:t>
      </w:r>
      <w:r>
        <w:rPr>
          <w:i/>
          <w:color w:val="231F20"/>
          <w:sz w:val="20"/>
        </w:rPr>
        <w:t>Inflation Report </w:t>
      </w:r>
      <w:r>
        <w:rPr>
          <w:color w:val="231F20"/>
          <w:sz w:val="20"/>
        </w:rPr>
        <w:t>are noted above in </w:t>
      </w:r>
      <w:r>
        <w:rPr>
          <w:i/>
          <w:color w:val="231F20"/>
          <w:sz w:val="20"/>
        </w:rPr>
        <w:t>italics</w:t>
      </w:r>
      <w:r>
        <w:rPr>
          <w:color w:val="231F20"/>
          <w:sz w:val="20"/>
        </w:rPr>
        <w:t>. </w:t>
      </w:r>
      <w:r>
        <w:rPr>
          <w:b/>
          <w:color w:val="231F20"/>
          <w:sz w:val="20"/>
        </w:rPr>
        <w:t>Academics at UK institutions </w:t>
      </w:r>
      <w:r>
        <w:rPr>
          <w:color w:val="231F20"/>
          <w:sz w:val="20"/>
        </w:rPr>
        <w:t>of further and higher education are now entitled to a concessionary rate. They should apply on their institution’s note paper giving details of their current post.</w:t>
      </w:r>
    </w:p>
    <w:p>
      <w:pPr>
        <w:spacing w:line="249" w:lineRule="auto" w:before="183"/>
        <w:ind w:left="145" w:right="144" w:firstLine="0"/>
        <w:jc w:val="left"/>
        <w:rPr>
          <w:sz w:val="20"/>
        </w:rPr>
      </w:pPr>
      <w:r>
        <w:rPr>
          <w:color w:val="231F20"/>
          <w:sz w:val="20"/>
        </w:rPr>
        <w:t>S</w:t>
      </w:r>
      <w:r>
        <w:rPr>
          <w:b/>
          <w:color w:val="231F20"/>
          <w:sz w:val="20"/>
        </w:rPr>
        <w:t>tudents and secondary schools in the United Kingdom </w:t>
      </w:r>
      <w:r>
        <w:rPr>
          <w:color w:val="231F20"/>
          <w:sz w:val="20"/>
        </w:rPr>
        <w:t>are also entitled to a concessionary rate. Requests for concessionary copies should be accompanied by an explanatory letter: students should provide details of their course and the institution at which they are studying.</w:t>
      </w:r>
    </w:p>
    <w:p>
      <w:pPr>
        <w:spacing w:line="249" w:lineRule="auto" w:before="182"/>
        <w:ind w:left="145" w:right="203" w:firstLine="0"/>
        <w:jc w:val="left"/>
        <w:rPr>
          <w:sz w:val="20"/>
        </w:rPr>
      </w:pPr>
      <w:r>
        <w:rPr>
          <w:color w:val="231F20"/>
          <w:sz w:val="20"/>
        </w:rPr>
        <w:t>The </w:t>
      </w:r>
      <w:r>
        <w:rPr>
          <w:i/>
          <w:color w:val="231F20"/>
          <w:sz w:val="20"/>
        </w:rPr>
        <w:t>Quarterly Bulletin </w:t>
      </w:r>
      <w:r>
        <w:rPr>
          <w:color w:val="231F20"/>
          <w:sz w:val="20"/>
        </w:rPr>
        <w:t>is also available on microfilm: enquiries from customers in Japan and North and South America should be addressed to University Microfilms International, 300 North Zeeb Road, Ann Arbor, Michigan 48106, United States of America; customers from all other countries should apply to White Swan House, Godstone, Surrey, RH9 8LW, telephone 01444 445000.</w:t>
      </w:r>
    </w:p>
    <w:p>
      <w:pPr>
        <w:spacing w:line="249" w:lineRule="auto" w:before="183"/>
        <w:ind w:left="145" w:right="703" w:firstLine="0"/>
        <w:jc w:val="both"/>
        <w:rPr>
          <w:sz w:val="20"/>
        </w:rPr>
      </w:pPr>
      <w:r>
        <w:rPr>
          <w:color w:val="231F20"/>
          <w:sz w:val="20"/>
        </w:rPr>
        <w:t>Bound volumes of the </w:t>
      </w:r>
      <w:r>
        <w:rPr>
          <w:i/>
          <w:color w:val="231F20"/>
          <w:sz w:val="20"/>
        </w:rPr>
        <w:t>Quarterly Bulletin </w:t>
      </w:r>
      <w:r>
        <w:rPr>
          <w:color w:val="231F20"/>
          <w:sz w:val="20"/>
        </w:rPr>
        <w:t>for the period 1960 to 1985 (in reprint form for the period 1960 to 1980) can be obtained from Schmidt Periodicals GmbH, Dettendorf, D-83075 Bad Feilnbach 2, Germany, at a price of DM 180.00 per volume or DM 4,100.00 per set.</w:t>
      </w:r>
    </w:p>
    <w:p>
      <w:pPr>
        <w:pStyle w:val="BodyText"/>
        <w:spacing w:before="7"/>
        <w:rPr>
          <w:sz w:val="17"/>
        </w:rPr>
      </w:pPr>
    </w:p>
    <w:p>
      <w:pPr>
        <w:spacing w:line="249" w:lineRule="auto" w:before="0"/>
        <w:ind w:left="145" w:right="1079" w:firstLine="0"/>
        <w:jc w:val="left"/>
        <w:rPr>
          <w:b/>
          <w:sz w:val="20"/>
        </w:rPr>
      </w:pPr>
      <w:r>
        <w:rPr>
          <w:b/>
          <w:color w:val="231F20"/>
          <w:sz w:val="18"/>
        </w:rPr>
        <w:t>I</w:t>
      </w:r>
      <w:r>
        <w:rPr>
          <w:b/>
          <w:color w:val="231F20"/>
          <w:sz w:val="20"/>
        </w:rPr>
        <w:t>ssued by the Publications Group, Inflation Report Division, Bank of England, London, EC2R 8AH; </w:t>
      </w:r>
      <w:hyperlink r:id="rId99">
        <w:r>
          <w:rPr>
            <w:b/>
            <w:color w:val="231F20"/>
            <w:sz w:val="20"/>
          </w:rPr>
          <w:t>telephone 0171-601 4030; email mapublications@bankofengland.co.uk.</w:t>
        </w:r>
      </w:hyperlink>
      <w:r>
        <w:rPr>
          <w:b/>
          <w:color w:val="231F20"/>
          <w:sz w:val="20"/>
        </w:rPr>
        <w:t> The Bank’s Internet pages are at</w:t>
      </w:r>
    </w:p>
    <w:p>
      <w:pPr>
        <w:spacing w:line="228" w:lineRule="exact" w:before="2"/>
        <w:ind w:left="145" w:right="0" w:firstLine="0"/>
        <w:jc w:val="left"/>
        <w:rPr>
          <w:b/>
          <w:sz w:val="20"/>
        </w:rPr>
      </w:pPr>
      <w:hyperlink r:id="rId100">
        <w:r>
          <w:rPr>
            <w:b/>
            <w:color w:val="231F20"/>
            <w:sz w:val="20"/>
          </w:rPr>
          <w:t>http://www.bankofengland.co.uk.</w:t>
        </w:r>
      </w:hyperlink>
      <w:r>
        <w:rPr>
          <w:b/>
          <w:color w:val="231F20"/>
          <w:sz w:val="20"/>
        </w:rPr>
        <w:t> General enquiries about the Bank of England should be made to 0171-601 4444.</w:t>
      </w:r>
    </w:p>
    <w:p>
      <w:pPr>
        <w:pStyle w:val="BodyText"/>
        <w:tabs>
          <w:tab w:pos="10304" w:val="left" w:leader="none"/>
        </w:tabs>
        <w:spacing w:line="190" w:lineRule="exact"/>
        <w:ind w:left="145"/>
      </w:pPr>
      <w:r>
        <w:rPr>
          <w:rFonts w:ascii="Wingdings" w:hAnsi="Wingdings"/>
          <w:color w:val="231F20"/>
        </w:rPr>
        <w:t></w:t>
      </w:r>
      <w:r>
        <w:rPr>
          <w:color w:val="231F20"/>
          <w:spacing w:val="36"/>
        </w:rPr>
        <w:t> </w:t>
      </w:r>
      <w:r>
        <w:rPr>
          <w:rFonts w:ascii="Wingdings" w:hAnsi="Wingdings"/>
          <w:color w:val="231F20"/>
          <w:u w:val="dotted" w:color="231F20"/>
        </w:rPr>
        <w:t></w:t>
      </w:r>
      <w:r>
        <w:rPr>
          <w:color w:val="231F20"/>
          <w:u w:val="dotted" w:color="231F20"/>
        </w:rPr>
        <w:tab/>
      </w:r>
    </w:p>
    <w:p>
      <w:pPr>
        <w:tabs>
          <w:tab w:pos="1092" w:val="left" w:leader="none"/>
          <w:tab w:pos="5607" w:val="left" w:leader="none"/>
          <w:tab w:pos="5865" w:val="left" w:leader="none"/>
        </w:tabs>
        <w:spacing w:line="195" w:lineRule="exact" w:before="42"/>
        <w:ind w:left="145" w:right="0" w:firstLine="0"/>
        <w:jc w:val="left"/>
        <w:rPr>
          <w:i/>
          <w:sz w:val="20"/>
        </w:rPr>
      </w:pPr>
      <w:r>
        <w:rPr>
          <w:color w:val="231F20"/>
          <w:sz w:val="20"/>
        </w:rPr>
        <w:t>Name:</w:t>
        <w:tab/>
      </w:r>
      <w:r>
        <w:rPr>
          <w:color w:val="231F20"/>
          <w:sz w:val="20"/>
          <w:u w:val="dotted" w:color="231F20"/>
        </w:rPr>
        <w:t> </w:t>
        <w:tab/>
      </w:r>
      <w:r>
        <w:rPr>
          <w:color w:val="231F20"/>
          <w:sz w:val="20"/>
        </w:rPr>
        <w:tab/>
        <w:t>Publication:  </w:t>
      </w:r>
      <w:r>
        <w:rPr>
          <w:i/>
          <w:color w:val="231F20"/>
          <w:sz w:val="20"/>
        </w:rPr>
        <w:t>Inflation Report </w:t>
      </w:r>
      <w:r>
        <w:rPr>
          <w:color w:val="231F20"/>
          <w:sz w:val="20"/>
        </w:rPr>
        <w:t>and/or </w:t>
      </w:r>
      <w:r>
        <w:rPr>
          <w:i/>
          <w:color w:val="231F20"/>
          <w:sz w:val="20"/>
        </w:rPr>
        <w:t>Quarterly</w:t>
      </w:r>
      <w:r>
        <w:rPr>
          <w:i/>
          <w:color w:val="231F20"/>
          <w:spacing w:val="-2"/>
          <w:sz w:val="20"/>
        </w:rPr>
        <w:t> </w:t>
      </w:r>
      <w:r>
        <w:rPr>
          <w:i/>
          <w:color w:val="231F20"/>
          <w:sz w:val="20"/>
        </w:rPr>
        <w:t>Bulletin</w:t>
      </w:r>
    </w:p>
    <w:p>
      <w:pPr>
        <w:spacing w:line="195" w:lineRule="exact" w:before="0"/>
        <w:ind w:left="6015" w:right="0" w:firstLine="0"/>
        <w:jc w:val="left"/>
        <w:rPr>
          <w:sz w:val="20"/>
        </w:rPr>
      </w:pPr>
      <w:r>
        <w:rPr>
          <w:color w:val="231F20"/>
          <w:sz w:val="20"/>
        </w:rPr>
        <w:t>package (delete as appropriate)</w:t>
      </w:r>
    </w:p>
    <w:p>
      <w:pPr>
        <w:tabs>
          <w:tab w:pos="1124" w:val="left" w:leader="none"/>
          <w:tab w:pos="5519" w:val="left" w:leader="none"/>
          <w:tab w:pos="5905" w:val="left" w:leader="none"/>
        </w:tabs>
        <w:spacing w:line="168" w:lineRule="auto" w:before="146"/>
        <w:ind w:left="145" w:right="3163" w:firstLine="0"/>
        <w:jc w:val="left"/>
        <w:rPr>
          <w:sz w:val="20"/>
        </w:rPr>
      </w:pPr>
      <w:r>
        <w:rPr/>
        <w:pict>
          <v:rect style="position:absolute;margin-left:434.5pt;margin-top:15.455159pt;width:91pt;height:17pt;mso-position-horizontal-relative:page;mso-position-vertical-relative:paragraph;z-index:16141312" filled="false" stroked="true" strokeweight="1pt" strokecolor="#231f20">
            <v:stroke dashstyle="solid"/>
            <w10:wrap type="none"/>
          </v:rect>
        </w:pict>
      </w:r>
      <w:r>
        <w:rPr>
          <w:color w:val="231F20"/>
          <w:sz w:val="20"/>
        </w:rPr>
        <w:t>Position:</w:t>
        <w:tab/>
      </w:r>
      <w:r>
        <w:rPr>
          <w:color w:val="231F20"/>
          <w:sz w:val="20"/>
          <w:u w:val="dotted" w:color="231F20"/>
        </w:rPr>
        <w:t> </w:t>
        <w:tab/>
      </w:r>
      <w:r>
        <w:rPr>
          <w:color w:val="231F20"/>
          <w:sz w:val="20"/>
        </w:rPr>
        <w:tab/>
        <w:t>Number of </w:t>
      </w:r>
      <w:r>
        <w:rPr>
          <w:color w:val="231F20"/>
          <w:spacing w:val="-3"/>
          <w:sz w:val="20"/>
        </w:rPr>
        <w:t>copies: </w:t>
      </w:r>
      <w:r>
        <w:rPr>
          <w:color w:val="231F20"/>
          <w:sz w:val="20"/>
        </w:rPr>
        <w:t>(if applicable)</w:t>
      </w:r>
    </w:p>
    <w:p>
      <w:pPr>
        <w:tabs>
          <w:tab w:pos="5579" w:val="left" w:leader="none"/>
          <w:tab w:pos="5865" w:val="left" w:leader="none"/>
        </w:tabs>
        <w:spacing w:line="168" w:lineRule="auto" w:before="0"/>
        <w:ind w:left="145" w:right="2859" w:firstLine="5720"/>
        <w:jc w:val="left"/>
        <w:rPr>
          <w:sz w:val="20"/>
        </w:rPr>
      </w:pPr>
      <w:r>
        <w:rPr>
          <w:color w:val="231F20"/>
          <w:sz w:val="20"/>
        </w:rPr>
        <w:t>Annual subscription </w:t>
      </w:r>
      <w:r>
        <w:rPr>
          <w:color w:val="231F20"/>
          <w:spacing w:val="-9"/>
          <w:sz w:val="20"/>
        </w:rPr>
        <w:t>or </w:t>
      </w:r>
      <w:r>
        <w:rPr>
          <w:color w:val="231F20"/>
          <w:sz w:val="20"/>
        </w:rPr>
        <w:t>Company:</w:t>
      </w:r>
      <w:r>
        <w:rPr>
          <w:color w:val="231F20"/>
          <w:sz w:val="20"/>
          <w:u w:val="dotted" w:color="231F20"/>
        </w:rPr>
        <w:t> </w:t>
        <w:tab/>
      </w:r>
      <w:r>
        <w:rPr>
          <w:color w:val="231F20"/>
          <w:sz w:val="20"/>
        </w:rPr>
        <w:tab/>
        <w:t>single issue:</w:t>
      </w:r>
    </w:p>
    <w:p>
      <w:pPr>
        <w:tabs>
          <w:tab w:pos="1092" w:val="left" w:leader="none"/>
          <w:tab w:pos="5567" w:val="left" w:leader="none"/>
        </w:tabs>
        <w:spacing w:line="168" w:lineRule="exact" w:before="100"/>
        <w:ind w:left="145" w:right="0" w:firstLine="0"/>
        <w:jc w:val="left"/>
        <w:rPr>
          <w:sz w:val="20"/>
        </w:rPr>
      </w:pPr>
      <w:r>
        <w:rPr>
          <w:color w:val="231F20"/>
          <w:sz w:val="20"/>
        </w:rPr>
        <w:t>Address:</w:t>
        <w:tab/>
      </w:r>
      <w:r>
        <w:rPr>
          <w:color w:val="231F20"/>
          <w:sz w:val="20"/>
          <w:u w:val="dotted" w:color="231F20"/>
        </w:rPr>
        <w:t> </w:t>
        <w:tab/>
      </w:r>
    </w:p>
    <w:p>
      <w:pPr>
        <w:spacing w:line="222" w:lineRule="exact" w:before="0"/>
        <w:ind w:left="5865" w:right="0" w:firstLine="0"/>
        <w:jc w:val="left"/>
        <w:rPr>
          <w:sz w:val="20"/>
        </w:rPr>
      </w:pPr>
      <w:r>
        <w:rPr/>
        <w:pict>
          <v:shape style="position:absolute;margin-left:88.620003pt;margin-top:13.295856pt;width:223.75pt;height:.1pt;mso-position-horizontal-relative:page;mso-position-vertical-relative:paragraph;z-index:-15324672;mso-wrap-distance-left:0;mso-wrap-distance-right:0" coordorigin="1772,266" coordsize="4475,0" path="m1772,266l6247,266e" filled="false" stroked="true" strokeweight=".125pt" strokecolor="#231f20">
            <v:path arrowok="t"/>
            <v:stroke dashstyle="shortdash"/>
            <w10:wrap type="topAndBottom"/>
          </v:shape>
        </w:pict>
      </w:r>
      <w:r>
        <w:rPr>
          <w:color w:val="231F20"/>
          <w:sz w:val="20"/>
        </w:rPr>
        <w:t>I enclose a cheque, crossed and made payable to the</w:t>
      </w:r>
    </w:p>
    <w:p>
      <w:pPr>
        <w:tabs>
          <w:tab w:pos="5547" w:val="left" w:leader="none"/>
          <w:tab w:pos="5865" w:val="left" w:leader="none"/>
        </w:tabs>
        <w:spacing w:before="15"/>
        <w:ind w:left="1112" w:right="0" w:firstLine="0"/>
        <w:jc w:val="left"/>
        <w:rPr>
          <w:sz w:val="20"/>
        </w:rPr>
      </w:pPr>
      <w:r>
        <w:rPr>
          <w:color w:val="231F20"/>
          <w:sz w:val="20"/>
          <w:u w:val="dotted" w:color="231F20"/>
        </w:rPr>
        <w:t> </w:t>
        <w:tab/>
      </w:r>
      <w:r>
        <w:rPr>
          <w:color w:val="231F20"/>
          <w:sz w:val="20"/>
        </w:rPr>
        <w:tab/>
        <w:t>Bank of England for: £</w:t>
      </w:r>
    </w:p>
    <w:p>
      <w:pPr>
        <w:pStyle w:val="BodyText"/>
        <w:spacing w:before="2"/>
        <w:rPr>
          <w:sz w:val="14"/>
        </w:rPr>
      </w:pPr>
      <w:r>
        <w:rPr/>
        <w:pict>
          <v:shape style="position:absolute;margin-left:88.620003pt;margin-top:10.200976pt;width:223.75pt;height:.1pt;mso-position-horizontal-relative:page;mso-position-vertical-relative:paragraph;z-index:-15324160;mso-wrap-distance-left:0;mso-wrap-distance-right:0" coordorigin="1772,204" coordsize="4475,0" path="m1772,204l6247,204e" filled="false" stroked="true" strokeweight=".125pt" strokecolor="#231f20">
            <v:path arrowok="t"/>
            <v:stroke dashstyle="shortdash"/>
            <w10:wrap type="topAndBottom"/>
          </v:shape>
        </w:pict>
      </w:r>
      <w:r>
        <w:rPr/>
        <w:pict>
          <v:shape style="position:absolute;margin-left:90.25pt;margin-top:21.200977pt;width:219.75pt;height:.1pt;mso-position-horizontal-relative:page;mso-position-vertical-relative:paragraph;z-index:-15323648;mso-wrap-distance-left:0;mso-wrap-distance-right:0" coordorigin="1805,424" coordsize="4395,0" path="m1805,424l6200,424e" filled="false" stroked="true" strokeweight=".125pt" strokecolor="#231f20">
            <v:path arrowok="t"/>
            <v:stroke dashstyle="shortdash"/>
            <w10:wrap type="topAndBottom"/>
          </v:shape>
        </w:pict>
      </w:r>
    </w:p>
    <w:p>
      <w:pPr>
        <w:pStyle w:val="BodyText"/>
        <w:spacing w:before="10"/>
        <w:rPr>
          <w:sz w:val="12"/>
        </w:rPr>
      </w:pPr>
    </w:p>
    <w:sectPr>
      <w:headerReference w:type="default" r:id="rId110"/>
      <w:footerReference w:type="default" r:id="rId111"/>
      <w:pgSz w:w="11900" w:h="16840"/>
      <w:pgMar w:header="0" w:footer="0" w:top="11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0pt;height:10.9pt;mso-position-horizontal-relative:page;mso-position-vertical-relative:page;z-index:-210083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9976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09955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9950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9935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6003pt;margin-top:800.141113pt;width:14pt;height:10.9pt;mso-position-horizontal-relative:page;mso-position-vertical-relative:page;z-index:-209930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09909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9904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89952" from="279pt,733pt" to="556.5pt,733pt" stroked="true" strokeweight=".125pt" strokecolor="#231f20">
          <v:stroke dashstyle="solid"/>
          <w10:wrap type="none"/>
        </v:line>
      </w:pict>
    </w:r>
    <w:r>
      <w:rPr/>
      <w:pict>
        <v:shape style="position:absolute;margin-left:40pt;margin-top:801.141113pt;width:10pt;height:10.9pt;mso-position-horizontal-relative:page;mso-position-vertical-relative:page;z-index:-20989440" type="#_x0000_t202" filled="false" stroked="false">
          <v:textbox inset="0,0,0,0">
            <w:txbxContent>
              <w:p>
                <w:pPr>
                  <w:spacing w:before="13"/>
                  <w:ind w:left="20" w:right="0" w:firstLine="0"/>
                  <w:jc w:val="left"/>
                  <w:rPr>
                    <w:sz w:val="16"/>
                  </w:rPr>
                </w:pPr>
                <w:r>
                  <w:rPr>
                    <w:color w:val="231F20"/>
                    <w:sz w:val="16"/>
                  </w:rPr>
                  <w:t>30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988928" type="#_x0000_t202" filled="false" stroked="false">
          <v:textbox inset="0,0,0,0">
            <w:txbxContent>
              <w:p>
                <w:pPr>
                  <w:spacing w:before="13"/>
                  <w:ind w:left="60" w:right="0" w:firstLine="0"/>
                  <w:jc w:val="left"/>
                  <w:rPr>
                    <w:sz w:val="16"/>
                  </w:rPr>
                </w:pPr>
                <w:r>
                  <w:rPr>
                    <w:color w:val="231F20"/>
                    <w:sz w:val="16"/>
                  </w:rPr>
                  <w:t>31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868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719971pt;margin-top:801.141113pt;width:10.050pt;height:10.9pt;mso-position-horizontal-relative:page;mso-position-vertical-relative:page;z-index:-210078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9863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858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9853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832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9827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822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9817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9792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786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9766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0pt;height:10.9pt;mso-position-horizontal-relative:page;mso-position-vertical-relative:page;z-index:-210063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8</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9761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97561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9735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9730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58</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721985pt;margin-top:801.141113pt;width:10pt;height:10.9pt;mso-position-horizontal-relative:page;mso-position-vertical-relative:page;z-index:-210058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0037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719971pt;margin-top:801.141113pt;width:14pt;height:10.9pt;mso-position-horizontal-relative:page;mso-position-vertical-relative:page;z-index:-210032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719971pt;margin-top:801.141113pt;width:14pt;height:10.9pt;mso-position-horizontal-relative:page;mso-position-vertical-relative:page;z-index:-210001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9996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719971pt;margin-top:801.141113pt;width:14pt;height:10.9pt;mso-position-horizontal-relative:page;mso-position-vertical-relative:page;z-index:-209981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009408" from="39pt,38pt" to="556pt,38pt" stroked="true" strokeweight=".125pt" strokecolor="#231f20">
          <v:stroke dashstyle="solid"/>
          <w10:wrap type="none"/>
        </v:line>
      </w:pict>
    </w:r>
    <w:r>
      <w:rPr/>
      <w:pict>
        <v:shape style="position:absolute;margin-left:468.679993pt;margin-top:28.461094pt;width:87.35pt;height:10.9pt;mso-position-horizontal-relative:page;mso-position-vertical-relative:page;z-index:-21008896" type="#_x0000_t202" filled="false" stroked="false">
          <v:textbox inset="0,0,0,0">
            <w:txbxContent>
              <w:p>
                <w:pPr>
                  <w:spacing w:before="13"/>
                  <w:ind w:left="20" w:right="0" w:firstLine="0"/>
                  <w:jc w:val="left"/>
                  <w:rPr>
                    <w:i/>
                    <w:sz w:val="16"/>
                  </w:rPr>
                </w:pPr>
                <w:r>
                  <w:rPr>
                    <w:i/>
                    <w:color w:val="231F20"/>
                    <w:sz w:val="16"/>
                  </w:rPr>
                  <w:t>Introduction and summary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97120" from="38.75pt,39pt" to="555.75pt,39pt" stroked="true" strokeweight=".125pt" strokecolor="#231f20">
          <v:stroke dashstyle="solid"/>
          <w10:wrap type="none"/>
        </v:line>
      </w:pict>
    </w:r>
    <w:r>
      <w:rPr/>
      <w:pict>
        <v:shape style="position:absolute;margin-left:490.179993pt;margin-top:29.461094pt;width:65.6pt;height:10.9pt;mso-position-horizontal-relative:page;mso-position-vertical-relative:page;z-index:-2099660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450001pt;margin-top:29.461094pt;width:111.35pt;height:10.9pt;mso-position-horizontal-relative:page;mso-position-vertical-relative:page;z-index:-20996096" type="#_x0000_t202" filled="false" stroked="false">
          <v:textbox inset="0,0,0,0">
            <w:txbxContent>
              <w:p>
                <w:pPr>
                  <w:spacing w:before="13"/>
                  <w:ind w:left="20" w:right="0" w:firstLine="0"/>
                  <w:jc w:val="left"/>
                  <w:rPr>
                    <w:sz w:val="16"/>
                  </w:rPr>
                </w:pPr>
                <w:r>
                  <w:rPr>
                    <w:color w:val="231F20"/>
                    <w:sz w:val="16"/>
                  </w:rPr>
                  <w:t>Inflation Report: November 1997</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461094pt;width:519pt;height:10.9pt;mso-position-horizontal-relative:page;mso-position-vertical-relative:page;z-index:-20994560"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November 1997</w:t>
                  <w:tab/>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179993pt;margin-top:29.461094pt;width:65.6pt;height:10.9pt;mso-position-horizontal-relative:page;mso-position-vertical-relative:page;z-index:-2099404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92512" from="38.75pt,39pt" to="555.75pt,39pt" stroked="true" strokeweight=".125pt" strokecolor="#231f20">
          <v:stroke dashstyle="solid"/>
          <w10:wrap type="none"/>
        </v:line>
      </w:pict>
    </w:r>
    <w:r>
      <w:rPr/>
      <w:pict>
        <v:shape style="position:absolute;margin-left:490.179993pt;margin-top:29.461094pt;width:65.6pt;height:10.9pt;mso-position-horizontal-relative:page;mso-position-vertical-relative:page;z-index:-20992000"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461094pt;width:519pt;height:10.9pt;mso-position-horizontal-relative:page;mso-position-vertical-relative:page;z-index:-20991488"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November 1997</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88416" from="38.25pt,38pt" to="555.25pt,38pt" stroked="true" strokeweight=".125pt" strokecolor="#231f20">
          <v:stroke dashstyle="solid"/>
          <w10:wrap type="none"/>
        </v:line>
      </w:pict>
    </w:r>
    <w:r>
      <w:rPr/>
      <w:pict>
        <v:shape style="position:absolute;margin-left:493.730011pt;margin-top:28.461094pt;width:61.6pt;height:10.9pt;mso-position-horizontal-relative:page;mso-position-vertical-relative:page;z-index:-20987904"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98739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1997</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84832" from="38.25pt,39pt" to="555.25pt,39pt" stroked="true" strokeweight=".125pt" strokecolor="#231f20">
          <v:stroke dashstyle="solid"/>
          <w10:wrap type="none"/>
        </v:line>
      </w:pict>
    </w:r>
    <w:r>
      <w:rPr/>
      <w:pict>
        <v:shape style="position:absolute;margin-left:499.950012pt;margin-top:29.461094pt;width:55.35pt;height:10.9pt;mso-position-horizontal-relative:page;mso-position-vertical-relative:page;z-index:-20984320"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98380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1997</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81248" from="38.25pt,38pt" to="555.25pt,38pt" stroked="true" strokeweight=".125pt" strokecolor="#231f20">
          <v:stroke dashstyle="solid"/>
          <w10:wrap type="none"/>
        </v:line>
      </w:pict>
    </w:r>
    <w:r>
      <w:rPr/>
      <w:pict>
        <v:shape style="position:absolute;margin-left:422.429993pt;margin-top:28.461094pt;width:132.85pt;height:10.9pt;mso-position-horizontal-relative:page;mso-position-vertical-relative:page;z-index:-20980736" type="#_x0000_t202" filled="false" stroked="false">
          <v:textbox inset="0,0,0,0">
            <w:txbxContent>
              <w:p>
                <w:pPr>
                  <w:spacing w:before="13"/>
                  <w:ind w:left="20" w:right="0" w:firstLine="0"/>
                  <w:jc w:val="left"/>
                  <w:rPr>
                    <w:sz w:val="16"/>
                  </w:rPr>
                </w:pPr>
                <w:r>
                  <w:rPr>
                    <w:i/>
                    <w:color w:val="231F20"/>
                    <w:sz w:val="16"/>
                  </w:rPr>
                  <w:t>Monetary policy since the August </w:t>
                </w:r>
                <w:r>
                  <w:rPr>
                    <w:color w:val="231F20"/>
                    <w:sz w:val="16"/>
                  </w:rPr>
                  <w:t>Report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80224" from="38.25pt,38pt" to="555.25pt,38pt" stroked="true" strokeweight=".125pt" strokecolor="#231f20">
          <v:stroke dashstyle="solid"/>
          <w10:wrap type="none"/>
        </v:line>
      </w:pict>
    </w:r>
    <w:r>
      <w:rPr/>
      <w:pict>
        <v:shape style="position:absolute;margin-left:422.429993pt;margin-top:28.461094pt;width:132.85pt;height:10.9pt;mso-position-horizontal-relative:page;mso-position-vertical-relative:page;z-index:-20979712" type="#_x0000_t202" filled="false" stroked="false">
          <v:textbox inset="0,0,0,0">
            <w:txbxContent>
              <w:p>
                <w:pPr>
                  <w:spacing w:before="13"/>
                  <w:ind w:left="20" w:right="0" w:firstLine="0"/>
                  <w:jc w:val="left"/>
                  <w:rPr>
                    <w:sz w:val="16"/>
                  </w:rPr>
                </w:pPr>
                <w:r>
                  <w:rPr>
                    <w:i/>
                    <w:color w:val="231F20"/>
                    <w:sz w:val="16"/>
                  </w:rPr>
                  <w:t>Monetary policy since the August </w:t>
                </w:r>
                <w:r>
                  <w:rPr>
                    <w:color w:val="231F20"/>
                    <w:sz w:val="16"/>
                  </w:rPr>
                  <w:t>Report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78176" from="38.25pt,39pt" to="555.25pt,39pt" stroked="true" strokeweight=".125pt" strokecolor="#231f20">
          <v:stroke dashstyle="solid"/>
          <w10:wrap type="none"/>
        </v:line>
      </w:pict>
    </w:r>
    <w:r>
      <w:rPr/>
      <w:pict>
        <v:shape style="position:absolute;margin-left:481.279999pt;margin-top:29.461094pt;width:74pt;height:10.9pt;mso-position-horizontal-relative:page;mso-position-vertical-relative:page;z-index:-20977664"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97715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1997</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1.769989pt;margin-top:28.461094pt;width:134pt;height:10.9pt;mso-position-horizontal-relative:page;mso-position-vertical-relative:page;z-index:-21007360"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75104"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0974592"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97408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1997</w:t>
                  <w:tab/>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450001pt;margin-top:28.461094pt;width:111.35pt;height:10.9pt;mso-position-horizontal-relative:page;mso-position-vertical-relative:page;z-index:-21006848" type="#_x0000_t202" filled="false" stroked="false">
          <v:textbox inset="0,0,0,0">
            <w:txbxContent>
              <w:p>
                <w:pPr>
                  <w:spacing w:before="13"/>
                  <w:ind w:left="20" w:right="0" w:firstLine="0"/>
                  <w:jc w:val="left"/>
                  <w:rPr>
                    <w:sz w:val="16"/>
                  </w:rPr>
                </w:pPr>
                <w:r>
                  <w:rPr>
                    <w:color w:val="231F20"/>
                    <w:sz w:val="16"/>
                  </w:rPr>
                  <w:t>Inflation Report: November 1997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8.461094pt;width:519pt;height:10.9pt;mso-position-horizontal-relative:page;mso-position-vertical-relative:page;z-index:-21005312"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November 1997</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004800" from="38.75pt,38pt" to="555.75pt,38pt" stroked="true" strokeweight=".125pt" strokecolor="#231f20">
          <v:stroke dashstyle="solid"/>
          <w10:wrap type="none"/>
        </v:line>
      </w:pict>
    </w:r>
    <w:r>
      <w:rPr/>
      <w:pict>
        <v:shape style="position:absolute;margin-left:421.769989pt;margin-top:28.461094pt;width:134pt;height:10.9pt;mso-position-horizontal-relative:page;mso-position-vertical-relative:page;z-index:-21004288"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002752" from="38.75pt,38pt" to="555.75pt,38pt" stroked="true" strokeweight=".125pt" strokecolor="#231f20">
          <v:stroke dashstyle="solid"/>
          <w10:wrap type="none"/>
        </v:line>
      </w:pict>
    </w:r>
    <w:r>
      <w:rPr/>
      <w:pict>
        <v:line style="position:absolute;mso-position-horizontal-relative:page;mso-position-vertical-relative:page;z-index:-21002240" from="46.73pt,104.309998pt" to="42.73pt,104.309998pt" stroked="true" strokeweight=".5pt" strokecolor="#000000">
          <v:stroke dashstyle="solid"/>
          <w10:wrap type="none"/>
        </v:line>
      </w:pict>
    </w:r>
    <w:r>
      <w:rPr/>
      <w:pict>
        <v:line style="position:absolute;mso-position-horizontal-relative:page;mso-position-vertical-relative:page;z-index:-21001728" from="205.729996pt,104.309998pt" to="201.729996pt,104.309998pt" stroked="true" strokeweight=".5pt" strokecolor="#000000">
          <v:stroke dashstyle="solid"/>
          <w10:wrap type="none"/>
        </v:line>
      </w:pict>
    </w:r>
    <w:r>
      <w:rPr/>
      <w:pict>
        <v:shape style="position:absolute;margin-left:421.769989pt;margin-top:28.461094pt;width:134pt;height:10.9pt;mso-position-horizontal-relative:page;mso-position-vertical-relative:page;z-index:-21001216"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8.461094pt;width:519pt;height:10.9pt;mso-position-horizontal-relative:page;mso-position-vertical-relative:page;z-index:-21000704"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November 1997</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99168" from="38.75pt,38pt" to="555.75pt,38pt" stroked="true" strokeweight=".125pt" strokecolor="#231f20">
          <v:stroke dashstyle="solid"/>
          <w10:wrap type="none"/>
        </v:line>
      </w:pict>
    </w:r>
    <w:r>
      <w:rPr/>
      <w:pict>
        <v:shape style="position:absolute;margin-left:421.769989pt;margin-top:28.461094pt;width:134pt;height:10.9pt;mso-position-horizontal-relative:page;mso-position-vertical-relative:page;z-index:-20998656"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385" w:hanging="224"/>
        <w:jc w:val="left"/>
      </w:pPr>
      <w:rPr>
        <w:rFonts w:hint="default" w:ascii="Times New Roman" w:hAnsi="Times New Roman" w:eastAsia="Times New Roman" w:cs="Times New Roman"/>
        <w:color w:val="231F20"/>
        <w:spacing w:val="-10"/>
        <w:w w:val="100"/>
        <w:sz w:val="14"/>
        <w:szCs w:val="14"/>
        <w:lang w:val="en-US" w:eastAsia="en-US" w:bidi="ar-SA"/>
      </w:rPr>
    </w:lvl>
    <w:lvl w:ilvl="1">
      <w:start w:val="0"/>
      <w:numFmt w:val="bullet"/>
      <w:lvlText w:val="•"/>
      <w:lvlJc w:val="left"/>
      <w:pPr>
        <w:ind w:left="5980" w:hanging="224"/>
      </w:pPr>
      <w:rPr>
        <w:rFonts w:hint="default"/>
        <w:lang w:val="en-US" w:eastAsia="en-US" w:bidi="ar-SA"/>
      </w:rPr>
    </w:lvl>
    <w:lvl w:ilvl="2">
      <w:start w:val="0"/>
      <w:numFmt w:val="bullet"/>
      <w:lvlText w:val="•"/>
      <w:lvlJc w:val="left"/>
      <w:pPr>
        <w:ind w:left="6488" w:hanging="224"/>
      </w:pPr>
      <w:rPr>
        <w:rFonts w:hint="default"/>
        <w:lang w:val="en-US" w:eastAsia="en-US" w:bidi="ar-SA"/>
      </w:rPr>
    </w:lvl>
    <w:lvl w:ilvl="3">
      <w:start w:val="0"/>
      <w:numFmt w:val="bullet"/>
      <w:lvlText w:val="•"/>
      <w:lvlJc w:val="left"/>
      <w:pPr>
        <w:ind w:left="6997" w:hanging="224"/>
      </w:pPr>
      <w:rPr>
        <w:rFonts w:hint="default"/>
        <w:lang w:val="en-US" w:eastAsia="en-US" w:bidi="ar-SA"/>
      </w:rPr>
    </w:lvl>
    <w:lvl w:ilvl="4">
      <w:start w:val="0"/>
      <w:numFmt w:val="bullet"/>
      <w:lvlText w:val="•"/>
      <w:lvlJc w:val="left"/>
      <w:pPr>
        <w:ind w:left="7506" w:hanging="224"/>
      </w:pPr>
      <w:rPr>
        <w:rFonts w:hint="default"/>
        <w:lang w:val="en-US" w:eastAsia="en-US" w:bidi="ar-SA"/>
      </w:rPr>
    </w:lvl>
    <w:lvl w:ilvl="5">
      <w:start w:val="0"/>
      <w:numFmt w:val="bullet"/>
      <w:lvlText w:val="•"/>
      <w:lvlJc w:val="left"/>
      <w:pPr>
        <w:ind w:left="8015" w:hanging="224"/>
      </w:pPr>
      <w:rPr>
        <w:rFonts w:hint="default"/>
        <w:lang w:val="en-US" w:eastAsia="en-US" w:bidi="ar-SA"/>
      </w:rPr>
    </w:lvl>
    <w:lvl w:ilvl="6">
      <w:start w:val="0"/>
      <w:numFmt w:val="bullet"/>
      <w:lvlText w:val="•"/>
      <w:lvlJc w:val="left"/>
      <w:pPr>
        <w:ind w:left="8524" w:hanging="224"/>
      </w:pPr>
      <w:rPr>
        <w:rFonts w:hint="default"/>
        <w:lang w:val="en-US" w:eastAsia="en-US" w:bidi="ar-SA"/>
      </w:rPr>
    </w:lvl>
    <w:lvl w:ilvl="7">
      <w:start w:val="0"/>
      <w:numFmt w:val="bullet"/>
      <w:lvlText w:val="•"/>
      <w:lvlJc w:val="left"/>
      <w:pPr>
        <w:ind w:left="9033" w:hanging="224"/>
      </w:pPr>
      <w:rPr>
        <w:rFonts w:hint="default"/>
        <w:lang w:val="en-US" w:eastAsia="en-US" w:bidi="ar-SA"/>
      </w:rPr>
    </w:lvl>
    <w:lvl w:ilvl="8">
      <w:start w:val="0"/>
      <w:numFmt w:val="bullet"/>
      <w:lvlText w:val="•"/>
      <w:lvlJc w:val="left"/>
      <w:pPr>
        <w:ind w:left="9542" w:hanging="224"/>
      </w:pPr>
      <w:rPr>
        <w:rFonts w:hint="default"/>
        <w:lang w:val="en-US" w:eastAsia="en-US" w:bidi="ar-SA"/>
      </w:rPr>
    </w:lvl>
  </w:abstractNum>
  <w:abstractNum w:abstractNumId="46">
    <w:multiLevelType w:val="hybridMultilevel"/>
    <w:lvl w:ilvl="0">
      <w:start w:val="1"/>
      <w:numFmt w:val="upperRoman"/>
      <w:lvlText w:val="%1"/>
      <w:lvlJc w:val="left"/>
      <w:pPr>
        <w:ind w:left="640" w:hanging="481"/>
        <w:jc w:val="left"/>
      </w:pPr>
      <w:rPr>
        <w:rFonts w:hint="default" w:ascii="Times New Roman" w:hAnsi="Times New Roman" w:eastAsia="Times New Roman" w:cs="Times New Roman"/>
        <w:b/>
        <w:bCs/>
        <w:color w:val="009483"/>
        <w:spacing w:val="-1"/>
        <w:w w:val="100"/>
        <w:sz w:val="22"/>
        <w:szCs w:val="22"/>
        <w:lang w:val="en-US" w:eastAsia="en-US" w:bidi="ar-SA"/>
      </w:rPr>
    </w:lvl>
    <w:lvl w:ilvl="1">
      <w:start w:val="0"/>
      <w:numFmt w:val="bullet"/>
      <w:lvlText w:val="•"/>
      <w:lvlJc w:val="left"/>
      <w:pPr>
        <w:ind w:left="1085" w:hanging="481"/>
      </w:pPr>
      <w:rPr>
        <w:rFonts w:hint="default"/>
        <w:lang w:val="en-US" w:eastAsia="en-US" w:bidi="ar-SA"/>
      </w:rPr>
    </w:lvl>
    <w:lvl w:ilvl="2">
      <w:start w:val="0"/>
      <w:numFmt w:val="bullet"/>
      <w:lvlText w:val="•"/>
      <w:lvlJc w:val="left"/>
      <w:pPr>
        <w:ind w:left="1531" w:hanging="481"/>
      </w:pPr>
      <w:rPr>
        <w:rFonts w:hint="default"/>
        <w:lang w:val="en-US" w:eastAsia="en-US" w:bidi="ar-SA"/>
      </w:rPr>
    </w:lvl>
    <w:lvl w:ilvl="3">
      <w:start w:val="0"/>
      <w:numFmt w:val="bullet"/>
      <w:lvlText w:val="•"/>
      <w:lvlJc w:val="left"/>
      <w:pPr>
        <w:ind w:left="1977" w:hanging="481"/>
      </w:pPr>
      <w:rPr>
        <w:rFonts w:hint="default"/>
        <w:lang w:val="en-US" w:eastAsia="en-US" w:bidi="ar-SA"/>
      </w:rPr>
    </w:lvl>
    <w:lvl w:ilvl="4">
      <w:start w:val="0"/>
      <w:numFmt w:val="bullet"/>
      <w:lvlText w:val="•"/>
      <w:lvlJc w:val="left"/>
      <w:pPr>
        <w:ind w:left="2423" w:hanging="481"/>
      </w:pPr>
      <w:rPr>
        <w:rFonts w:hint="default"/>
        <w:lang w:val="en-US" w:eastAsia="en-US" w:bidi="ar-SA"/>
      </w:rPr>
    </w:lvl>
    <w:lvl w:ilvl="5">
      <w:start w:val="0"/>
      <w:numFmt w:val="bullet"/>
      <w:lvlText w:val="•"/>
      <w:lvlJc w:val="left"/>
      <w:pPr>
        <w:ind w:left="2869" w:hanging="481"/>
      </w:pPr>
      <w:rPr>
        <w:rFonts w:hint="default"/>
        <w:lang w:val="en-US" w:eastAsia="en-US" w:bidi="ar-SA"/>
      </w:rPr>
    </w:lvl>
    <w:lvl w:ilvl="6">
      <w:start w:val="0"/>
      <w:numFmt w:val="bullet"/>
      <w:lvlText w:val="•"/>
      <w:lvlJc w:val="left"/>
      <w:pPr>
        <w:ind w:left="3315" w:hanging="481"/>
      </w:pPr>
      <w:rPr>
        <w:rFonts w:hint="default"/>
        <w:lang w:val="en-US" w:eastAsia="en-US" w:bidi="ar-SA"/>
      </w:rPr>
    </w:lvl>
    <w:lvl w:ilvl="7">
      <w:start w:val="0"/>
      <w:numFmt w:val="bullet"/>
      <w:lvlText w:val="•"/>
      <w:lvlJc w:val="left"/>
      <w:pPr>
        <w:ind w:left="3761" w:hanging="481"/>
      </w:pPr>
      <w:rPr>
        <w:rFonts w:hint="default"/>
        <w:lang w:val="en-US" w:eastAsia="en-US" w:bidi="ar-SA"/>
      </w:rPr>
    </w:lvl>
    <w:lvl w:ilvl="8">
      <w:start w:val="0"/>
      <w:numFmt w:val="bullet"/>
      <w:lvlText w:val="•"/>
      <w:lvlJc w:val="left"/>
      <w:pPr>
        <w:ind w:left="4207" w:hanging="481"/>
      </w:pPr>
      <w:rPr>
        <w:rFonts w:hint="default"/>
        <w:lang w:val="en-US" w:eastAsia="en-US" w:bidi="ar-SA"/>
      </w:rPr>
    </w:lvl>
  </w:abstractNum>
  <w:abstractNum w:abstractNumId="45">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53" w:hanging="481"/>
      </w:pPr>
      <w:rPr>
        <w:rFonts w:hint="default"/>
        <w:lang w:val="en-US" w:eastAsia="en-US" w:bidi="ar-SA"/>
      </w:rPr>
    </w:lvl>
    <w:lvl w:ilvl="2">
      <w:start w:val="0"/>
      <w:numFmt w:val="bullet"/>
      <w:lvlText w:val="•"/>
      <w:lvlJc w:val="left"/>
      <w:pPr>
        <w:ind w:left="1147" w:hanging="481"/>
      </w:pPr>
      <w:rPr>
        <w:rFonts w:hint="default"/>
        <w:lang w:val="en-US" w:eastAsia="en-US" w:bidi="ar-SA"/>
      </w:rPr>
    </w:lvl>
    <w:lvl w:ilvl="3">
      <w:start w:val="0"/>
      <w:numFmt w:val="bullet"/>
      <w:lvlText w:val="•"/>
      <w:lvlJc w:val="left"/>
      <w:pPr>
        <w:ind w:left="1641" w:hanging="481"/>
      </w:pPr>
      <w:rPr>
        <w:rFonts w:hint="default"/>
        <w:lang w:val="en-US" w:eastAsia="en-US" w:bidi="ar-SA"/>
      </w:rPr>
    </w:lvl>
    <w:lvl w:ilvl="4">
      <w:start w:val="0"/>
      <w:numFmt w:val="bullet"/>
      <w:lvlText w:val="•"/>
      <w:lvlJc w:val="left"/>
      <w:pPr>
        <w:ind w:left="2135" w:hanging="481"/>
      </w:pPr>
      <w:rPr>
        <w:rFonts w:hint="default"/>
        <w:lang w:val="en-US" w:eastAsia="en-US" w:bidi="ar-SA"/>
      </w:rPr>
    </w:lvl>
    <w:lvl w:ilvl="5">
      <w:start w:val="0"/>
      <w:numFmt w:val="bullet"/>
      <w:lvlText w:val="•"/>
      <w:lvlJc w:val="left"/>
      <w:pPr>
        <w:ind w:left="2629" w:hanging="481"/>
      </w:pPr>
      <w:rPr>
        <w:rFonts w:hint="default"/>
        <w:lang w:val="en-US" w:eastAsia="en-US" w:bidi="ar-SA"/>
      </w:rPr>
    </w:lvl>
    <w:lvl w:ilvl="6">
      <w:start w:val="0"/>
      <w:numFmt w:val="bullet"/>
      <w:lvlText w:val="•"/>
      <w:lvlJc w:val="left"/>
      <w:pPr>
        <w:ind w:left="3123" w:hanging="481"/>
      </w:pPr>
      <w:rPr>
        <w:rFonts w:hint="default"/>
        <w:lang w:val="en-US" w:eastAsia="en-US" w:bidi="ar-SA"/>
      </w:rPr>
    </w:lvl>
    <w:lvl w:ilvl="7">
      <w:start w:val="0"/>
      <w:numFmt w:val="bullet"/>
      <w:lvlText w:val="•"/>
      <w:lvlJc w:val="left"/>
      <w:pPr>
        <w:ind w:left="3617" w:hanging="481"/>
      </w:pPr>
      <w:rPr>
        <w:rFonts w:hint="default"/>
        <w:lang w:val="en-US" w:eastAsia="en-US" w:bidi="ar-SA"/>
      </w:rPr>
    </w:lvl>
    <w:lvl w:ilvl="8">
      <w:start w:val="0"/>
      <w:numFmt w:val="bullet"/>
      <w:lvlText w:val="•"/>
      <w:lvlJc w:val="left"/>
      <w:pPr>
        <w:ind w:left="4111" w:hanging="481"/>
      </w:pPr>
      <w:rPr>
        <w:rFonts w:hint="default"/>
        <w:lang w:val="en-US" w:eastAsia="en-US" w:bidi="ar-SA"/>
      </w:rPr>
    </w:lvl>
  </w:abstractNum>
  <w:abstractNum w:abstractNumId="44">
    <w:multiLevelType w:val="hybridMultilevel"/>
    <w:lvl w:ilvl="0">
      <w:start w:val="1"/>
      <w:numFmt w:val="decimal"/>
      <w:lvlText w:val="%1"/>
      <w:lvlJc w:val="left"/>
      <w:pPr>
        <w:ind w:left="14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34" w:hanging="481"/>
      </w:pPr>
      <w:rPr>
        <w:rFonts w:hint="default"/>
        <w:lang w:val="en-US" w:eastAsia="en-US" w:bidi="ar-SA"/>
      </w:rPr>
    </w:lvl>
    <w:lvl w:ilvl="2">
      <w:start w:val="0"/>
      <w:numFmt w:val="bullet"/>
      <w:lvlText w:val="•"/>
      <w:lvlJc w:val="left"/>
      <w:pPr>
        <w:ind w:left="1129" w:hanging="481"/>
      </w:pPr>
      <w:rPr>
        <w:rFonts w:hint="default"/>
        <w:lang w:val="en-US" w:eastAsia="en-US" w:bidi="ar-SA"/>
      </w:rPr>
    </w:lvl>
    <w:lvl w:ilvl="3">
      <w:start w:val="0"/>
      <w:numFmt w:val="bullet"/>
      <w:lvlText w:val="•"/>
      <w:lvlJc w:val="left"/>
      <w:pPr>
        <w:ind w:left="1624" w:hanging="481"/>
      </w:pPr>
      <w:rPr>
        <w:rFonts w:hint="default"/>
        <w:lang w:val="en-US" w:eastAsia="en-US" w:bidi="ar-SA"/>
      </w:rPr>
    </w:lvl>
    <w:lvl w:ilvl="4">
      <w:start w:val="0"/>
      <w:numFmt w:val="bullet"/>
      <w:lvlText w:val="•"/>
      <w:lvlJc w:val="left"/>
      <w:pPr>
        <w:ind w:left="2119" w:hanging="481"/>
      </w:pPr>
      <w:rPr>
        <w:rFonts w:hint="default"/>
        <w:lang w:val="en-US" w:eastAsia="en-US" w:bidi="ar-SA"/>
      </w:rPr>
    </w:lvl>
    <w:lvl w:ilvl="5">
      <w:start w:val="0"/>
      <w:numFmt w:val="bullet"/>
      <w:lvlText w:val="•"/>
      <w:lvlJc w:val="left"/>
      <w:pPr>
        <w:ind w:left="2614" w:hanging="481"/>
      </w:pPr>
      <w:rPr>
        <w:rFonts w:hint="default"/>
        <w:lang w:val="en-US" w:eastAsia="en-US" w:bidi="ar-SA"/>
      </w:rPr>
    </w:lvl>
    <w:lvl w:ilvl="6">
      <w:start w:val="0"/>
      <w:numFmt w:val="bullet"/>
      <w:lvlText w:val="•"/>
      <w:lvlJc w:val="left"/>
      <w:pPr>
        <w:ind w:left="3109" w:hanging="481"/>
      </w:pPr>
      <w:rPr>
        <w:rFonts w:hint="default"/>
        <w:lang w:val="en-US" w:eastAsia="en-US" w:bidi="ar-SA"/>
      </w:rPr>
    </w:lvl>
    <w:lvl w:ilvl="7">
      <w:start w:val="0"/>
      <w:numFmt w:val="bullet"/>
      <w:lvlText w:val="•"/>
      <w:lvlJc w:val="left"/>
      <w:pPr>
        <w:ind w:left="3604" w:hanging="481"/>
      </w:pPr>
      <w:rPr>
        <w:rFonts w:hint="default"/>
        <w:lang w:val="en-US" w:eastAsia="en-US" w:bidi="ar-SA"/>
      </w:rPr>
    </w:lvl>
    <w:lvl w:ilvl="8">
      <w:start w:val="0"/>
      <w:numFmt w:val="bullet"/>
      <w:lvlText w:val="•"/>
      <w:lvlJc w:val="left"/>
      <w:pPr>
        <w:ind w:left="4098" w:hanging="481"/>
      </w:pPr>
      <w:rPr>
        <w:rFonts w:hint="default"/>
        <w:lang w:val="en-US" w:eastAsia="en-US" w:bidi="ar-SA"/>
      </w:rPr>
    </w:lvl>
  </w:abstractNum>
  <w:abstractNum w:abstractNumId="43">
    <w:multiLevelType w:val="hybridMultilevel"/>
    <w:lvl w:ilvl="0">
      <w:start w:val="0"/>
      <w:numFmt w:val="bullet"/>
      <w:lvlText w:val=""/>
      <w:lvlJc w:val="left"/>
      <w:pPr>
        <w:ind w:left="385" w:hanging="240"/>
      </w:pPr>
      <w:rPr>
        <w:rFonts w:hint="default" w:ascii="Wingdings" w:hAnsi="Wingdings" w:eastAsia="Wingdings" w:cs="Wingdings"/>
        <w:color w:val="231F20"/>
        <w:sz w:val="14"/>
        <w:szCs w:val="14"/>
        <w:lang w:val="en-US" w:eastAsia="en-US" w:bidi="ar-SA"/>
      </w:rPr>
    </w:lvl>
    <w:lvl w:ilvl="1">
      <w:start w:val="0"/>
      <w:numFmt w:val="bullet"/>
      <w:lvlText w:val="•"/>
      <w:lvlJc w:val="left"/>
      <w:pPr>
        <w:ind w:left="848" w:hanging="240"/>
      </w:pPr>
      <w:rPr>
        <w:rFonts w:hint="default"/>
        <w:lang w:val="en-US" w:eastAsia="en-US" w:bidi="ar-SA"/>
      </w:rPr>
    </w:lvl>
    <w:lvl w:ilvl="2">
      <w:start w:val="0"/>
      <w:numFmt w:val="bullet"/>
      <w:lvlText w:val="•"/>
      <w:lvlJc w:val="left"/>
      <w:pPr>
        <w:ind w:left="1317" w:hanging="240"/>
      </w:pPr>
      <w:rPr>
        <w:rFonts w:hint="default"/>
        <w:lang w:val="en-US" w:eastAsia="en-US" w:bidi="ar-SA"/>
      </w:rPr>
    </w:lvl>
    <w:lvl w:ilvl="3">
      <w:start w:val="0"/>
      <w:numFmt w:val="bullet"/>
      <w:lvlText w:val="•"/>
      <w:lvlJc w:val="left"/>
      <w:pPr>
        <w:ind w:left="1786" w:hanging="240"/>
      </w:pPr>
      <w:rPr>
        <w:rFonts w:hint="default"/>
        <w:lang w:val="en-US" w:eastAsia="en-US" w:bidi="ar-SA"/>
      </w:rPr>
    </w:lvl>
    <w:lvl w:ilvl="4">
      <w:start w:val="0"/>
      <w:numFmt w:val="bullet"/>
      <w:lvlText w:val="•"/>
      <w:lvlJc w:val="left"/>
      <w:pPr>
        <w:ind w:left="2255" w:hanging="240"/>
      </w:pPr>
      <w:rPr>
        <w:rFonts w:hint="default"/>
        <w:lang w:val="en-US" w:eastAsia="en-US" w:bidi="ar-SA"/>
      </w:rPr>
    </w:lvl>
    <w:lvl w:ilvl="5">
      <w:start w:val="0"/>
      <w:numFmt w:val="bullet"/>
      <w:lvlText w:val="•"/>
      <w:lvlJc w:val="left"/>
      <w:pPr>
        <w:ind w:left="2724" w:hanging="240"/>
      </w:pPr>
      <w:rPr>
        <w:rFonts w:hint="default"/>
        <w:lang w:val="en-US" w:eastAsia="en-US" w:bidi="ar-SA"/>
      </w:rPr>
    </w:lvl>
    <w:lvl w:ilvl="6">
      <w:start w:val="0"/>
      <w:numFmt w:val="bullet"/>
      <w:lvlText w:val="•"/>
      <w:lvlJc w:val="left"/>
      <w:pPr>
        <w:ind w:left="3193" w:hanging="240"/>
      </w:pPr>
      <w:rPr>
        <w:rFonts w:hint="default"/>
        <w:lang w:val="en-US" w:eastAsia="en-US" w:bidi="ar-SA"/>
      </w:rPr>
    </w:lvl>
    <w:lvl w:ilvl="7">
      <w:start w:val="0"/>
      <w:numFmt w:val="bullet"/>
      <w:lvlText w:val="•"/>
      <w:lvlJc w:val="left"/>
      <w:pPr>
        <w:ind w:left="3662" w:hanging="240"/>
      </w:pPr>
      <w:rPr>
        <w:rFonts w:hint="default"/>
        <w:lang w:val="en-US" w:eastAsia="en-US" w:bidi="ar-SA"/>
      </w:rPr>
    </w:lvl>
    <w:lvl w:ilvl="8">
      <w:start w:val="0"/>
      <w:numFmt w:val="bullet"/>
      <w:lvlText w:val="•"/>
      <w:lvlJc w:val="left"/>
      <w:pPr>
        <w:ind w:left="4131" w:hanging="240"/>
      </w:pPr>
      <w:rPr>
        <w:rFonts w:hint="default"/>
        <w:lang w:val="en-US" w:eastAsia="en-US" w:bidi="ar-SA"/>
      </w:rPr>
    </w:lvl>
  </w:abstractNum>
  <w:abstractNum w:abstractNumId="42">
    <w:multiLevelType w:val="hybridMultilevel"/>
    <w:lvl w:ilvl="0">
      <w:start w:val="1"/>
      <w:numFmt w:val="upperRoman"/>
      <w:lvlText w:val="%1"/>
      <w:lvlJc w:val="left"/>
      <w:pPr>
        <w:ind w:left="63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086" w:hanging="481"/>
      </w:pPr>
      <w:rPr>
        <w:rFonts w:hint="default"/>
        <w:lang w:val="en-US" w:eastAsia="en-US" w:bidi="ar-SA"/>
      </w:rPr>
    </w:lvl>
    <w:lvl w:ilvl="2">
      <w:start w:val="0"/>
      <w:numFmt w:val="bullet"/>
      <w:lvlText w:val="•"/>
      <w:lvlJc w:val="left"/>
      <w:pPr>
        <w:ind w:left="1532" w:hanging="481"/>
      </w:pPr>
      <w:rPr>
        <w:rFonts w:hint="default"/>
        <w:lang w:val="en-US" w:eastAsia="en-US" w:bidi="ar-SA"/>
      </w:rPr>
    </w:lvl>
    <w:lvl w:ilvl="3">
      <w:start w:val="0"/>
      <w:numFmt w:val="bullet"/>
      <w:lvlText w:val="•"/>
      <w:lvlJc w:val="left"/>
      <w:pPr>
        <w:ind w:left="1978" w:hanging="481"/>
      </w:pPr>
      <w:rPr>
        <w:rFonts w:hint="default"/>
        <w:lang w:val="en-US" w:eastAsia="en-US" w:bidi="ar-SA"/>
      </w:rPr>
    </w:lvl>
    <w:lvl w:ilvl="4">
      <w:start w:val="0"/>
      <w:numFmt w:val="bullet"/>
      <w:lvlText w:val="•"/>
      <w:lvlJc w:val="left"/>
      <w:pPr>
        <w:ind w:left="2424" w:hanging="481"/>
      </w:pPr>
      <w:rPr>
        <w:rFonts w:hint="default"/>
        <w:lang w:val="en-US" w:eastAsia="en-US" w:bidi="ar-SA"/>
      </w:rPr>
    </w:lvl>
    <w:lvl w:ilvl="5">
      <w:start w:val="0"/>
      <w:numFmt w:val="bullet"/>
      <w:lvlText w:val="•"/>
      <w:lvlJc w:val="left"/>
      <w:pPr>
        <w:ind w:left="2871" w:hanging="481"/>
      </w:pPr>
      <w:rPr>
        <w:rFonts w:hint="default"/>
        <w:lang w:val="en-US" w:eastAsia="en-US" w:bidi="ar-SA"/>
      </w:rPr>
    </w:lvl>
    <w:lvl w:ilvl="6">
      <w:start w:val="0"/>
      <w:numFmt w:val="bullet"/>
      <w:lvlText w:val="•"/>
      <w:lvlJc w:val="left"/>
      <w:pPr>
        <w:ind w:left="3317" w:hanging="481"/>
      </w:pPr>
      <w:rPr>
        <w:rFonts w:hint="default"/>
        <w:lang w:val="en-US" w:eastAsia="en-US" w:bidi="ar-SA"/>
      </w:rPr>
    </w:lvl>
    <w:lvl w:ilvl="7">
      <w:start w:val="0"/>
      <w:numFmt w:val="bullet"/>
      <w:lvlText w:val="•"/>
      <w:lvlJc w:val="left"/>
      <w:pPr>
        <w:ind w:left="3763" w:hanging="481"/>
      </w:pPr>
      <w:rPr>
        <w:rFonts w:hint="default"/>
        <w:lang w:val="en-US" w:eastAsia="en-US" w:bidi="ar-SA"/>
      </w:rPr>
    </w:lvl>
    <w:lvl w:ilvl="8">
      <w:start w:val="0"/>
      <w:numFmt w:val="bullet"/>
      <w:lvlText w:val="•"/>
      <w:lvlJc w:val="left"/>
      <w:pPr>
        <w:ind w:left="4209" w:hanging="481"/>
      </w:pPr>
      <w:rPr>
        <w:rFonts w:hint="default"/>
        <w:lang w:val="en-US" w:eastAsia="en-US" w:bidi="ar-SA"/>
      </w:rPr>
    </w:lvl>
  </w:abstractNum>
  <w:abstractNum w:abstractNumId="41">
    <w:multiLevelType w:val="hybridMultilevel"/>
    <w:lvl w:ilvl="0">
      <w:start w:val="1"/>
      <w:numFmt w:val="decimal"/>
      <w:lvlText w:val="%1"/>
      <w:lvlJc w:val="left"/>
      <w:pPr>
        <w:ind w:left="154"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8" w:hanging="481"/>
      </w:pPr>
      <w:rPr>
        <w:rFonts w:hint="default"/>
        <w:lang w:val="en-US" w:eastAsia="en-US" w:bidi="ar-SA"/>
      </w:rPr>
    </w:lvl>
    <w:lvl w:ilvl="3">
      <w:start w:val="0"/>
      <w:numFmt w:val="bullet"/>
      <w:lvlText w:val="•"/>
      <w:lvlJc w:val="left"/>
      <w:pPr>
        <w:ind w:left="1642" w:hanging="481"/>
      </w:pPr>
      <w:rPr>
        <w:rFonts w:hint="default"/>
        <w:lang w:val="en-US" w:eastAsia="en-US" w:bidi="ar-SA"/>
      </w:rPr>
    </w:lvl>
    <w:lvl w:ilvl="4">
      <w:start w:val="0"/>
      <w:numFmt w:val="bullet"/>
      <w:lvlText w:val="•"/>
      <w:lvlJc w:val="left"/>
      <w:pPr>
        <w:ind w:left="2136" w:hanging="481"/>
      </w:pPr>
      <w:rPr>
        <w:rFonts w:hint="default"/>
        <w:lang w:val="en-US" w:eastAsia="en-US" w:bidi="ar-SA"/>
      </w:rPr>
    </w:lvl>
    <w:lvl w:ilvl="5">
      <w:start w:val="0"/>
      <w:numFmt w:val="bullet"/>
      <w:lvlText w:val="•"/>
      <w:lvlJc w:val="left"/>
      <w:pPr>
        <w:ind w:left="2631" w:hanging="481"/>
      </w:pPr>
      <w:rPr>
        <w:rFonts w:hint="default"/>
        <w:lang w:val="en-US" w:eastAsia="en-US" w:bidi="ar-SA"/>
      </w:rPr>
    </w:lvl>
    <w:lvl w:ilvl="6">
      <w:start w:val="0"/>
      <w:numFmt w:val="bullet"/>
      <w:lvlText w:val="•"/>
      <w:lvlJc w:val="left"/>
      <w:pPr>
        <w:ind w:left="3125" w:hanging="481"/>
      </w:pPr>
      <w:rPr>
        <w:rFonts w:hint="default"/>
        <w:lang w:val="en-US" w:eastAsia="en-US" w:bidi="ar-SA"/>
      </w:rPr>
    </w:lvl>
    <w:lvl w:ilvl="7">
      <w:start w:val="0"/>
      <w:numFmt w:val="bullet"/>
      <w:lvlText w:val="•"/>
      <w:lvlJc w:val="left"/>
      <w:pPr>
        <w:ind w:left="3619" w:hanging="481"/>
      </w:pPr>
      <w:rPr>
        <w:rFonts w:hint="default"/>
        <w:lang w:val="en-US" w:eastAsia="en-US" w:bidi="ar-SA"/>
      </w:rPr>
    </w:lvl>
    <w:lvl w:ilvl="8">
      <w:start w:val="0"/>
      <w:numFmt w:val="bullet"/>
      <w:lvlText w:val="•"/>
      <w:lvlJc w:val="left"/>
      <w:pPr>
        <w:ind w:left="4113" w:hanging="481"/>
      </w:pPr>
      <w:rPr>
        <w:rFonts w:hint="default"/>
        <w:lang w:val="en-US" w:eastAsia="en-US" w:bidi="ar-SA"/>
      </w:rPr>
    </w:lvl>
  </w:abstractNum>
  <w:abstractNum w:abstractNumId="40">
    <w:multiLevelType w:val="hybridMultilevel"/>
    <w:lvl w:ilvl="0">
      <w:start w:val="1"/>
      <w:numFmt w:val="decimal"/>
      <w:lvlText w:val="%1"/>
      <w:lvlJc w:val="left"/>
      <w:pPr>
        <w:ind w:left="14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32" w:hanging="481"/>
      </w:pPr>
      <w:rPr>
        <w:rFonts w:hint="default"/>
        <w:lang w:val="en-US" w:eastAsia="en-US" w:bidi="ar-SA"/>
      </w:rPr>
    </w:lvl>
    <w:lvl w:ilvl="2">
      <w:start w:val="0"/>
      <w:numFmt w:val="bullet"/>
      <w:lvlText w:val="•"/>
      <w:lvlJc w:val="left"/>
      <w:pPr>
        <w:ind w:left="1125" w:hanging="481"/>
      </w:pPr>
      <w:rPr>
        <w:rFonts w:hint="default"/>
        <w:lang w:val="en-US" w:eastAsia="en-US" w:bidi="ar-SA"/>
      </w:rPr>
    </w:lvl>
    <w:lvl w:ilvl="3">
      <w:start w:val="0"/>
      <w:numFmt w:val="bullet"/>
      <w:lvlText w:val="•"/>
      <w:lvlJc w:val="left"/>
      <w:pPr>
        <w:ind w:left="1618" w:hanging="481"/>
      </w:pPr>
      <w:rPr>
        <w:rFonts w:hint="default"/>
        <w:lang w:val="en-US" w:eastAsia="en-US" w:bidi="ar-SA"/>
      </w:rPr>
    </w:lvl>
    <w:lvl w:ilvl="4">
      <w:start w:val="0"/>
      <w:numFmt w:val="bullet"/>
      <w:lvlText w:val="•"/>
      <w:lvlJc w:val="left"/>
      <w:pPr>
        <w:ind w:left="2111" w:hanging="481"/>
      </w:pPr>
      <w:rPr>
        <w:rFonts w:hint="default"/>
        <w:lang w:val="en-US" w:eastAsia="en-US" w:bidi="ar-SA"/>
      </w:rPr>
    </w:lvl>
    <w:lvl w:ilvl="5">
      <w:start w:val="0"/>
      <w:numFmt w:val="bullet"/>
      <w:lvlText w:val="•"/>
      <w:lvlJc w:val="left"/>
      <w:pPr>
        <w:ind w:left="2604" w:hanging="481"/>
      </w:pPr>
      <w:rPr>
        <w:rFonts w:hint="default"/>
        <w:lang w:val="en-US" w:eastAsia="en-US" w:bidi="ar-SA"/>
      </w:rPr>
    </w:lvl>
    <w:lvl w:ilvl="6">
      <w:start w:val="0"/>
      <w:numFmt w:val="bullet"/>
      <w:lvlText w:val="•"/>
      <w:lvlJc w:val="left"/>
      <w:pPr>
        <w:ind w:left="3097" w:hanging="481"/>
      </w:pPr>
      <w:rPr>
        <w:rFonts w:hint="default"/>
        <w:lang w:val="en-US" w:eastAsia="en-US" w:bidi="ar-SA"/>
      </w:rPr>
    </w:lvl>
    <w:lvl w:ilvl="7">
      <w:start w:val="0"/>
      <w:numFmt w:val="bullet"/>
      <w:lvlText w:val="•"/>
      <w:lvlJc w:val="left"/>
      <w:pPr>
        <w:ind w:left="3590" w:hanging="481"/>
      </w:pPr>
      <w:rPr>
        <w:rFonts w:hint="default"/>
        <w:lang w:val="en-US" w:eastAsia="en-US" w:bidi="ar-SA"/>
      </w:rPr>
    </w:lvl>
    <w:lvl w:ilvl="8">
      <w:start w:val="0"/>
      <w:numFmt w:val="bullet"/>
      <w:lvlText w:val="•"/>
      <w:lvlJc w:val="left"/>
      <w:pPr>
        <w:ind w:left="4083" w:hanging="481"/>
      </w:pPr>
      <w:rPr>
        <w:rFonts w:hint="default"/>
        <w:lang w:val="en-US" w:eastAsia="en-US" w:bidi="ar-SA"/>
      </w:rPr>
    </w:lvl>
  </w:abstractNum>
  <w:abstractNum w:abstractNumId="39">
    <w:multiLevelType w:val="hybridMultilevel"/>
    <w:lvl w:ilvl="0">
      <w:start w:val="38"/>
      <w:numFmt w:val="decimal"/>
      <w:lvlText w:val="%1"/>
      <w:lvlJc w:val="left"/>
      <w:pPr>
        <w:ind w:left="159"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61" w:hanging="481"/>
      </w:pPr>
      <w:rPr>
        <w:rFonts w:hint="default"/>
        <w:lang w:val="en-US" w:eastAsia="en-US" w:bidi="ar-SA"/>
      </w:rPr>
    </w:lvl>
    <w:lvl w:ilvl="2">
      <w:start w:val="0"/>
      <w:numFmt w:val="bullet"/>
      <w:lvlText w:val="•"/>
      <w:lvlJc w:val="left"/>
      <w:pPr>
        <w:ind w:left="1163" w:hanging="481"/>
      </w:pPr>
      <w:rPr>
        <w:rFonts w:hint="default"/>
        <w:lang w:val="en-US" w:eastAsia="en-US" w:bidi="ar-SA"/>
      </w:rPr>
    </w:lvl>
    <w:lvl w:ilvl="3">
      <w:start w:val="0"/>
      <w:numFmt w:val="bullet"/>
      <w:lvlText w:val="•"/>
      <w:lvlJc w:val="left"/>
      <w:pPr>
        <w:ind w:left="1665" w:hanging="481"/>
      </w:pPr>
      <w:rPr>
        <w:rFonts w:hint="default"/>
        <w:lang w:val="en-US" w:eastAsia="en-US" w:bidi="ar-SA"/>
      </w:rPr>
    </w:lvl>
    <w:lvl w:ilvl="4">
      <w:start w:val="0"/>
      <w:numFmt w:val="bullet"/>
      <w:lvlText w:val="•"/>
      <w:lvlJc w:val="left"/>
      <w:pPr>
        <w:ind w:left="2167" w:hanging="481"/>
      </w:pPr>
      <w:rPr>
        <w:rFonts w:hint="default"/>
        <w:lang w:val="en-US" w:eastAsia="en-US" w:bidi="ar-SA"/>
      </w:rPr>
    </w:lvl>
    <w:lvl w:ilvl="5">
      <w:start w:val="0"/>
      <w:numFmt w:val="bullet"/>
      <w:lvlText w:val="•"/>
      <w:lvlJc w:val="left"/>
      <w:pPr>
        <w:ind w:left="2669" w:hanging="481"/>
      </w:pPr>
      <w:rPr>
        <w:rFonts w:hint="default"/>
        <w:lang w:val="en-US" w:eastAsia="en-US" w:bidi="ar-SA"/>
      </w:rPr>
    </w:lvl>
    <w:lvl w:ilvl="6">
      <w:start w:val="0"/>
      <w:numFmt w:val="bullet"/>
      <w:lvlText w:val="•"/>
      <w:lvlJc w:val="left"/>
      <w:pPr>
        <w:ind w:left="3171" w:hanging="481"/>
      </w:pPr>
      <w:rPr>
        <w:rFonts w:hint="default"/>
        <w:lang w:val="en-US" w:eastAsia="en-US" w:bidi="ar-SA"/>
      </w:rPr>
    </w:lvl>
    <w:lvl w:ilvl="7">
      <w:start w:val="0"/>
      <w:numFmt w:val="bullet"/>
      <w:lvlText w:val="•"/>
      <w:lvlJc w:val="left"/>
      <w:pPr>
        <w:ind w:left="3673" w:hanging="481"/>
      </w:pPr>
      <w:rPr>
        <w:rFonts w:hint="default"/>
        <w:lang w:val="en-US" w:eastAsia="en-US" w:bidi="ar-SA"/>
      </w:rPr>
    </w:lvl>
    <w:lvl w:ilvl="8">
      <w:start w:val="0"/>
      <w:numFmt w:val="bullet"/>
      <w:lvlText w:val="•"/>
      <w:lvlJc w:val="left"/>
      <w:pPr>
        <w:ind w:left="4175" w:hanging="481"/>
      </w:pPr>
      <w:rPr>
        <w:rFonts w:hint="default"/>
        <w:lang w:val="en-US" w:eastAsia="en-US" w:bidi="ar-SA"/>
      </w:rPr>
    </w:lvl>
  </w:abstractNum>
  <w:abstractNum w:abstractNumId="38">
    <w:multiLevelType w:val="hybridMultilevel"/>
    <w:lvl w:ilvl="0">
      <w:start w:val="1"/>
      <w:numFmt w:val="lowerRoman"/>
      <w:lvlText w:val="(%1)"/>
      <w:lvlJc w:val="left"/>
      <w:pPr>
        <w:ind w:left="620" w:hanging="481"/>
        <w:jc w:val="left"/>
      </w:pPr>
      <w:rPr>
        <w:rFonts w:hint="default" w:ascii="Times New Roman" w:hAnsi="Times New Roman" w:eastAsia="Times New Roman" w:cs="Times New Roman"/>
        <w:i/>
        <w:color w:val="009483"/>
        <w:w w:val="100"/>
        <w:sz w:val="18"/>
        <w:szCs w:val="18"/>
        <w:lang w:val="en-US" w:eastAsia="en-US" w:bidi="ar-SA"/>
      </w:rPr>
    </w:lvl>
    <w:lvl w:ilvl="1">
      <w:start w:val="0"/>
      <w:numFmt w:val="bullet"/>
      <w:lvlText w:val="•"/>
      <w:lvlJc w:val="left"/>
      <w:pPr>
        <w:ind w:left="1075" w:hanging="481"/>
      </w:pPr>
      <w:rPr>
        <w:rFonts w:hint="default"/>
        <w:lang w:val="en-US" w:eastAsia="en-US" w:bidi="ar-SA"/>
      </w:rPr>
    </w:lvl>
    <w:lvl w:ilvl="2">
      <w:start w:val="0"/>
      <w:numFmt w:val="bullet"/>
      <w:lvlText w:val="•"/>
      <w:lvlJc w:val="left"/>
      <w:pPr>
        <w:ind w:left="1530" w:hanging="481"/>
      </w:pPr>
      <w:rPr>
        <w:rFonts w:hint="default"/>
        <w:lang w:val="en-US" w:eastAsia="en-US" w:bidi="ar-SA"/>
      </w:rPr>
    </w:lvl>
    <w:lvl w:ilvl="3">
      <w:start w:val="0"/>
      <w:numFmt w:val="bullet"/>
      <w:lvlText w:val="•"/>
      <w:lvlJc w:val="left"/>
      <w:pPr>
        <w:ind w:left="1985" w:hanging="481"/>
      </w:pPr>
      <w:rPr>
        <w:rFonts w:hint="default"/>
        <w:lang w:val="en-US" w:eastAsia="en-US" w:bidi="ar-SA"/>
      </w:rPr>
    </w:lvl>
    <w:lvl w:ilvl="4">
      <w:start w:val="0"/>
      <w:numFmt w:val="bullet"/>
      <w:lvlText w:val="•"/>
      <w:lvlJc w:val="left"/>
      <w:pPr>
        <w:ind w:left="2440" w:hanging="481"/>
      </w:pPr>
      <w:rPr>
        <w:rFonts w:hint="default"/>
        <w:lang w:val="en-US" w:eastAsia="en-US" w:bidi="ar-SA"/>
      </w:rPr>
    </w:lvl>
    <w:lvl w:ilvl="5">
      <w:start w:val="0"/>
      <w:numFmt w:val="bullet"/>
      <w:lvlText w:val="•"/>
      <w:lvlJc w:val="left"/>
      <w:pPr>
        <w:ind w:left="2895" w:hanging="481"/>
      </w:pPr>
      <w:rPr>
        <w:rFonts w:hint="default"/>
        <w:lang w:val="en-US" w:eastAsia="en-US" w:bidi="ar-SA"/>
      </w:rPr>
    </w:lvl>
    <w:lvl w:ilvl="6">
      <w:start w:val="0"/>
      <w:numFmt w:val="bullet"/>
      <w:lvlText w:val="•"/>
      <w:lvlJc w:val="left"/>
      <w:pPr>
        <w:ind w:left="3350" w:hanging="481"/>
      </w:pPr>
      <w:rPr>
        <w:rFonts w:hint="default"/>
        <w:lang w:val="en-US" w:eastAsia="en-US" w:bidi="ar-SA"/>
      </w:rPr>
    </w:lvl>
    <w:lvl w:ilvl="7">
      <w:start w:val="0"/>
      <w:numFmt w:val="bullet"/>
      <w:lvlText w:val="•"/>
      <w:lvlJc w:val="left"/>
      <w:pPr>
        <w:ind w:left="3805" w:hanging="481"/>
      </w:pPr>
      <w:rPr>
        <w:rFonts w:hint="default"/>
        <w:lang w:val="en-US" w:eastAsia="en-US" w:bidi="ar-SA"/>
      </w:rPr>
    </w:lvl>
    <w:lvl w:ilvl="8">
      <w:start w:val="0"/>
      <w:numFmt w:val="bullet"/>
      <w:lvlText w:val="•"/>
      <w:lvlJc w:val="left"/>
      <w:pPr>
        <w:ind w:left="4260" w:hanging="481"/>
      </w:pPr>
      <w:rPr>
        <w:rFonts w:hint="default"/>
        <w:lang w:val="en-US" w:eastAsia="en-US" w:bidi="ar-SA"/>
      </w:rPr>
    </w:lvl>
  </w:abstractNum>
  <w:abstractNum w:abstractNumId="37">
    <w:multiLevelType w:val="hybridMultilevel"/>
    <w:lvl w:ilvl="0">
      <w:start w:val="1"/>
      <w:numFmt w:val="upperRoman"/>
      <w:lvlText w:val="%1"/>
      <w:lvlJc w:val="left"/>
      <w:pPr>
        <w:ind w:left="620" w:hanging="481"/>
        <w:jc w:val="left"/>
      </w:pPr>
      <w:rPr>
        <w:rFonts w:hint="default" w:ascii="Times New Roman" w:hAnsi="Times New Roman" w:eastAsia="Times New Roman" w:cs="Times New Roman"/>
        <w:b/>
        <w:bCs/>
        <w:color w:val="009483"/>
        <w:spacing w:val="-1"/>
        <w:w w:val="100"/>
        <w:sz w:val="22"/>
        <w:szCs w:val="22"/>
        <w:lang w:val="en-US" w:eastAsia="en-US" w:bidi="ar-SA"/>
      </w:rPr>
    </w:lvl>
    <w:lvl w:ilvl="1">
      <w:start w:val="0"/>
      <w:numFmt w:val="bullet"/>
      <w:lvlText w:val="•"/>
      <w:lvlJc w:val="left"/>
      <w:pPr>
        <w:ind w:left="1066" w:hanging="481"/>
      </w:pPr>
      <w:rPr>
        <w:rFonts w:hint="default"/>
        <w:lang w:val="en-US" w:eastAsia="en-US" w:bidi="ar-SA"/>
      </w:rPr>
    </w:lvl>
    <w:lvl w:ilvl="2">
      <w:start w:val="0"/>
      <w:numFmt w:val="bullet"/>
      <w:lvlText w:val="•"/>
      <w:lvlJc w:val="left"/>
      <w:pPr>
        <w:ind w:left="1513" w:hanging="481"/>
      </w:pPr>
      <w:rPr>
        <w:rFonts w:hint="default"/>
        <w:lang w:val="en-US" w:eastAsia="en-US" w:bidi="ar-SA"/>
      </w:rPr>
    </w:lvl>
    <w:lvl w:ilvl="3">
      <w:start w:val="0"/>
      <w:numFmt w:val="bullet"/>
      <w:lvlText w:val="•"/>
      <w:lvlJc w:val="left"/>
      <w:pPr>
        <w:ind w:left="1960" w:hanging="481"/>
      </w:pPr>
      <w:rPr>
        <w:rFonts w:hint="default"/>
        <w:lang w:val="en-US" w:eastAsia="en-US" w:bidi="ar-SA"/>
      </w:rPr>
    </w:lvl>
    <w:lvl w:ilvl="4">
      <w:start w:val="0"/>
      <w:numFmt w:val="bullet"/>
      <w:lvlText w:val="•"/>
      <w:lvlJc w:val="left"/>
      <w:pPr>
        <w:ind w:left="2407" w:hanging="481"/>
      </w:pPr>
      <w:rPr>
        <w:rFonts w:hint="default"/>
        <w:lang w:val="en-US" w:eastAsia="en-US" w:bidi="ar-SA"/>
      </w:rPr>
    </w:lvl>
    <w:lvl w:ilvl="5">
      <w:start w:val="0"/>
      <w:numFmt w:val="bullet"/>
      <w:lvlText w:val="•"/>
      <w:lvlJc w:val="left"/>
      <w:pPr>
        <w:ind w:left="2854" w:hanging="481"/>
      </w:pPr>
      <w:rPr>
        <w:rFonts w:hint="default"/>
        <w:lang w:val="en-US" w:eastAsia="en-US" w:bidi="ar-SA"/>
      </w:rPr>
    </w:lvl>
    <w:lvl w:ilvl="6">
      <w:start w:val="0"/>
      <w:numFmt w:val="bullet"/>
      <w:lvlText w:val="•"/>
      <w:lvlJc w:val="left"/>
      <w:pPr>
        <w:ind w:left="3301" w:hanging="481"/>
      </w:pPr>
      <w:rPr>
        <w:rFonts w:hint="default"/>
        <w:lang w:val="en-US" w:eastAsia="en-US" w:bidi="ar-SA"/>
      </w:rPr>
    </w:lvl>
    <w:lvl w:ilvl="7">
      <w:start w:val="0"/>
      <w:numFmt w:val="bullet"/>
      <w:lvlText w:val="•"/>
      <w:lvlJc w:val="left"/>
      <w:pPr>
        <w:ind w:left="3747" w:hanging="481"/>
      </w:pPr>
      <w:rPr>
        <w:rFonts w:hint="default"/>
        <w:lang w:val="en-US" w:eastAsia="en-US" w:bidi="ar-SA"/>
      </w:rPr>
    </w:lvl>
    <w:lvl w:ilvl="8">
      <w:start w:val="0"/>
      <w:numFmt w:val="bullet"/>
      <w:lvlText w:val="•"/>
      <w:lvlJc w:val="left"/>
      <w:pPr>
        <w:ind w:left="4194" w:hanging="481"/>
      </w:pPr>
      <w:rPr>
        <w:rFonts w:hint="default"/>
        <w:lang w:val="en-US" w:eastAsia="en-US" w:bidi="ar-SA"/>
      </w:rPr>
    </w:lvl>
  </w:abstractNum>
  <w:abstractNum w:abstractNumId="36">
    <w:multiLevelType w:val="hybridMultilevel"/>
    <w:lvl w:ilvl="0">
      <w:start w:val="1"/>
      <w:numFmt w:val="decimal"/>
      <w:lvlText w:val="%1"/>
      <w:lvlJc w:val="left"/>
      <w:pPr>
        <w:ind w:left="140"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34" w:hanging="481"/>
      </w:pPr>
      <w:rPr>
        <w:rFonts w:hint="default"/>
        <w:lang w:val="en-US" w:eastAsia="en-US" w:bidi="ar-SA"/>
      </w:rPr>
    </w:lvl>
    <w:lvl w:ilvl="2">
      <w:start w:val="0"/>
      <w:numFmt w:val="bullet"/>
      <w:lvlText w:val="•"/>
      <w:lvlJc w:val="left"/>
      <w:pPr>
        <w:ind w:left="1129" w:hanging="481"/>
      </w:pPr>
      <w:rPr>
        <w:rFonts w:hint="default"/>
        <w:lang w:val="en-US" w:eastAsia="en-US" w:bidi="ar-SA"/>
      </w:rPr>
    </w:lvl>
    <w:lvl w:ilvl="3">
      <w:start w:val="0"/>
      <w:numFmt w:val="bullet"/>
      <w:lvlText w:val="•"/>
      <w:lvlJc w:val="left"/>
      <w:pPr>
        <w:ind w:left="1624" w:hanging="481"/>
      </w:pPr>
      <w:rPr>
        <w:rFonts w:hint="default"/>
        <w:lang w:val="en-US" w:eastAsia="en-US" w:bidi="ar-SA"/>
      </w:rPr>
    </w:lvl>
    <w:lvl w:ilvl="4">
      <w:start w:val="0"/>
      <w:numFmt w:val="bullet"/>
      <w:lvlText w:val="•"/>
      <w:lvlJc w:val="left"/>
      <w:pPr>
        <w:ind w:left="2119" w:hanging="481"/>
      </w:pPr>
      <w:rPr>
        <w:rFonts w:hint="default"/>
        <w:lang w:val="en-US" w:eastAsia="en-US" w:bidi="ar-SA"/>
      </w:rPr>
    </w:lvl>
    <w:lvl w:ilvl="5">
      <w:start w:val="0"/>
      <w:numFmt w:val="bullet"/>
      <w:lvlText w:val="•"/>
      <w:lvlJc w:val="left"/>
      <w:pPr>
        <w:ind w:left="2614" w:hanging="481"/>
      </w:pPr>
      <w:rPr>
        <w:rFonts w:hint="default"/>
        <w:lang w:val="en-US" w:eastAsia="en-US" w:bidi="ar-SA"/>
      </w:rPr>
    </w:lvl>
    <w:lvl w:ilvl="6">
      <w:start w:val="0"/>
      <w:numFmt w:val="bullet"/>
      <w:lvlText w:val="•"/>
      <w:lvlJc w:val="left"/>
      <w:pPr>
        <w:ind w:left="3109" w:hanging="481"/>
      </w:pPr>
      <w:rPr>
        <w:rFonts w:hint="default"/>
        <w:lang w:val="en-US" w:eastAsia="en-US" w:bidi="ar-SA"/>
      </w:rPr>
    </w:lvl>
    <w:lvl w:ilvl="7">
      <w:start w:val="0"/>
      <w:numFmt w:val="bullet"/>
      <w:lvlText w:val="•"/>
      <w:lvlJc w:val="left"/>
      <w:pPr>
        <w:ind w:left="3603" w:hanging="481"/>
      </w:pPr>
      <w:rPr>
        <w:rFonts w:hint="default"/>
        <w:lang w:val="en-US" w:eastAsia="en-US" w:bidi="ar-SA"/>
      </w:rPr>
    </w:lvl>
    <w:lvl w:ilvl="8">
      <w:start w:val="0"/>
      <w:numFmt w:val="bullet"/>
      <w:lvlText w:val="•"/>
      <w:lvlJc w:val="left"/>
      <w:pPr>
        <w:ind w:left="4098" w:hanging="481"/>
      </w:pPr>
      <w:rPr>
        <w:rFonts w:hint="default"/>
        <w:lang w:val="en-US" w:eastAsia="en-US" w:bidi="ar-SA"/>
      </w:rPr>
    </w:lvl>
  </w:abstractNum>
  <w:abstractNum w:abstractNumId="35">
    <w:multiLevelType w:val="hybridMultilevel"/>
    <w:lvl w:ilvl="0">
      <w:start w:val="7"/>
      <w:numFmt w:val="decimal"/>
      <w:lvlText w:val="%1"/>
      <w:lvlJc w:val="left"/>
      <w:pPr>
        <w:ind w:left="5881" w:hanging="902"/>
        <w:jc w:val="left"/>
      </w:pPr>
      <w:rPr>
        <w:rFonts w:hint="default"/>
        <w:lang w:val="en-US" w:eastAsia="en-US" w:bidi="ar-SA"/>
      </w:rPr>
    </w:lvl>
    <w:lvl w:ilvl="1">
      <w:start w:val="1"/>
      <w:numFmt w:val="decimal"/>
      <w:lvlText w:val="%1.%2"/>
      <w:lvlJc w:val="left"/>
      <w:pPr>
        <w:ind w:left="5881" w:hanging="902"/>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828" w:hanging="902"/>
      </w:pPr>
      <w:rPr>
        <w:rFonts w:hint="default"/>
        <w:lang w:val="en-US" w:eastAsia="en-US" w:bidi="ar-SA"/>
      </w:rPr>
    </w:lvl>
    <w:lvl w:ilvl="3">
      <w:start w:val="0"/>
      <w:numFmt w:val="bullet"/>
      <w:lvlText w:val="•"/>
      <w:lvlJc w:val="left"/>
      <w:pPr>
        <w:ind w:left="7302" w:hanging="902"/>
      </w:pPr>
      <w:rPr>
        <w:rFonts w:hint="default"/>
        <w:lang w:val="en-US" w:eastAsia="en-US" w:bidi="ar-SA"/>
      </w:rPr>
    </w:lvl>
    <w:lvl w:ilvl="4">
      <w:start w:val="0"/>
      <w:numFmt w:val="bullet"/>
      <w:lvlText w:val="•"/>
      <w:lvlJc w:val="left"/>
      <w:pPr>
        <w:ind w:left="7776" w:hanging="902"/>
      </w:pPr>
      <w:rPr>
        <w:rFonts w:hint="default"/>
        <w:lang w:val="en-US" w:eastAsia="en-US" w:bidi="ar-SA"/>
      </w:rPr>
    </w:lvl>
    <w:lvl w:ilvl="5">
      <w:start w:val="0"/>
      <w:numFmt w:val="bullet"/>
      <w:lvlText w:val="•"/>
      <w:lvlJc w:val="left"/>
      <w:pPr>
        <w:ind w:left="8250" w:hanging="902"/>
      </w:pPr>
      <w:rPr>
        <w:rFonts w:hint="default"/>
        <w:lang w:val="en-US" w:eastAsia="en-US" w:bidi="ar-SA"/>
      </w:rPr>
    </w:lvl>
    <w:lvl w:ilvl="6">
      <w:start w:val="0"/>
      <w:numFmt w:val="bullet"/>
      <w:lvlText w:val="•"/>
      <w:lvlJc w:val="left"/>
      <w:pPr>
        <w:ind w:left="8724" w:hanging="902"/>
      </w:pPr>
      <w:rPr>
        <w:rFonts w:hint="default"/>
        <w:lang w:val="en-US" w:eastAsia="en-US" w:bidi="ar-SA"/>
      </w:rPr>
    </w:lvl>
    <w:lvl w:ilvl="7">
      <w:start w:val="0"/>
      <w:numFmt w:val="bullet"/>
      <w:lvlText w:val="•"/>
      <w:lvlJc w:val="left"/>
      <w:pPr>
        <w:ind w:left="9198" w:hanging="902"/>
      </w:pPr>
      <w:rPr>
        <w:rFonts w:hint="default"/>
        <w:lang w:val="en-US" w:eastAsia="en-US" w:bidi="ar-SA"/>
      </w:rPr>
    </w:lvl>
    <w:lvl w:ilvl="8">
      <w:start w:val="0"/>
      <w:numFmt w:val="bullet"/>
      <w:lvlText w:val="•"/>
      <w:lvlJc w:val="left"/>
      <w:pPr>
        <w:ind w:left="9672" w:hanging="902"/>
      </w:pPr>
      <w:rPr>
        <w:rFonts w:hint="default"/>
        <w:lang w:val="en-US" w:eastAsia="en-US" w:bidi="ar-SA"/>
      </w:rPr>
    </w:lvl>
  </w:abstractNum>
  <w:abstractNum w:abstractNumId="34">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56" w:hanging="240"/>
      </w:pPr>
      <w:rPr>
        <w:rFonts w:hint="default"/>
        <w:lang w:val="en-US" w:eastAsia="en-US" w:bidi="ar-SA"/>
      </w:rPr>
    </w:lvl>
    <w:lvl w:ilvl="3">
      <w:start w:val="0"/>
      <w:numFmt w:val="bullet"/>
      <w:lvlText w:val="•"/>
      <w:lvlJc w:val="left"/>
      <w:pPr>
        <w:ind w:left="1524" w:hanging="240"/>
      </w:pPr>
      <w:rPr>
        <w:rFonts w:hint="default"/>
        <w:lang w:val="en-US" w:eastAsia="en-US" w:bidi="ar-SA"/>
      </w:rPr>
    </w:lvl>
    <w:lvl w:ilvl="4">
      <w:start w:val="0"/>
      <w:numFmt w:val="bullet"/>
      <w:lvlText w:val="•"/>
      <w:lvlJc w:val="left"/>
      <w:pPr>
        <w:ind w:left="1892" w:hanging="240"/>
      </w:pPr>
      <w:rPr>
        <w:rFonts w:hint="default"/>
        <w:lang w:val="en-US" w:eastAsia="en-US" w:bidi="ar-SA"/>
      </w:rPr>
    </w:lvl>
    <w:lvl w:ilvl="5">
      <w:start w:val="0"/>
      <w:numFmt w:val="bullet"/>
      <w:lvlText w:val="•"/>
      <w:lvlJc w:val="left"/>
      <w:pPr>
        <w:ind w:left="2260" w:hanging="240"/>
      </w:pPr>
      <w:rPr>
        <w:rFonts w:hint="default"/>
        <w:lang w:val="en-US" w:eastAsia="en-US" w:bidi="ar-SA"/>
      </w:rPr>
    </w:lvl>
    <w:lvl w:ilvl="6">
      <w:start w:val="0"/>
      <w:numFmt w:val="bullet"/>
      <w:lvlText w:val="•"/>
      <w:lvlJc w:val="left"/>
      <w:pPr>
        <w:ind w:left="2629" w:hanging="240"/>
      </w:pPr>
      <w:rPr>
        <w:rFonts w:hint="default"/>
        <w:lang w:val="en-US" w:eastAsia="en-US" w:bidi="ar-SA"/>
      </w:rPr>
    </w:lvl>
    <w:lvl w:ilvl="7">
      <w:start w:val="0"/>
      <w:numFmt w:val="bullet"/>
      <w:lvlText w:val="•"/>
      <w:lvlJc w:val="left"/>
      <w:pPr>
        <w:ind w:left="2997" w:hanging="240"/>
      </w:pPr>
      <w:rPr>
        <w:rFonts w:hint="default"/>
        <w:lang w:val="en-US" w:eastAsia="en-US" w:bidi="ar-SA"/>
      </w:rPr>
    </w:lvl>
    <w:lvl w:ilvl="8">
      <w:start w:val="0"/>
      <w:numFmt w:val="bullet"/>
      <w:lvlText w:val="•"/>
      <w:lvlJc w:val="left"/>
      <w:pPr>
        <w:ind w:left="3365" w:hanging="240"/>
      </w:pPr>
      <w:rPr>
        <w:rFonts w:hint="default"/>
        <w:lang w:val="en-US" w:eastAsia="en-US" w:bidi="ar-SA"/>
      </w:rPr>
    </w:lvl>
  </w:abstractNum>
  <w:abstractNum w:abstractNumId="33">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00" w:hanging="240"/>
      </w:pPr>
      <w:rPr>
        <w:rFonts w:hint="default"/>
        <w:lang w:val="en-US" w:eastAsia="en-US" w:bidi="ar-SA"/>
      </w:rPr>
    </w:lvl>
    <w:lvl w:ilvl="4">
      <w:start w:val="0"/>
      <w:numFmt w:val="bullet"/>
      <w:lvlText w:val="•"/>
      <w:lvlJc w:val="left"/>
      <w:pPr>
        <w:ind w:left="1987" w:hanging="240"/>
      </w:pPr>
      <w:rPr>
        <w:rFonts w:hint="default"/>
        <w:lang w:val="en-US" w:eastAsia="en-US" w:bidi="ar-SA"/>
      </w:rPr>
    </w:lvl>
    <w:lvl w:ilvl="5">
      <w:start w:val="0"/>
      <w:numFmt w:val="bullet"/>
      <w:lvlText w:val="•"/>
      <w:lvlJc w:val="left"/>
      <w:pPr>
        <w:ind w:left="2374" w:hanging="240"/>
      </w:pPr>
      <w:rPr>
        <w:rFonts w:hint="default"/>
        <w:lang w:val="en-US" w:eastAsia="en-US" w:bidi="ar-SA"/>
      </w:rPr>
    </w:lvl>
    <w:lvl w:ilvl="6">
      <w:start w:val="0"/>
      <w:numFmt w:val="bullet"/>
      <w:lvlText w:val="•"/>
      <w:lvlJc w:val="left"/>
      <w:pPr>
        <w:ind w:left="2761" w:hanging="240"/>
      </w:pPr>
      <w:rPr>
        <w:rFonts w:hint="default"/>
        <w:lang w:val="en-US" w:eastAsia="en-US" w:bidi="ar-SA"/>
      </w:rPr>
    </w:lvl>
    <w:lvl w:ilvl="7">
      <w:start w:val="0"/>
      <w:numFmt w:val="bullet"/>
      <w:lvlText w:val="•"/>
      <w:lvlJc w:val="left"/>
      <w:pPr>
        <w:ind w:left="3148" w:hanging="240"/>
      </w:pPr>
      <w:rPr>
        <w:rFonts w:hint="default"/>
        <w:lang w:val="en-US" w:eastAsia="en-US" w:bidi="ar-SA"/>
      </w:rPr>
    </w:lvl>
    <w:lvl w:ilvl="8">
      <w:start w:val="0"/>
      <w:numFmt w:val="bullet"/>
      <w:lvlText w:val="•"/>
      <w:lvlJc w:val="left"/>
      <w:pPr>
        <w:ind w:left="3535" w:hanging="240"/>
      </w:pPr>
      <w:rPr>
        <w:rFonts w:hint="default"/>
        <w:lang w:val="en-US" w:eastAsia="en-US" w:bidi="ar-SA"/>
      </w:rPr>
    </w:lvl>
  </w:abstractNum>
  <w:abstractNum w:abstractNumId="32">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5" w:hanging="240"/>
      </w:pPr>
      <w:rPr>
        <w:rFonts w:hint="default"/>
        <w:lang w:val="en-US" w:eastAsia="en-US" w:bidi="ar-SA"/>
      </w:rPr>
    </w:lvl>
    <w:lvl w:ilvl="2">
      <w:start w:val="0"/>
      <w:numFmt w:val="bullet"/>
      <w:lvlText w:val="•"/>
      <w:lvlJc w:val="left"/>
      <w:pPr>
        <w:ind w:left="1191" w:hanging="240"/>
      </w:pPr>
      <w:rPr>
        <w:rFonts w:hint="default"/>
        <w:lang w:val="en-US" w:eastAsia="en-US" w:bidi="ar-SA"/>
      </w:rPr>
    </w:lvl>
    <w:lvl w:ilvl="3">
      <w:start w:val="0"/>
      <w:numFmt w:val="bullet"/>
      <w:lvlText w:val="•"/>
      <w:lvlJc w:val="left"/>
      <w:pPr>
        <w:ind w:left="1586" w:hanging="240"/>
      </w:pPr>
      <w:rPr>
        <w:rFonts w:hint="default"/>
        <w:lang w:val="en-US" w:eastAsia="en-US" w:bidi="ar-SA"/>
      </w:rPr>
    </w:lvl>
    <w:lvl w:ilvl="4">
      <w:start w:val="0"/>
      <w:numFmt w:val="bullet"/>
      <w:lvlText w:val="•"/>
      <w:lvlJc w:val="left"/>
      <w:pPr>
        <w:ind w:left="1982" w:hanging="240"/>
      </w:pPr>
      <w:rPr>
        <w:rFonts w:hint="default"/>
        <w:lang w:val="en-US" w:eastAsia="en-US" w:bidi="ar-SA"/>
      </w:rPr>
    </w:lvl>
    <w:lvl w:ilvl="5">
      <w:start w:val="0"/>
      <w:numFmt w:val="bullet"/>
      <w:lvlText w:val="•"/>
      <w:lvlJc w:val="left"/>
      <w:pPr>
        <w:ind w:left="2377" w:hanging="240"/>
      </w:pPr>
      <w:rPr>
        <w:rFonts w:hint="default"/>
        <w:lang w:val="en-US" w:eastAsia="en-US" w:bidi="ar-SA"/>
      </w:rPr>
    </w:lvl>
    <w:lvl w:ilvl="6">
      <w:start w:val="0"/>
      <w:numFmt w:val="bullet"/>
      <w:lvlText w:val="•"/>
      <w:lvlJc w:val="left"/>
      <w:pPr>
        <w:ind w:left="2773" w:hanging="240"/>
      </w:pPr>
      <w:rPr>
        <w:rFonts w:hint="default"/>
        <w:lang w:val="en-US" w:eastAsia="en-US" w:bidi="ar-SA"/>
      </w:rPr>
    </w:lvl>
    <w:lvl w:ilvl="7">
      <w:start w:val="0"/>
      <w:numFmt w:val="bullet"/>
      <w:lvlText w:val="•"/>
      <w:lvlJc w:val="left"/>
      <w:pPr>
        <w:ind w:left="3168" w:hanging="240"/>
      </w:pPr>
      <w:rPr>
        <w:rFonts w:hint="default"/>
        <w:lang w:val="en-US" w:eastAsia="en-US" w:bidi="ar-SA"/>
      </w:rPr>
    </w:lvl>
    <w:lvl w:ilvl="8">
      <w:start w:val="0"/>
      <w:numFmt w:val="bullet"/>
      <w:lvlText w:val="•"/>
      <w:lvlJc w:val="left"/>
      <w:pPr>
        <w:ind w:left="3564" w:hanging="240"/>
      </w:pPr>
      <w:rPr>
        <w:rFonts w:hint="default"/>
        <w:lang w:val="en-US" w:eastAsia="en-US" w:bidi="ar-SA"/>
      </w:rPr>
    </w:lvl>
  </w:abstractNum>
  <w:abstractNum w:abstractNumId="31">
    <w:multiLevelType w:val="hybridMultilevel"/>
    <w:lvl w:ilvl="0">
      <w:start w:val="5"/>
      <w:numFmt w:val="decimal"/>
      <w:lvlText w:val="%1"/>
      <w:lvlJc w:val="left"/>
      <w:pPr>
        <w:ind w:left="1328" w:hanging="1159"/>
        <w:jc w:val="left"/>
      </w:pPr>
      <w:rPr>
        <w:rFonts w:hint="default"/>
        <w:lang w:val="en-US" w:eastAsia="en-US" w:bidi="ar-SA"/>
      </w:rPr>
    </w:lvl>
    <w:lvl w:ilvl="1">
      <w:start w:val="4"/>
      <w:numFmt w:val="decimal"/>
      <w:lvlText w:val="%1.%2"/>
      <w:lvlJc w:val="left"/>
      <w:pPr>
        <w:ind w:left="1328" w:hanging="1159"/>
        <w:jc w:val="right"/>
      </w:pPr>
      <w:rPr>
        <w:rFonts w:hint="default"/>
        <w:b/>
        <w:bCs/>
        <w:spacing w:val="-10"/>
        <w:w w:val="100"/>
        <w:u w:val="thick" w:color="0093C1"/>
        <w:lang w:val="en-US" w:eastAsia="en-US" w:bidi="ar-SA"/>
      </w:rPr>
    </w:lvl>
    <w:lvl w:ilvl="2">
      <w:start w:val="0"/>
      <w:numFmt w:val="bullet"/>
      <w:lvlText w:val="•"/>
      <w:lvlJc w:val="left"/>
      <w:pPr>
        <w:ind w:left="2218" w:hanging="1159"/>
      </w:pPr>
      <w:rPr>
        <w:rFonts w:hint="default"/>
        <w:lang w:val="en-US" w:eastAsia="en-US" w:bidi="ar-SA"/>
      </w:rPr>
    </w:lvl>
    <w:lvl w:ilvl="3">
      <w:start w:val="0"/>
      <w:numFmt w:val="bullet"/>
      <w:lvlText w:val="•"/>
      <w:lvlJc w:val="left"/>
      <w:pPr>
        <w:ind w:left="2667" w:hanging="1159"/>
      </w:pPr>
      <w:rPr>
        <w:rFonts w:hint="default"/>
        <w:lang w:val="en-US" w:eastAsia="en-US" w:bidi="ar-SA"/>
      </w:rPr>
    </w:lvl>
    <w:lvl w:ilvl="4">
      <w:start w:val="0"/>
      <w:numFmt w:val="bullet"/>
      <w:lvlText w:val="•"/>
      <w:lvlJc w:val="left"/>
      <w:pPr>
        <w:ind w:left="3116" w:hanging="1159"/>
      </w:pPr>
      <w:rPr>
        <w:rFonts w:hint="default"/>
        <w:lang w:val="en-US" w:eastAsia="en-US" w:bidi="ar-SA"/>
      </w:rPr>
    </w:lvl>
    <w:lvl w:ilvl="5">
      <w:start w:val="0"/>
      <w:numFmt w:val="bullet"/>
      <w:lvlText w:val="•"/>
      <w:lvlJc w:val="left"/>
      <w:pPr>
        <w:ind w:left="3565" w:hanging="1159"/>
      </w:pPr>
      <w:rPr>
        <w:rFonts w:hint="default"/>
        <w:lang w:val="en-US" w:eastAsia="en-US" w:bidi="ar-SA"/>
      </w:rPr>
    </w:lvl>
    <w:lvl w:ilvl="6">
      <w:start w:val="0"/>
      <w:numFmt w:val="bullet"/>
      <w:lvlText w:val="•"/>
      <w:lvlJc w:val="left"/>
      <w:pPr>
        <w:ind w:left="4014" w:hanging="1159"/>
      </w:pPr>
      <w:rPr>
        <w:rFonts w:hint="default"/>
        <w:lang w:val="en-US" w:eastAsia="en-US" w:bidi="ar-SA"/>
      </w:rPr>
    </w:lvl>
    <w:lvl w:ilvl="7">
      <w:start w:val="0"/>
      <w:numFmt w:val="bullet"/>
      <w:lvlText w:val="•"/>
      <w:lvlJc w:val="left"/>
      <w:pPr>
        <w:ind w:left="4463" w:hanging="1159"/>
      </w:pPr>
      <w:rPr>
        <w:rFonts w:hint="default"/>
        <w:lang w:val="en-US" w:eastAsia="en-US" w:bidi="ar-SA"/>
      </w:rPr>
    </w:lvl>
    <w:lvl w:ilvl="8">
      <w:start w:val="0"/>
      <w:numFmt w:val="bullet"/>
      <w:lvlText w:val="•"/>
      <w:lvlJc w:val="left"/>
      <w:pPr>
        <w:ind w:left="4912" w:hanging="1159"/>
      </w:pPr>
      <w:rPr>
        <w:rFonts w:hint="default"/>
        <w:lang w:val="en-US" w:eastAsia="en-US" w:bidi="ar-SA"/>
      </w:rPr>
    </w:lvl>
  </w:abstractNum>
  <w:abstractNum w:abstractNumId="30">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3" w:hanging="240"/>
      </w:pPr>
      <w:rPr>
        <w:rFonts w:hint="default"/>
        <w:lang w:val="en-US" w:eastAsia="en-US" w:bidi="ar-SA"/>
      </w:rPr>
    </w:lvl>
    <w:lvl w:ilvl="2">
      <w:start w:val="0"/>
      <w:numFmt w:val="bullet"/>
      <w:lvlText w:val="•"/>
      <w:lvlJc w:val="left"/>
      <w:pPr>
        <w:ind w:left="1226" w:hanging="240"/>
      </w:pPr>
      <w:rPr>
        <w:rFonts w:hint="default"/>
        <w:lang w:val="en-US" w:eastAsia="en-US" w:bidi="ar-SA"/>
      </w:rPr>
    </w:lvl>
    <w:lvl w:ilvl="3">
      <w:start w:val="0"/>
      <w:numFmt w:val="bullet"/>
      <w:lvlText w:val="•"/>
      <w:lvlJc w:val="left"/>
      <w:pPr>
        <w:ind w:left="1629" w:hanging="240"/>
      </w:pPr>
      <w:rPr>
        <w:rFonts w:hint="default"/>
        <w:lang w:val="en-US" w:eastAsia="en-US" w:bidi="ar-SA"/>
      </w:rPr>
    </w:lvl>
    <w:lvl w:ilvl="4">
      <w:start w:val="0"/>
      <w:numFmt w:val="bullet"/>
      <w:lvlText w:val="•"/>
      <w:lvlJc w:val="left"/>
      <w:pPr>
        <w:ind w:left="2032" w:hanging="240"/>
      </w:pPr>
      <w:rPr>
        <w:rFonts w:hint="default"/>
        <w:lang w:val="en-US" w:eastAsia="en-US" w:bidi="ar-SA"/>
      </w:rPr>
    </w:lvl>
    <w:lvl w:ilvl="5">
      <w:start w:val="0"/>
      <w:numFmt w:val="bullet"/>
      <w:lvlText w:val="•"/>
      <w:lvlJc w:val="left"/>
      <w:pPr>
        <w:ind w:left="2435" w:hanging="240"/>
      </w:pPr>
      <w:rPr>
        <w:rFonts w:hint="default"/>
        <w:lang w:val="en-US" w:eastAsia="en-US" w:bidi="ar-SA"/>
      </w:rPr>
    </w:lvl>
    <w:lvl w:ilvl="6">
      <w:start w:val="0"/>
      <w:numFmt w:val="bullet"/>
      <w:lvlText w:val="•"/>
      <w:lvlJc w:val="left"/>
      <w:pPr>
        <w:ind w:left="2838" w:hanging="240"/>
      </w:pPr>
      <w:rPr>
        <w:rFonts w:hint="default"/>
        <w:lang w:val="en-US" w:eastAsia="en-US" w:bidi="ar-SA"/>
      </w:rPr>
    </w:lvl>
    <w:lvl w:ilvl="7">
      <w:start w:val="0"/>
      <w:numFmt w:val="bullet"/>
      <w:lvlText w:val="•"/>
      <w:lvlJc w:val="left"/>
      <w:pPr>
        <w:ind w:left="3241" w:hanging="240"/>
      </w:pPr>
      <w:rPr>
        <w:rFonts w:hint="default"/>
        <w:lang w:val="en-US" w:eastAsia="en-US" w:bidi="ar-SA"/>
      </w:rPr>
    </w:lvl>
    <w:lvl w:ilvl="8">
      <w:start w:val="0"/>
      <w:numFmt w:val="bullet"/>
      <w:lvlText w:val="•"/>
      <w:lvlJc w:val="left"/>
      <w:pPr>
        <w:ind w:left="3644" w:hanging="240"/>
      </w:pPr>
      <w:rPr>
        <w:rFonts w:hint="default"/>
        <w:lang w:val="en-US" w:eastAsia="en-US" w:bidi="ar-SA"/>
      </w:rPr>
    </w:lvl>
  </w:abstractNum>
  <w:abstractNum w:abstractNumId="29">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0" w:hanging="240"/>
      </w:pPr>
      <w:rPr>
        <w:rFonts w:hint="default"/>
        <w:lang w:val="en-US" w:eastAsia="en-US" w:bidi="ar-SA"/>
      </w:rPr>
    </w:lvl>
    <w:lvl w:ilvl="2">
      <w:start w:val="0"/>
      <w:numFmt w:val="bullet"/>
      <w:lvlText w:val="•"/>
      <w:lvlJc w:val="left"/>
      <w:pPr>
        <w:ind w:left="1161" w:hanging="240"/>
      </w:pPr>
      <w:rPr>
        <w:rFonts w:hint="default"/>
        <w:lang w:val="en-US" w:eastAsia="en-US" w:bidi="ar-SA"/>
      </w:rPr>
    </w:lvl>
    <w:lvl w:ilvl="3">
      <w:start w:val="0"/>
      <w:numFmt w:val="bullet"/>
      <w:lvlText w:val="•"/>
      <w:lvlJc w:val="left"/>
      <w:pPr>
        <w:ind w:left="1531" w:hanging="240"/>
      </w:pPr>
      <w:rPr>
        <w:rFonts w:hint="default"/>
        <w:lang w:val="en-US" w:eastAsia="en-US" w:bidi="ar-SA"/>
      </w:rPr>
    </w:lvl>
    <w:lvl w:ilvl="4">
      <w:start w:val="0"/>
      <w:numFmt w:val="bullet"/>
      <w:lvlText w:val="•"/>
      <w:lvlJc w:val="left"/>
      <w:pPr>
        <w:ind w:left="1902" w:hanging="240"/>
      </w:pPr>
      <w:rPr>
        <w:rFonts w:hint="default"/>
        <w:lang w:val="en-US" w:eastAsia="en-US" w:bidi="ar-SA"/>
      </w:rPr>
    </w:lvl>
    <w:lvl w:ilvl="5">
      <w:start w:val="0"/>
      <w:numFmt w:val="bullet"/>
      <w:lvlText w:val="•"/>
      <w:lvlJc w:val="left"/>
      <w:pPr>
        <w:ind w:left="2272" w:hanging="240"/>
      </w:pPr>
      <w:rPr>
        <w:rFonts w:hint="default"/>
        <w:lang w:val="en-US" w:eastAsia="en-US" w:bidi="ar-SA"/>
      </w:rPr>
    </w:lvl>
    <w:lvl w:ilvl="6">
      <w:start w:val="0"/>
      <w:numFmt w:val="bullet"/>
      <w:lvlText w:val="•"/>
      <w:lvlJc w:val="left"/>
      <w:pPr>
        <w:ind w:left="2643" w:hanging="240"/>
      </w:pPr>
      <w:rPr>
        <w:rFonts w:hint="default"/>
        <w:lang w:val="en-US" w:eastAsia="en-US" w:bidi="ar-SA"/>
      </w:rPr>
    </w:lvl>
    <w:lvl w:ilvl="7">
      <w:start w:val="0"/>
      <w:numFmt w:val="bullet"/>
      <w:lvlText w:val="•"/>
      <w:lvlJc w:val="left"/>
      <w:pPr>
        <w:ind w:left="3014" w:hanging="240"/>
      </w:pPr>
      <w:rPr>
        <w:rFonts w:hint="default"/>
        <w:lang w:val="en-US" w:eastAsia="en-US" w:bidi="ar-SA"/>
      </w:rPr>
    </w:lvl>
    <w:lvl w:ilvl="8">
      <w:start w:val="0"/>
      <w:numFmt w:val="bullet"/>
      <w:lvlText w:val="•"/>
      <w:lvlJc w:val="left"/>
      <w:pPr>
        <w:ind w:left="3384" w:hanging="240"/>
      </w:pPr>
      <w:rPr>
        <w:rFonts w:hint="default"/>
        <w:lang w:val="en-US" w:eastAsia="en-US" w:bidi="ar-SA"/>
      </w:rPr>
    </w:lvl>
  </w:abstractNum>
  <w:abstractNum w:abstractNumId="28">
    <w:multiLevelType w:val="hybridMultilevel"/>
    <w:lvl w:ilvl="0">
      <w:start w:val="5"/>
      <w:numFmt w:val="decimal"/>
      <w:lvlText w:val="%1"/>
      <w:lvlJc w:val="left"/>
      <w:pPr>
        <w:ind w:left="1149" w:hanging="950"/>
        <w:jc w:val="left"/>
      </w:pPr>
      <w:rPr>
        <w:rFonts w:hint="default"/>
        <w:lang w:val="en-US" w:eastAsia="en-US" w:bidi="ar-SA"/>
      </w:rPr>
    </w:lvl>
    <w:lvl w:ilvl="1">
      <w:start w:val="1"/>
      <w:numFmt w:val="decimal"/>
      <w:lvlText w:val="%1.%2"/>
      <w:lvlJc w:val="left"/>
      <w:pPr>
        <w:ind w:left="1149" w:hanging="950"/>
        <w:jc w:val="right"/>
      </w:pPr>
      <w:rPr>
        <w:rFonts w:hint="default"/>
        <w:b/>
        <w:bCs/>
        <w:w w:val="100"/>
        <w:lang w:val="en-US" w:eastAsia="en-US" w:bidi="ar-SA"/>
      </w:rPr>
    </w:lvl>
    <w:lvl w:ilvl="2">
      <w:start w:val="0"/>
      <w:numFmt w:val="bullet"/>
      <w:lvlText w:val="•"/>
      <w:lvlJc w:val="left"/>
      <w:pPr>
        <w:ind w:left="2076" w:hanging="950"/>
      </w:pPr>
      <w:rPr>
        <w:rFonts w:hint="default"/>
        <w:lang w:val="en-US" w:eastAsia="en-US" w:bidi="ar-SA"/>
      </w:rPr>
    </w:lvl>
    <w:lvl w:ilvl="3">
      <w:start w:val="0"/>
      <w:numFmt w:val="bullet"/>
      <w:lvlText w:val="•"/>
      <w:lvlJc w:val="left"/>
      <w:pPr>
        <w:ind w:left="2544" w:hanging="950"/>
      </w:pPr>
      <w:rPr>
        <w:rFonts w:hint="default"/>
        <w:lang w:val="en-US" w:eastAsia="en-US" w:bidi="ar-SA"/>
      </w:rPr>
    </w:lvl>
    <w:lvl w:ilvl="4">
      <w:start w:val="0"/>
      <w:numFmt w:val="bullet"/>
      <w:lvlText w:val="•"/>
      <w:lvlJc w:val="left"/>
      <w:pPr>
        <w:ind w:left="3012" w:hanging="950"/>
      </w:pPr>
      <w:rPr>
        <w:rFonts w:hint="default"/>
        <w:lang w:val="en-US" w:eastAsia="en-US" w:bidi="ar-SA"/>
      </w:rPr>
    </w:lvl>
    <w:lvl w:ilvl="5">
      <w:start w:val="0"/>
      <w:numFmt w:val="bullet"/>
      <w:lvlText w:val="•"/>
      <w:lvlJc w:val="left"/>
      <w:pPr>
        <w:ind w:left="3480" w:hanging="950"/>
      </w:pPr>
      <w:rPr>
        <w:rFonts w:hint="default"/>
        <w:lang w:val="en-US" w:eastAsia="en-US" w:bidi="ar-SA"/>
      </w:rPr>
    </w:lvl>
    <w:lvl w:ilvl="6">
      <w:start w:val="0"/>
      <w:numFmt w:val="bullet"/>
      <w:lvlText w:val="•"/>
      <w:lvlJc w:val="left"/>
      <w:pPr>
        <w:ind w:left="3948" w:hanging="950"/>
      </w:pPr>
      <w:rPr>
        <w:rFonts w:hint="default"/>
        <w:lang w:val="en-US" w:eastAsia="en-US" w:bidi="ar-SA"/>
      </w:rPr>
    </w:lvl>
    <w:lvl w:ilvl="7">
      <w:start w:val="0"/>
      <w:numFmt w:val="bullet"/>
      <w:lvlText w:val="•"/>
      <w:lvlJc w:val="left"/>
      <w:pPr>
        <w:ind w:left="4416" w:hanging="950"/>
      </w:pPr>
      <w:rPr>
        <w:rFonts w:hint="default"/>
        <w:lang w:val="en-US" w:eastAsia="en-US" w:bidi="ar-SA"/>
      </w:rPr>
    </w:lvl>
    <w:lvl w:ilvl="8">
      <w:start w:val="0"/>
      <w:numFmt w:val="bullet"/>
      <w:lvlText w:val="•"/>
      <w:lvlJc w:val="left"/>
      <w:pPr>
        <w:ind w:left="4884" w:hanging="950"/>
      </w:pPr>
      <w:rPr>
        <w:rFonts w:hint="default"/>
        <w:lang w:val="en-US" w:eastAsia="en-US" w:bidi="ar-SA"/>
      </w:rPr>
    </w:lvl>
  </w:abstractNum>
  <w:abstractNum w:abstractNumId="27">
    <w:multiLevelType w:val="hybridMultilevel"/>
    <w:lvl w:ilvl="0">
      <w:start w:val="1"/>
      <w:numFmt w:val="decimal"/>
      <w:lvlText w:val="(%1)"/>
      <w:lvlJc w:val="left"/>
      <w:pPr>
        <w:ind w:left="420"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39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272" w:hanging="240"/>
      </w:pPr>
      <w:rPr>
        <w:rFonts w:hint="default"/>
        <w:lang w:val="en-US" w:eastAsia="en-US" w:bidi="ar-SA"/>
      </w:rPr>
    </w:lvl>
    <w:lvl w:ilvl="3">
      <w:start w:val="0"/>
      <w:numFmt w:val="bullet"/>
      <w:lvlText w:val="•"/>
      <w:lvlJc w:val="left"/>
      <w:pPr>
        <w:ind w:left="125" w:hanging="240"/>
      </w:pPr>
      <w:rPr>
        <w:rFonts w:hint="default"/>
        <w:lang w:val="en-US" w:eastAsia="en-US" w:bidi="ar-SA"/>
      </w:rPr>
    </w:lvl>
    <w:lvl w:ilvl="4">
      <w:start w:val="0"/>
      <w:numFmt w:val="bullet"/>
      <w:lvlText w:val="•"/>
      <w:lvlJc w:val="left"/>
      <w:pPr>
        <w:ind w:left="-22" w:hanging="240"/>
      </w:pPr>
      <w:rPr>
        <w:rFonts w:hint="default"/>
        <w:lang w:val="en-US" w:eastAsia="en-US" w:bidi="ar-SA"/>
      </w:rPr>
    </w:lvl>
    <w:lvl w:ilvl="5">
      <w:start w:val="0"/>
      <w:numFmt w:val="bullet"/>
      <w:lvlText w:val="•"/>
      <w:lvlJc w:val="left"/>
      <w:pPr>
        <w:ind w:left="-169" w:hanging="240"/>
      </w:pPr>
      <w:rPr>
        <w:rFonts w:hint="default"/>
        <w:lang w:val="en-US" w:eastAsia="en-US" w:bidi="ar-SA"/>
      </w:rPr>
    </w:lvl>
    <w:lvl w:ilvl="6">
      <w:start w:val="0"/>
      <w:numFmt w:val="bullet"/>
      <w:lvlText w:val="•"/>
      <w:lvlJc w:val="left"/>
      <w:pPr>
        <w:ind w:left="-316" w:hanging="240"/>
      </w:pPr>
      <w:rPr>
        <w:rFonts w:hint="default"/>
        <w:lang w:val="en-US" w:eastAsia="en-US" w:bidi="ar-SA"/>
      </w:rPr>
    </w:lvl>
    <w:lvl w:ilvl="7">
      <w:start w:val="0"/>
      <w:numFmt w:val="bullet"/>
      <w:lvlText w:val="•"/>
      <w:lvlJc w:val="left"/>
      <w:pPr>
        <w:ind w:left="-464" w:hanging="240"/>
      </w:pPr>
      <w:rPr>
        <w:rFonts w:hint="default"/>
        <w:lang w:val="en-US" w:eastAsia="en-US" w:bidi="ar-SA"/>
      </w:rPr>
    </w:lvl>
    <w:lvl w:ilvl="8">
      <w:start w:val="0"/>
      <w:numFmt w:val="bullet"/>
      <w:lvlText w:val="•"/>
      <w:lvlJc w:val="left"/>
      <w:pPr>
        <w:ind w:left="-611" w:hanging="240"/>
      </w:pPr>
      <w:rPr>
        <w:rFonts w:hint="default"/>
        <w:lang w:val="en-US" w:eastAsia="en-US" w:bidi="ar-SA"/>
      </w:rPr>
    </w:lvl>
  </w:abstractNum>
  <w:abstractNum w:abstractNumId="26">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55" w:hanging="240"/>
      </w:pPr>
      <w:rPr>
        <w:rFonts w:hint="default"/>
        <w:lang w:val="en-US" w:eastAsia="en-US" w:bidi="ar-SA"/>
      </w:rPr>
    </w:lvl>
    <w:lvl w:ilvl="2">
      <w:start w:val="0"/>
      <w:numFmt w:val="bullet"/>
      <w:lvlText w:val="•"/>
      <w:lvlJc w:val="left"/>
      <w:pPr>
        <w:ind w:left="1090" w:hanging="240"/>
      </w:pPr>
      <w:rPr>
        <w:rFonts w:hint="default"/>
        <w:lang w:val="en-US" w:eastAsia="en-US" w:bidi="ar-SA"/>
      </w:rPr>
    </w:lvl>
    <w:lvl w:ilvl="3">
      <w:start w:val="0"/>
      <w:numFmt w:val="bullet"/>
      <w:lvlText w:val="•"/>
      <w:lvlJc w:val="left"/>
      <w:pPr>
        <w:ind w:left="1426" w:hanging="240"/>
      </w:pPr>
      <w:rPr>
        <w:rFonts w:hint="default"/>
        <w:lang w:val="en-US" w:eastAsia="en-US" w:bidi="ar-SA"/>
      </w:rPr>
    </w:lvl>
    <w:lvl w:ilvl="4">
      <w:start w:val="0"/>
      <w:numFmt w:val="bullet"/>
      <w:lvlText w:val="•"/>
      <w:lvlJc w:val="left"/>
      <w:pPr>
        <w:ind w:left="1761" w:hanging="240"/>
      </w:pPr>
      <w:rPr>
        <w:rFonts w:hint="default"/>
        <w:lang w:val="en-US" w:eastAsia="en-US" w:bidi="ar-SA"/>
      </w:rPr>
    </w:lvl>
    <w:lvl w:ilvl="5">
      <w:start w:val="0"/>
      <w:numFmt w:val="bullet"/>
      <w:lvlText w:val="•"/>
      <w:lvlJc w:val="left"/>
      <w:pPr>
        <w:ind w:left="2096" w:hanging="240"/>
      </w:pPr>
      <w:rPr>
        <w:rFonts w:hint="default"/>
        <w:lang w:val="en-US" w:eastAsia="en-US" w:bidi="ar-SA"/>
      </w:rPr>
    </w:lvl>
    <w:lvl w:ilvl="6">
      <w:start w:val="0"/>
      <w:numFmt w:val="bullet"/>
      <w:lvlText w:val="•"/>
      <w:lvlJc w:val="left"/>
      <w:pPr>
        <w:ind w:left="2432" w:hanging="240"/>
      </w:pPr>
      <w:rPr>
        <w:rFonts w:hint="default"/>
        <w:lang w:val="en-US" w:eastAsia="en-US" w:bidi="ar-SA"/>
      </w:rPr>
    </w:lvl>
    <w:lvl w:ilvl="7">
      <w:start w:val="0"/>
      <w:numFmt w:val="bullet"/>
      <w:lvlText w:val="•"/>
      <w:lvlJc w:val="left"/>
      <w:pPr>
        <w:ind w:left="2767" w:hanging="240"/>
      </w:pPr>
      <w:rPr>
        <w:rFonts w:hint="default"/>
        <w:lang w:val="en-US" w:eastAsia="en-US" w:bidi="ar-SA"/>
      </w:rPr>
    </w:lvl>
    <w:lvl w:ilvl="8">
      <w:start w:val="0"/>
      <w:numFmt w:val="bullet"/>
      <w:lvlText w:val="•"/>
      <w:lvlJc w:val="left"/>
      <w:pPr>
        <w:ind w:left="3102" w:hanging="240"/>
      </w:pPr>
      <w:rPr>
        <w:rFonts w:hint="default"/>
        <w:lang w:val="en-US" w:eastAsia="en-US" w:bidi="ar-SA"/>
      </w:rPr>
    </w:lvl>
  </w:abstractNum>
  <w:abstractNum w:abstractNumId="25">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1" w:hanging="240"/>
      </w:pPr>
      <w:rPr>
        <w:rFonts w:hint="default"/>
        <w:lang w:val="en-US" w:eastAsia="en-US" w:bidi="ar-SA"/>
      </w:rPr>
    </w:lvl>
    <w:lvl w:ilvl="2">
      <w:start w:val="0"/>
      <w:numFmt w:val="bullet"/>
      <w:lvlText w:val="•"/>
      <w:lvlJc w:val="left"/>
      <w:pPr>
        <w:ind w:left="1142" w:hanging="240"/>
      </w:pPr>
      <w:rPr>
        <w:rFonts w:hint="default"/>
        <w:lang w:val="en-US" w:eastAsia="en-US" w:bidi="ar-SA"/>
      </w:rPr>
    </w:lvl>
    <w:lvl w:ilvl="3">
      <w:start w:val="0"/>
      <w:numFmt w:val="bullet"/>
      <w:lvlText w:val="•"/>
      <w:lvlJc w:val="left"/>
      <w:pPr>
        <w:ind w:left="1503" w:hanging="240"/>
      </w:pPr>
      <w:rPr>
        <w:rFonts w:hint="default"/>
        <w:lang w:val="en-US" w:eastAsia="en-US" w:bidi="ar-SA"/>
      </w:rPr>
    </w:lvl>
    <w:lvl w:ilvl="4">
      <w:start w:val="0"/>
      <w:numFmt w:val="bullet"/>
      <w:lvlText w:val="•"/>
      <w:lvlJc w:val="left"/>
      <w:pPr>
        <w:ind w:left="1865" w:hanging="240"/>
      </w:pPr>
      <w:rPr>
        <w:rFonts w:hint="default"/>
        <w:lang w:val="en-US" w:eastAsia="en-US" w:bidi="ar-SA"/>
      </w:rPr>
    </w:lvl>
    <w:lvl w:ilvl="5">
      <w:start w:val="0"/>
      <w:numFmt w:val="bullet"/>
      <w:lvlText w:val="•"/>
      <w:lvlJc w:val="left"/>
      <w:pPr>
        <w:ind w:left="2226" w:hanging="240"/>
      </w:pPr>
      <w:rPr>
        <w:rFonts w:hint="default"/>
        <w:lang w:val="en-US" w:eastAsia="en-US" w:bidi="ar-SA"/>
      </w:rPr>
    </w:lvl>
    <w:lvl w:ilvl="6">
      <w:start w:val="0"/>
      <w:numFmt w:val="bullet"/>
      <w:lvlText w:val="•"/>
      <w:lvlJc w:val="left"/>
      <w:pPr>
        <w:ind w:left="2587" w:hanging="240"/>
      </w:pPr>
      <w:rPr>
        <w:rFonts w:hint="default"/>
        <w:lang w:val="en-US" w:eastAsia="en-US" w:bidi="ar-SA"/>
      </w:rPr>
    </w:lvl>
    <w:lvl w:ilvl="7">
      <w:start w:val="0"/>
      <w:numFmt w:val="bullet"/>
      <w:lvlText w:val="•"/>
      <w:lvlJc w:val="left"/>
      <w:pPr>
        <w:ind w:left="2948" w:hanging="240"/>
      </w:pPr>
      <w:rPr>
        <w:rFonts w:hint="default"/>
        <w:lang w:val="en-US" w:eastAsia="en-US" w:bidi="ar-SA"/>
      </w:rPr>
    </w:lvl>
    <w:lvl w:ilvl="8">
      <w:start w:val="0"/>
      <w:numFmt w:val="bullet"/>
      <w:lvlText w:val="•"/>
      <w:lvlJc w:val="left"/>
      <w:pPr>
        <w:ind w:left="3310" w:hanging="240"/>
      </w:pPr>
      <w:rPr>
        <w:rFonts w:hint="default"/>
        <w:lang w:val="en-US" w:eastAsia="en-US" w:bidi="ar-SA"/>
      </w:rPr>
    </w:lvl>
  </w:abstractNum>
  <w:abstractNum w:abstractNumId="24">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9" w:hanging="240"/>
      </w:pPr>
      <w:rPr>
        <w:rFonts w:hint="default"/>
        <w:lang w:val="en-US" w:eastAsia="en-US" w:bidi="ar-SA"/>
      </w:rPr>
    </w:lvl>
    <w:lvl w:ilvl="3">
      <w:start w:val="0"/>
      <w:numFmt w:val="bullet"/>
      <w:lvlText w:val="•"/>
      <w:lvlJc w:val="left"/>
      <w:pPr>
        <w:ind w:left="1633" w:hanging="240"/>
      </w:pPr>
      <w:rPr>
        <w:rFonts w:hint="default"/>
        <w:lang w:val="en-US" w:eastAsia="en-US" w:bidi="ar-SA"/>
      </w:rPr>
    </w:lvl>
    <w:lvl w:ilvl="4">
      <w:start w:val="0"/>
      <w:numFmt w:val="bullet"/>
      <w:lvlText w:val="•"/>
      <w:lvlJc w:val="left"/>
      <w:pPr>
        <w:ind w:left="2038" w:hanging="240"/>
      </w:pPr>
      <w:rPr>
        <w:rFonts w:hint="default"/>
        <w:lang w:val="en-US" w:eastAsia="en-US" w:bidi="ar-SA"/>
      </w:rPr>
    </w:lvl>
    <w:lvl w:ilvl="5">
      <w:start w:val="0"/>
      <w:numFmt w:val="bullet"/>
      <w:lvlText w:val="•"/>
      <w:lvlJc w:val="left"/>
      <w:pPr>
        <w:ind w:left="2442"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1" w:hanging="240"/>
      </w:pPr>
      <w:rPr>
        <w:rFonts w:hint="default"/>
        <w:lang w:val="en-US" w:eastAsia="en-US" w:bidi="ar-SA"/>
      </w:rPr>
    </w:lvl>
    <w:lvl w:ilvl="8">
      <w:start w:val="0"/>
      <w:numFmt w:val="bullet"/>
      <w:lvlText w:val="•"/>
      <w:lvlJc w:val="left"/>
      <w:pPr>
        <w:ind w:left="3656" w:hanging="240"/>
      </w:pPr>
      <w:rPr>
        <w:rFonts w:hint="default"/>
        <w:lang w:val="en-US" w:eastAsia="en-US" w:bidi="ar-SA"/>
      </w:rPr>
    </w:lvl>
  </w:abstractNum>
  <w:abstractNum w:abstractNumId="23">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9" w:hanging="240"/>
      </w:pPr>
      <w:rPr>
        <w:rFonts w:hint="default"/>
        <w:lang w:val="en-US" w:eastAsia="en-US" w:bidi="ar-SA"/>
      </w:rPr>
    </w:lvl>
    <w:lvl w:ilvl="3">
      <w:start w:val="0"/>
      <w:numFmt w:val="bullet"/>
      <w:lvlText w:val="•"/>
      <w:lvlJc w:val="left"/>
      <w:pPr>
        <w:ind w:left="1633" w:hanging="240"/>
      </w:pPr>
      <w:rPr>
        <w:rFonts w:hint="default"/>
        <w:lang w:val="en-US" w:eastAsia="en-US" w:bidi="ar-SA"/>
      </w:rPr>
    </w:lvl>
    <w:lvl w:ilvl="4">
      <w:start w:val="0"/>
      <w:numFmt w:val="bullet"/>
      <w:lvlText w:val="•"/>
      <w:lvlJc w:val="left"/>
      <w:pPr>
        <w:ind w:left="2038" w:hanging="240"/>
      </w:pPr>
      <w:rPr>
        <w:rFonts w:hint="default"/>
        <w:lang w:val="en-US" w:eastAsia="en-US" w:bidi="ar-SA"/>
      </w:rPr>
    </w:lvl>
    <w:lvl w:ilvl="5">
      <w:start w:val="0"/>
      <w:numFmt w:val="bullet"/>
      <w:lvlText w:val="•"/>
      <w:lvlJc w:val="left"/>
      <w:pPr>
        <w:ind w:left="2442"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1" w:hanging="240"/>
      </w:pPr>
      <w:rPr>
        <w:rFonts w:hint="default"/>
        <w:lang w:val="en-US" w:eastAsia="en-US" w:bidi="ar-SA"/>
      </w:rPr>
    </w:lvl>
    <w:lvl w:ilvl="8">
      <w:start w:val="0"/>
      <w:numFmt w:val="bullet"/>
      <w:lvlText w:val="•"/>
      <w:lvlJc w:val="left"/>
      <w:pPr>
        <w:ind w:left="3656" w:hanging="240"/>
      </w:pPr>
      <w:rPr>
        <w:rFonts w:hint="default"/>
        <w:lang w:val="en-US" w:eastAsia="en-US" w:bidi="ar-SA"/>
      </w:rPr>
    </w:lvl>
  </w:abstractNum>
  <w:abstractNum w:abstractNumId="22">
    <w:multiLevelType w:val="hybridMultilevel"/>
    <w:lvl w:ilvl="0">
      <w:start w:val="1"/>
      <w:numFmt w:val="decimal"/>
      <w:lvlText w:val="(%1)"/>
      <w:lvlJc w:val="left"/>
      <w:pPr>
        <w:ind w:left="420"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60" w:hanging="240"/>
      </w:pPr>
      <w:rPr>
        <w:rFonts w:hint="default"/>
        <w:lang w:val="en-US" w:eastAsia="en-US" w:bidi="ar-SA"/>
      </w:rPr>
    </w:lvl>
    <w:lvl w:ilvl="2">
      <w:start w:val="0"/>
      <w:numFmt w:val="bullet"/>
      <w:lvlText w:val="•"/>
      <w:lvlJc w:val="left"/>
      <w:pPr>
        <w:ind w:left="1500" w:hanging="240"/>
      </w:pPr>
      <w:rPr>
        <w:rFonts w:hint="default"/>
        <w:lang w:val="en-US" w:eastAsia="en-US" w:bidi="ar-SA"/>
      </w:rPr>
    </w:lvl>
    <w:lvl w:ilvl="3">
      <w:start w:val="0"/>
      <w:numFmt w:val="bullet"/>
      <w:lvlText w:val="•"/>
      <w:lvlJc w:val="left"/>
      <w:pPr>
        <w:ind w:left="2040" w:hanging="240"/>
      </w:pPr>
      <w:rPr>
        <w:rFonts w:hint="default"/>
        <w:lang w:val="en-US" w:eastAsia="en-US" w:bidi="ar-SA"/>
      </w:rPr>
    </w:lvl>
    <w:lvl w:ilvl="4">
      <w:start w:val="0"/>
      <w:numFmt w:val="bullet"/>
      <w:lvlText w:val="•"/>
      <w:lvlJc w:val="left"/>
      <w:pPr>
        <w:ind w:left="2580" w:hanging="240"/>
      </w:pPr>
      <w:rPr>
        <w:rFonts w:hint="default"/>
        <w:lang w:val="en-US" w:eastAsia="en-US" w:bidi="ar-SA"/>
      </w:rPr>
    </w:lvl>
    <w:lvl w:ilvl="5">
      <w:start w:val="0"/>
      <w:numFmt w:val="bullet"/>
      <w:lvlText w:val="•"/>
      <w:lvlJc w:val="left"/>
      <w:pPr>
        <w:ind w:left="3120" w:hanging="240"/>
      </w:pPr>
      <w:rPr>
        <w:rFonts w:hint="default"/>
        <w:lang w:val="en-US" w:eastAsia="en-US" w:bidi="ar-SA"/>
      </w:rPr>
    </w:lvl>
    <w:lvl w:ilvl="6">
      <w:start w:val="0"/>
      <w:numFmt w:val="bullet"/>
      <w:lvlText w:val="•"/>
      <w:lvlJc w:val="left"/>
      <w:pPr>
        <w:ind w:left="3660" w:hanging="240"/>
      </w:pPr>
      <w:rPr>
        <w:rFonts w:hint="default"/>
        <w:lang w:val="en-US" w:eastAsia="en-US" w:bidi="ar-SA"/>
      </w:rPr>
    </w:lvl>
    <w:lvl w:ilvl="7">
      <w:start w:val="0"/>
      <w:numFmt w:val="bullet"/>
      <w:lvlText w:val="•"/>
      <w:lvlJc w:val="left"/>
      <w:pPr>
        <w:ind w:left="4200" w:hanging="240"/>
      </w:pPr>
      <w:rPr>
        <w:rFonts w:hint="default"/>
        <w:lang w:val="en-US" w:eastAsia="en-US" w:bidi="ar-SA"/>
      </w:rPr>
    </w:lvl>
    <w:lvl w:ilvl="8">
      <w:start w:val="0"/>
      <w:numFmt w:val="bullet"/>
      <w:lvlText w:val="•"/>
      <w:lvlJc w:val="left"/>
      <w:pPr>
        <w:ind w:left="4740" w:hanging="240"/>
      </w:pPr>
      <w:rPr>
        <w:rFonts w:hint="default"/>
        <w:lang w:val="en-US" w:eastAsia="en-US" w:bidi="ar-SA"/>
      </w:rPr>
    </w:lvl>
  </w:abstractNum>
  <w:abstractNum w:abstractNumId="21">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9" w:hanging="241"/>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391"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85" w:hanging="240"/>
      </w:pPr>
      <w:rPr>
        <w:rFonts w:hint="default"/>
        <w:lang w:val="en-US" w:eastAsia="en-US" w:bidi="ar-SA"/>
      </w:rPr>
    </w:lvl>
    <w:lvl w:ilvl="4">
      <w:start w:val="0"/>
      <w:numFmt w:val="bullet"/>
      <w:lvlText w:val="•"/>
      <w:lvlJc w:val="left"/>
      <w:pPr>
        <w:ind w:left="-82" w:hanging="240"/>
      </w:pPr>
      <w:rPr>
        <w:rFonts w:hint="default"/>
        <w:lang w:val="en-US" w:eastAsia="en-US" w:bidi="ar-SA"/>
      </w:rPr>
    </w:lvl>
    <w:lvl w:ilvl="5">
      <w:start w:val="0"/>
      <w:numFmt w:val="bullet"/>
      <w:lvlText w:val="•"/>
      <w:lvlJc w:val="left"/>
      <w:pPr>
        <w:ind w:left="-249" w:hanging="240"/>
      </w:pPr>
      <w:rPr>
        <w:rFonts w:hint="default"/>
        <w:lang w:val="en-US" w:eastAsia="en-US" w:bidi="ar-SA"/>
      </w:rPr>
    </w:lvl>
    <w:lvl w:ilvl="6">
      <w:start w:val="0"/>
      <w:numFmt w:val="bullet"/>
      <w:lvlText w:val="•"/>
      <w:lvlJc w:val="left"/>
      <w:pPr>
        <w:ind w:left="-417" w:hanging="240"/>
      </w:pPr>
      <w:rPr>
        <w:rFonts w:hint="default"/>
        <w:lang w:val="en-US" w:eastAsia="en-US" w:bidi="ar-SA"/>
      </w:rPr>
    </w:lvl>
    <w:lvl w:ilvl="7">
      <w:start w:val="0"/>
      <w:numFmt w:val="bullet"/>
      <w:lvlText w:val="•"/>
      <w:lvlJc w:val="left"/>
      <w:pPr>
        <w:ind w:left="-584" w:hanging="240"/>
      </w:pPr>
      <w:rPr>
        <w:rFonts w:hint="default"/>
        <w:lang w:val="en-US" w:eastAsia="en-US" w:bidi="ar-SA"/>
      </w:rPr>
    </w:lvl>
    <w:lvl w:ilvl="8">
      <w:start w:val="0"/>
      <w:numFmt w:val="bullet"/>
      <w:lvlText w:val="•"/>
      <w:lvlJc w:val="left"/>
      <w:pPr>
        <w:ind w:left="-751" w:hanging="240"/>
      </w:pPr>
      <w:rPr>
        <w:rFonts w:hint="default"/>
        <w:lang w:val="en-US" w:eastAsia="en-US" w:bidi="ar-SA"/>
      </w:rPr>
    </w:lvl>
  </w:abstractNum>
  <w:abstractNum w:abstractNumId="20">
    <w:multiLevelType w:val="hybridMultilevel"/>
    <w:lvl w:ilvl="0">
      <w:start w:val="4"/>
      <w:numFmt w:val="decimal"/>
      <w:lvlText w:val="%1"/>
      <w:lvlJc w:val="left"/>
      <w:pPr>
        <w:ind w:left="3340" w:hanging="3161"/>
        <w:jc w:val="left"/>
      </w:pPr>
      <w:rPr>
        <w:rFonts w:hint="default"/>
        <w:lang w:val="en-US" w:eastAsia="en-US" w:bidi="ar-SA"/>
      </w:rPr>
    </w:lvl>
    <w:lvl w:ilvl="1">
      <w:start w:val="1"/>
      <w:numFmt w:val="decimal"/>
      <w:lvlText w:val="%1.%2"/>
      <w:lvlJc w:val="left"/>
      <w:pPr>
        <w:ind w:left="3340" w:hanging="3161"/>
        <w:jc w:val="right"/>
      </w:pPr>
      <w:rPr>
        <w:rFonts w:hint="default" w:ascii="Times New Roman" w:hAnsi="Times New Roman" w:eastAsia="Times New Roman" w:cs="Times New Roman"/>
        <w:b/>
        <w:bCs/>
        <w:color w:val="009483"/>
        <w:spacing w:val="-5"/>
        <w:w w:val="100"/>
        <w:sz w:val="28"/>
        <w:szCs w:val="28"/>
        <w:u w:val="thick" w:color="0093C1"/>
        <w:lang w:val="en-US" w:eastAsia="en-US" w:bidi="ar-SA"/>
      </w:rPr>
    </w:lvl>
    <w:lvl w:ilvl="2">
      <w:start w:val="0"/>
      <w:numFmt w:val="bullet"/>
      <w:lvlText w:val="•"/>
      <w:lvlJc w:val="left"/>
      <w:pPr>
        <w:ind w:left="3840" w:hanging="3161"/>
      </w:pPr>
      <w:rPr>
        <w:rFonts w:hint="default"/>
        <w:lang w:val="en-US" w:eastAsia="en-US" w:bidi="ar-SA"/>
      </w:rPr>
    </w:lvl>
    <w:lvl w:ilvl="3">
      <w:start w:val="0"/>
      <w:numFmt w:val="bullet"/>
      <w:lvlText w:val="•"/>
      <w:lvlJc w:val="left"/>
      <w:pPr>
        <w:ind w:left="4090" w:hanging="3161"/>
      </w:pPr>
      <w:rPr>
        <w:rFonts w:hint="default"/>
        <w:lang w:val="en-US" w:eastAsia="en-US" w:bidi="ar-SA"/>
      </w:rPr>
    </w:lvl>
    <w:lvl w:ilvl="4">
      <w:start w:val="0"/>
      <w:numFmt w:val="bullet"/>
      <w:lvlText w:val="•"/>
      <w:lvlJc w:val="left"/>
      <w:pPr>
        <w:ind w:left="4340" w:hanging="3161"/>
      </w:pPr>
      <w:rPr>
        <w:rFonts w:hint="default"/>
        <w:lang w:val="en-US" w:eastAsia="en-US" w:bidi="ar-SA"/>
      </w:rPr>
    </w:lvl>
    <w:lvl w:ilvl="5">
      <w:start w:val="0"/>
      <w:numFmt w:val="bullet"/>
      <w:lvlText w:val="•"/>
      <w:lvlJc w:val="left"/>
      <w:pPr>
        <w:ind w:left="4590" w:hanging="3161"/>
      </w:pPr>
      <w:rPr>
        <w:rFonts w:hint="default"/>
        <w:lang w:val="en-US" w:eastAsia="en-US" w:bidi="ar-SA"/>
      </w:rPr>
    </w:lvl>
    <w:lvl w:ilvl="6">
      <w:start w:val="0"/>
      <w:numFmt w:val="bullet"/>
      <w:lvlText w:val="•"/>
      <w:lvlJc w:val="left"/>
      <w:pPr>
        <w:ind w:left="4840" w:hanging="3161"/>
      </w:pPr>
      <w:rPr>
        <w:rFonts w:hint="default"/>
        <w:lang w:val="en-US" w:eastAsia="en-US" w:bidi="ar-SA"/>
      </w:rPr>
    </w:lvl>
    <w:lvl w:ilvl="7">
      <w:start w:val="0"/>
      <w:numFmt w:val="bullet"/>
      <w:lvlText w:val="•"/>
      <w:lvlJc w:val="left"/>
      <w:pPr>
        <w:ind w:left="5090" w:hanging="3161"/>
      </w:pPr>
      <w:rPr>
        <w:rFonts w:hint="default"/>
        <w:lang w:val="en-US" w:eastAsia="en-US" w:bidi="ar-SA"/>
      </w:rPr>
    </w:lvl>
    <w:lvl w:ilvl="8">
      <w:start w:val="0"/>
      <w:numFmt w:val="bullet"/>
      <w:lvlText w:val="•"/>
      <w:lvlJc w:val="left"/>
      <w:pPr>
        <w:ind w:left="5340" w:hanging="3161"/>
      </w:pPr>
      <w:rPr>
        <w:rFonts w:hint="default"/>
        <w:lang w:val="en-US" w:eastAsia="en-US" w:bidi="ar-SA"/>
      </w:rPr>
    </w:lvl>
  </w:abstractNum>
  <w:abstractNum w:abstractNumId="19">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5" w:hanging="240"/>
      </w:pPr>
      <w:rPr>
        <w:rFonts w:hint="default"/>
        <w:lang w:val="en-US" w:eastAsia="en-US" w:bidi="ar-SA"/>
      </w:rPr>
    </w:lvl>
    <w:lvl w:ilvl="2">
      <w:start w:val="0"/>
      <w:numFmt w:val="bullet"/>
      <w:lvlText w:val="•"/>
      <w:lvlJc w:val="left"/>
      <w:pPr>
        <w:ind w:left="1210" w:hanging="240"/>
      </w:pPr>
      <w:rPr>
        <w:rFonts w:hint="default"/>
        <w:lang w:val="en-US" w:eastAsia="en-US" w:bidi="ar-SA"/>
      </w:rPr>
    </w:lvl>
    <w:lvl w:ilvl="3">
      <w:start w:val="0"/>
      <w:numFmt w:val="bullet"/>
      <w:lvlText w:val="•"/>
      <w:lvlJc w:val="left"/>
      <w:pPr>
        <w:ind w:left="1605" w:hanging="240"/>
      </w:pPr>
      <w:rPr>
        <w:rFonts w:hint="default"/>
        <w:lang w:val="en-US" w:eastAsia="en-US" w:bidi="ar-SA"/>
      </w:rPr>
    </w:lvl>
    <w:lvl w:ilvl="4">
      <w:start w:val="0"/>
      <w:numFmt w:val="bullet"/>
      <w:lvlText w:val="•"/>
      <w:lvlJc w:val="left"/>
      <w:pPr>
        <w:ind w:left="2000" w:hanging="240"/>
      </w:pPr>
      <w:rPr>
        <w:rFonts w:hint="default"/>
        <w:lang w:val="en-US" w:eastAsia="en-US" w:bidi="ar-SA"/>
      </w:rPr>
    </w:lvl>
    <w:lvl w:ilvl="5">
      <w:start w:val="0"/>
      <w:numFmt w:val="bullet"/>
      <w:lvlText w:val="•"/>
      <w:lvlJc w:val="left"/>
      <w:pPr>
        <w:ind w:left="2395" w:hanging="240"/>
      </w:pPr>
      <w:rPr>
        <w:rFonts w:hint="default"/>
        <w:lang w:val="en-US" w:eastAsia="en-US" w:bidi="ar-SA"/>
      </w:rPr>
    </w:lvl>
    <w:lvl w:ilvl="6">
      <w:start w:val="0"/>
      <w:numFmt w:val="bullet"/>
      <w:lvlText w:val="•"/>
      <w:lvlJc w:val="left"/>
      <w:pPr>
        <w:ind w:left="2790" w:hanging="240"/>
      </w:pPr>
      <w:rPr>
        <w:rFonts w:hint="default"/>
        <w:lang w:val="en-US" w:eastAsia="en-US" w:bidi="ar-SA"/>
      </w:rPr>
    </w:lvl>
    <w:lvl w:ilvl="7">
      <w:start w:val="0"/>
      <w:numFmt w:val="bullet"/>
      <w:lvlText w:val="•"/>
      <w:lvlJc w:val="left"/>
      <w:pPr>
        <w:ind w:left="3185" w:hanging="240"/>
      </w:pPr>
      <w:rPr>
        <w:rFonts w:hint="default"/>
        <w:lang w:val="en-US" w:eastAsia="en-US" w:bidi="ar-SA"/>
      </w:rPr>
    </w:lvl>
    <w:lvl w:ilvl="8">
      <w:start w:val="0"/>
      <w:numFmt w:val="bullet"/>
      <w:lvlText w:val="•"/>
      <w:lvlJc w:val="left"/>
      <w:pPr>
        <w:ind w:left="3580" w:hanging="240"/>
      </w:pPr>
      <w:rPr>
        <w:rFonts w:hint="default"/>
        <w:lang w:val="en-US" w:eastAsia="en-US" w:bidi="ar-SA"/>
      </w:rPr>
    </w:lvl>
  </w:abstractNum>
  <w:abstractNum w:abstractNumId="18">
    <w:multiLevelType w:val="hybridMultilevel"/>
    <w:lvl w:ilvl="0">
      <w:start w:val="1"/>
      <w:numFmt w:val="lowerLetter"/>
      <w:lvlText w:val="(%1)"/>
      <w:lvlJc w:val="left"/>
      <w:pPr>
        <w:ind w:left="39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03"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45" w:hanging="240"/>
      </w:pPr>
      <w:rPr>
        <w:rFonts w:hint="default"/>
        <w:lang w:val="en-US" w:eastAsia="en-US" w:bidi="ar-SA"/>
      </w:rPr>
    </w:lvl>
    <w:lvl w:ilvl="3">
      <w:start w:val="0"/>
      <w:numFmt w:val="bullet"/>
      <w:lvlText w:val="•"/>
      <w:lvlJc w:val="left"/>
      <w:pPr>
        <w:ind w:left="4890" w:hanging="240"/>
      </w:pPr>
      <w:rPr>
        <w:rFonts w:hint="default"/>
        <w:lang w:val="en-US" w:eastAsia="en-US" w:bidi="ar-SA"/>
      </w:rPr>
    </w:lvl>
    <w:lvl w:ilvl="4">
      <w:start w:val="0"/>
      <w:numFmt w:val="bullet"/>
      <w:lvlText w:val="•"/>
      <w:lvlJc w:val="left"/>
      <w:pPr>
        <w:ind w:left="4736" w:hanging="240"/>
      </w:pPr>
      <w:rPr>
        <w:rFonts w:hint="default"/>
        <w:lang w:val="en-US" w:eastAsia="en-US" w:bidi="ar-SA"/>
      </w:rPr>
    </w:lvl>
    <w:lvl w:ilvl="5">
      <w:start w:val="0"/>
      <w:numFmt w:val="bullet"/>
      <w:lvlText w:val="•"/>
      <w:lvlJc w:val="left"/>
      <w:pPr>
        <w:ind w:left="4581" w:hanging="240"/>
      </w:pPr>
      <w:rPr>
        <w:rFonts w:hint="default"/>
        <w:lang w:val="en-US" w:eastAsia="en-US" w:bidi="ar-SA"/>
      </w:rPr>
    </w:lvl>
    <w:lvl w:ilvl="6">
      <w:start w:val="0"/>
      <w:numFmt w:val="bullet"/>
      <w:lvlText w:val="•"/>
      <w:lvlJc w:val="left"/>
      <w:pPr>
        <w:ind w:left="4426" w:hanging="240"/>
      </w:pPr>
      <w:rPr>
        <w:rFonts w:hint="default"/>
        <w:lang w:val="en-US" w:eastAsia="en-US" w:bidi="ar-SA"/>
      </w:rPr>
    </w:lvl>
    <w:lvl w:ilvl="7">
      <w:start w:val="0"/>
      <w:numFmt w:val="bullet"/>
      <w:lvlText w:val="•"/>
      <w:lvlJc w:val="left"/>
      <w:pPr>
        <w:ind w:left="4272" w:hanging="240"/>
      </w:pPr>
      <w:rPr>
        <w:rFonts w:hint="default"/>
        <w:lang w:val="en-US" w:eastAsia="en-US" w:bidi="ar-SA"/>
      </w:rPr>
    </w:lvl>
    <w:lvl w:ilvl="8">
      <w:start w:val="0"/>
      <w:numFmt w:val="bullet"/>
      <w:lvlText w:val="•"/>
      <w:lvlJc w:val="left"/>
      <w:pPr>
        <w:ind w:left="4117" w:hanging="240"/>
      </w:pPr>
      <w:rPr>
        <w:rFonts w:hint="default"/>
        <w:lang w:val="en-US" w:eastAsia="en-US" w:bidi="ar-SA"/>
      </w:rPr>
    </w:lvl>
  </w:abstractNum>
  <w:abstractNum w:abstractNumId="17">
    <w:multiLevelType w:val="hybridMultilevel"/>
    <w:lvl w:ilvl="0">
      <w:start w:val="1"/>
      <w:numFmt w:val="lowerLetter"/>
      <w:lvlText w:val="(%1)"/>
      <w:lvlJc w:val="left"/>
      <w:pPr>
        <w:ind w:left="40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95" w:hanging="240"/>
      </w:pPr>
      <w:rPr>
        <w:rFonts w:hint="default"/>
        <w:lang w:val="en-US" w:eastAsia="en-US" w:bidi="ar-SA"/>
      </w:rPr>
    </w:lvl>
    <w:lvl w:ilvl="2">
      <w:start w:val="0"/>
      <w:numFmt w:val="bullet"/>
      <w:lvlText w:val="•"/>
      <w:lvlJc w:val="left"/>
      <w:pPr>
        <w:ind w:left="991" w:hanging="240"/>
      </w:pPr>
      <w:rPr>
        <w:rFonts w:hint="default"/>
        <w:lang w:val="en-US" w:eastAsia="en-US" w:bidi="ar-SA"/>
      </w:rPr>
    </w:lvl>
    <w:lvl w:ilvl="3">
      <w:start w:val="0"/>
      <w:numFmt w:val="bullet"/>
      <w:lvlText w:val="•"/>
      <w:lvlJc w:val="left"/>
      <w:pPr>
        <w:ind w:left="1286" w:hanging="240"/>
      </w:pPr>
      <w:rPr>
        <w:rFonts w:hint="default"/>
        <w:lang w:val="en-US" w:eastAsia="en-US" w:bidi="ar-SA"/>
      </w:rPr>
    </w:lvl>
    <w:lvl w:ilvl="4">
      <w:start w:val="0"/>
      <w:numFmt w:val="bullet"/>
      <w:lvlText w:val="•"/>
      <w:lvlJc w:val="left"/>
      <w:pPr>
        <w:ind w:left="1582" w:hanging="240"/>
      </w:pPr>
      <w:rPr>
        <w:rFonts w:hint="default"/>
        <w:lang w:val="en-US" w:eastAsia="en-US" w:bidi="ar-SA"/>
      </w:rPr>
    </w:lvl>
    <w:lvl w:ilvl="5">
      <w:start w:val="0"/>
      <w:numFmt w:val="bullet"/>
      <w:lvlText w:val="•"/>
      <w:lvlJc w:val="left"/>
      <w:pPr>
        <w:ind w:left="1877" w:hanging="240"/>
      </w:pPr>
      <w:rPr>
        <w:rFonts w:hint="default"/>
        <w:lang w:val="en-US" w:eastAsia="en-US" w:bidi="ar-SA"/>
      </w:rPr>
    </w:lvl>
    <w:lvl w:ilvl="6">
      <w:start w:val="0"/>
      <w:numFmt w:val="bullet"/>
      <w:lvlText w:val="•"/>
      <w:lvlJc w:val="left"/>
      <w:pPr>
        <w:ind w:left="2173" w:hanging="240"/>
      </w:pPr>
      <w:rPr>
        <w:rFonts w:hint="default"/>
        <w:lang w:val="en-US" w:eastAsia="en-US" w:bidi="ar-SA"/>
      </w:rPr>
    </w:lvl>
    <w:lvl w:ilvl="7">
      <w:start w:val="0"/>
      <w:numFmt w:val="bullet"/>
      <w:lvlText w:val="•"/>
      <w:lvlJc w:val="left"/>
      <w:pPr>
        <w:ind w:left="2468" w:hanging="240"/>
      </w:pPr>
      <w:rPr>
        <w:rFonts w:hint="default"/>
        <w:lang w:val="en-US" w:eastAsia="en-US" w:bidi="ar-SA"/>
      </w:rPr>
    </w:lvl>
    <w:lvl w:ilvl="8">
      <w:start w:val="0"/>
      <w:numFmt w:val="bullet"/>
      <w:lvlText w:val="•"/>
      <w:lvlJc w:val="left"/>
      <w:pPr>
        <w:ind w:left="2764" w:hanging="240"/>
      </w:pPr>
      <w:rPr>
        <w:rFonts w:hint="default"/>
        <w:lang w:val="en-US" w:eastAsia="en-US" w:bidi="ar-SA"/>
      </w:rPr>
    </w:lvl>
  </w:abstractNum>
  <w:abstractNum w:abstractNumId="16">
    <w:multiLevelType w:val="hybridMultilevel"/>
    <w:lvl w:ilvl="0">
      <w:start w:val="1"/>
      <w:numFmt w:val="lowerLetter"/>
      <w:lvlText w:val="(%1)"/>
      <w:lvlJc w:val="left"/>
      <w:pPr>
        <w:ind w:left="40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03"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4974" w:hanging="240"/>
      </w:pPr>
      <w:rPr>
        <w:rFonts w:hint="default"/>
        <w:lang w:val="en-US" w:eastAsia="en-US" w:bidi="ar-SA"/>
      </w:rPr>
    </w:lvl>
    <w:lvl w:ilvl="3">
      <w:start w:val="0"/>
      <w:numFmt w:val="bullet"/>
      <w:lvlText w:val="•"/>
      <w:lvlJc w:val="left"/>
      <w:pPr>
        <w:ind w:left="4748" w:hanging="240"/>
      </w:pPr>
      <w:rPr>
        <w:rFonts w:hint="default"/>
        <w:lang w:val="en-US" w:eastAsia="en-US" w:bidi="ar-SA"/>
      </w:rPr>
    </w:lvl>
    <w:lvl w:ilvl="4">
      <w:start w:val="0"/>
      <w:numFmt w:val="bullet"/>
      <w:lvlText w:val="•"/>
      <w:lvlJc w:val="left"/>
      <w:pPr>
        <w:ind w:left="4522" w:hanging="240"/>
      </w:pPr>
      <w:rPr>
        <w:rFonts w:hint="default"/>
        <w:lang w:val="en-US" w:eastAsia="en-US" w:bidi="ar-SA"/>
      </w:rPr>
    </w:lvl>
    <w:lvl w:ilvl="5">
      <w:start w:val="0"/>
      <w:numFmt w:val="bullet"/>
      <w:lvlText w:val="•"/>
      <w:lvlJc w:val="left"/>
      <w:pPr>
        <w:ind w:left="4297" w:hanging="240"/>
      </w:pPr>
      <w:rPr>
        <w:rFonts w:hint="default"/>
        <w:lang w:val="en-US" w:eastAsia="en-US" w:bidi="ar-SA"/>
      </w:rPr>
    </w:lvl>
    <w:lvl w:ilvl="6">
      <w:start w:val="0"/>
      <w:numFmt w:val="bullet"/>
      <w:lvlText w:val="•"/>
      <w:lvlJc w:val="left"/>
      <w:pPr>
        <w:ind w:left="4071" w:hanging="240"/>
      </w:pPr>
      <w:rPr>
        <w:rFonts w:hint="default"/>
        <w:lang w:val="en-US" w:eastAsia="en-US" w:bidi="ar-SA"/>
      </w:rPr>
    </w:lvl>
    <w:lvl w:ilvl="7">
      <w:start w:val="0"/>
      <w:numFmt w:val="bullet"/>
      <w:lvlText w:val="•"/>
      <w:lvlJc w:val="left"/>
      <w:pPr>
        <w:ind w:left="3845" w:hanging="240"/>
      </w:pPr>
      <w:rPr>
        <w:rFonts w:hint="default"/>
        <w:lang w:val="en-US" w:eastAsia="en-US" w:bidi="ar-SA"/>
      </w:rPr>
    </w:lvl>
    <w:lvl w:ilvl="8">
      <w:start w:val="0"/>
      <w:numFmt w:val="bullet"/>
      <w:lvlText w:val="•"/>
      <w:lvlJc w:val="left"/>
      <w:pPr>
        <w:ind w:left="3619" w:hanging="240"/>
      </w:pPr>
      <w:rPr>
        <w:rFonts w:hint="default"/>
        <w:lang w:val="en-US" w:eastAsia="en-US" w:bidi="ar-SA"/>
      </w:rPr>
    </w:lvl>
  </w:abstractNum>
  <w:abstractNum w:abstractNumId="15">
    <w:multiLevelType w:val="hybridMultilevel"/>
    <w:lvl w:ilvl="0">
      <w:start w:val="1"/>
      <w:numFmt w:val="decimal"/>
      <w:lvlText w:val="(%1)"/>
      <w:lvlJc w:val="left"/>
      <w:pPr>
        <w:ind w:left="674" w:hanging="240"/>
        <w:jc w:val="left"/>
      </w:pPr>
      <w:rPr>
        <w:rFonts w:hint="default" w:ascii="Times New Roman" w:hAnsi="Times New Roman" w:eastAsia="Times New Roman" w:cs="Times New Roman"/>
        <w:color w:val="231F20"/>
        <w:spacing w:val="-1"/>
        <w:w w:val="100"/>
        <w:sz w:val="12"/>
        <w:szCs w:val="12"/>
        <w:lang w:val="en-US" w:eastAsia="en-US" w:bidi="ar-SA"/>
      </w:rPr>
    </w:lvl>
    <w:lvl w:ilvl="1">
      <w:start w:val="0"/>
      <w:numFmt w:val="bullet"/>
      <w:lvlText w:val="•"/>
      <w:lvlJc w:val="left"/>
      <w:pPr>
        <w:ind w:left="1672" w:hanging="240"/>
      </w:pPr>
      <w:rPr>
        <w:rFonts w:hint="default"/>
        <w:lang w:val="en-US" w:eastAsia="en-US" w:bidi="ar-SA"/>
      </w:rPr>
    </w:lvl>
    <w:lvl w:ilvl="2">
      <w:start w:val="0"/>
      <w:numFmt w:val="bullet"/>
      <w:lvlText w:val="•"/>
      <w:lvlJc w:val="left"/>
      <w:pPr>
        <w:ind w:left="2664" w:hanging="240"/>
      </w:pPr>
      <w:rPr>
        <w:rFonts w:hint="default"/>
        <w:lang w:val="en-US" w:eastAsia="en-US" w:bidi="ar-SA"/>
      </w:rPr>
    </w:lvl>
    <w:lvl w:ilvl="3">
      <w:start w:val="0"/>
      <w:numFmt w:val="bullet"/>
      <w:lvlText w:val="•"/>
      <w:lvlJc w:val="left"/>
      <w:pPr>
        <w:ind w:left="3656" w:hanging="240"/>
      </w:pPr>
      <w:rPr>
        <w:rFonts w:hint="default"/>
        <w:lang w:val="en-US" w:eastAsia="en-US" w:bidi="ar-SA"/>
      </w:rPr>
    </w:lvl>
    <w:lvl w:ilvl="4">
      <w:start w:val="0"/>
      <w:numFmt w:val="bullet"/>
      <w:lvlText w:val="•"/>
      <w:lvlJc w:val="left"/>
      <w:pPr>
        <w:ind w:left="4648" w:hanging="240"/>
      </w:pPr>
      <w:rPr>
        <w:rFonts w:hint="default"/>
        <w:lang w:val="en-US" w:eastAsia="en-US" w:bidi="ar-SA"/>
      </w:rPr>
    </w:lvl>
    <w:lvl w:ilvl="5">
      <w:start w:val="0"/>
      <w:numFmt w:val="bullet"/>
      <w:lvlText w:val="•"/>
      <w:lvlJc w:val="left"/>
      <w:pPr>
        <w:ind w:left="5640" w:hanging="240"/>
      </w:pPr>
      <w:rPr>
        <w:rFonts w:hint="default"/>
        <w:lang w:val="en-US" w:eastAsia="en-US" w:bidi="ar-SA"/>
      </w:rPr>
    </w:lvl>
    <w:lvl w:ilvl="6">
      <w:start w:val="0"/>
      <w:numFmt w:val="bullet"/>
      <w:lvlText w:val="•"/>
      <w:lvlJc w:val="left"/>
      <w:pPr>
        <w:ind w:left="6632" w:hanging="240"/>
      </w:pPr>
      <w:rPr>
        <w:rFonts w:hint="default"/>
        <w:lang w:val="en-US" w:eastAsia="en-US" w:bidi="ar-SA"/>
      </w:rPr>
    </w:lvl>
    <w:lvl w:ilvl="7">
      <w:start w:val="0"/>
      <w:numFmt w:val="bullet"/>
      <w:lvlText w:val="•"/>
      <w:lvlJc w:val="left"/>
      <w:pPr>
        <w:ind w:left="7624" w:hanging="240"/>
      </w:pPr>
      <w:rPr>
        <w:rFonts w:hint="default"/>
        <w:lang w:val="en-US" w:eastAsia="en-US" w:bidi="ar-SA"/>
      </w:rPr>
    </w:lvl>
    <w:lvl w:ilvl="8">
      <w:start w:val="0"/>
      <w:numFmt w:val="bullet"/>
      <w:lvlText w:val="•"/>
      <w:lvlJc w:val="left"/>
      <w:pPr>
        <w:ind w:left="8616" w:hanging="240"/>
      </w:pPr>
      <w:rPr>
        <w:rFonts w:hint="default"/>
        <w:lang w:val="en-US" w:eastAsia="en-US" w:bidi="ar-SA"/>
      </w:rPr>
    </w:lvl>
  </w:abstractNum>
  <w:abstractNum w:abstractNumId="14">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580" w:hanging="240"/>
      </w:pPr>
      <w:rPr>
        <w:rFonts w:hint="default"/>
        <w:lang w:val="en-US" w:eastAsia="en-US" w:bidi="ar-SA"/>
      </w:rPr>
    </w:lvl>
    <w:lvl w:ilvl="2">
      <w:start w:val="0"/>
      <w:numFmt w:val="bullet"/>
      <w:lvlText w:val="•"/>
      <w:lvlJc w:val="left"/>
      <w:pPr>
        <w:ind w:left="990" w:hanging="240"/>
      </w:pPr>
      <w:rPr>
        <w:rFonts w:hint="default"/>
        <w:lang w:val="en-US" w:eastAsia="en-US" w:bidi="ar-SA"/>
      </w:rPr>
    </w:lvl>
    <w:lvl w:ilvl="3">
      <w:start w:val="0"/>
      <w:numFmt w:val="bullet"/>
      <w:lvlText w:val="•"/>
      <w:lvlJc w:val="left"/>
      <w:pPr>
        <w:ind w:left="1401" w:hanging="240"/>
      </w:pPr>
      <w:rPr>
        <w:rFonts w:hint="default"/>
        <w:lang w:val="en-US" w:eastAsia="en-US" w:bidi="ar-SA"/>
      </w:rPr>
    </w:lvl>
    <w:lvl w:ilvl="4">
      <w:start w:val="0"/>
      <w:numFmt w:val="bullet"/>
      <w:lvlText w:val="•"/>
      <w:lvlJc w:val="left"/>
      <w:pPr>
        <w:ind w:left="1811" w:hanging="240"/>
      </w:pPr>
      <w:rPr>
        <w:rFonts w:hint="default"/>
        <w:lang w:val="en-US" w:eastAsia="en-US" w:bidi="ar-SA"/>
      </w:rPr>
    </w:lvl>
    <w:lvl w:ilvl="5">
      <w:start w:val="0"/>
      <w:numFmt w:val="bullet"/>
      <w:lvlText w:val="•"/>
      <w:lvlJc w:val="left"/>
      <w:pPr>
        <w:ind w:left="2222" w:hanging="240"/>
      </w:pPr>
      <w:rPr>
        <w:rFonts w:hint="default"/>
        <w:lang w:val="en-US" w:eastAsia="en-US" w:bidi="ar-SA"/>
      </w:rPr>
    </w:lvl>
    <w:lvl w:ilvl="6">
      <w:start w:val="0"/>
      <w:numFmt w:val="bullet"/>
      <w:lvlText w:val="•"/>
      <w:lvlJc w:val="left"/>
      <w:pPr>
        <w:ind w:left="2632" w:hanging="240"/>
      </w:pPr>
      <w:rPr>
        <w:rFonts w:hint="default"/>
        <w:lang w:val="en-US" w:eastAsia="en-US" w:bidi="ar-SA"/>
      </w:rPr>
    </w:lvl>
    <w:lvl w:ilvl="7">
      <w:start w:val="0"/>
      <w:numFmt w:val="bullet"/>
      <w:lvlText w:val="•"/>
      <w:lvlJc w:val="left"/>
      <w:pPr>
        <w:ind w:left="3043" w:hanging="240"/>
      </w:pPr>
      <w:rPr>
        <w:rFonts w:hint="default"/>
        <w:lang w:val="en-US" w:eastAsia="en-US" w:bidi="ar-SA"/>
      </w:rPr>
    </w:lvl>
    <w:lvl w:ilvl="8">
      <w:start w:val="0"/>
      <w:numFmt w:val="bullet"/>
      <w:lvlText w:val="•"/>
      <w:lvlJc w:val="left"/>
      <w:pPr>
        <w:ind w:left="3453" w:hanging="240"/>
      </w:pPr>
      <w:rPr>
        <w:rFonts w:hint="default"/>
        <w:lang w:val="en-US" w:eastAsia="en-US" w:bidi="ar-SA"/>
      </w:rPr>
    </w:lvl>
  </w:abstractNum>
  <w:abstractNum w:abstractNumId="13">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688" w:hanging="240"/>
        <w:jc w:val="left"/>
      </w:pPr>
      <w:rPr>
        <w:rFonts w:hint="default" w:ascii="Times New Roman" w:hAnsi="Times New Roman" w:eastAsia="Times New Roman" w:cs="Times New Roman"/>
        <w:color w:val="231F20"/>
        <w:spacing w:val="-2"/>
        <w:w w:val="100"/>
        <w:sz w:val="12"/>
        <w:szCs w:val="12"/>
        <w:lang w:val="en-US" w:eastAsia="en-US" w:bidi="ar-SA"/>
      </w:rPr>
    </w:lvl>
    <w:lvl w:ilvl="2">
      <w:start w:val="0"/>
      <w:numFmt w:val="bullet"/>
      <w:lvlText w:val="•"/>
      <w:lvlJc w:val="left"/>
      <w:pPr>
        <w:ind w:left="1029" w:hanging="240"/>
      </w:pPr>
      <w:rPr>
        <w:rFonts w:hint="default"/>
        <w:lang w:val="en-US" w:eastAsia="en-US" w:bidi="ar-SA"/>
      </w:rPr>
    </w:lvl>
    <w:lvl w:ilvl="3">
      <w:start w:val="0"/>
      <w:numFmt w:val="bullet"/>
      <w:lvlText w:val="•"/>
      <w:lvlJc w:val="left"/>
      <w:pPr>
        <w:ind w:left="1379" w:hanging="240"/>
      </w:pPr>
      <w:rPr>
        <w:rFonts w:hint="default"/>
        <w:lang w:val="en-US" w:eastAsia="en-US" w:bidi="ar-SA"/>
      </w:rPr>
    </w:lvl>
    <w:lvl w:ilvl="4">
      <w:start w:val="0"/>
      <w:numFmt w:val="bullet"/>
      <w:lvlText w:val="•"/>
      <w:lvlJc w:val="left"/>
      <w:pPr>
        <w:ind w:left="1729" w:hanging="240"/>
      </w:pPr>
      <w:rPr>
        <w:rFonts w:hint="default"/>
        <w:lang w:val="en-US" w:eastAsia="en-US" w:bidi="ar-SA"/>
      </w:rPr>
    </w:lvl>
    <w:lvl w:ilvl="5">
      <w:start w:val="0"/>
      <w:numFmt w:val="bullet"/>
      <w:lvlText w:val="•"/>
      <w:lvlJc w:val="left"/>
      <w:pPr>
        <w:ind w:left="2078" w:hanging="240"/>
      </w:pPr>
      <w:rPr>
        <w:rFonts w:hint="default"/>
        <w:lang w:val="en-US" w:eastAsia="en-US" w:bidi="ar-SA"/>
      </w:rPr>
    </w:lvl>
    <w:lvl w:ilvl="6">
      <w:start w:val="0"/>
      <w:numFmt w:val="bullet"/>
      <w:lvlText w:val="•"/>
      <w:lvlJc w:val="left"/>
      <w:pPr>
        <w:ind w:left="2428" w:hanging="240"/>
      </w:pPr>
      <w:rPr>
        <w:rFonts w:hint="default"/>
        <w:lang w:val="en-US" w:eastAsia="en-US" w:bidi="ar-SA"/>
      </w:rPr>
    </w:lvl>
    <w:lvl w:ilvl="7">
      <w:start w:val="0"/>
      <w:numFmt w:val="bullet"/>
      <w:lvlText w:val="•"/>
      <w:lvlJc w:val="left"/>
      <w:pPr>
        <w:ind w:left="2778" w:hanging="240"/>
      </w:pPr>
      <w:rPr>
        <w:rFonts w:hint="default"/>
        <w:lang w:val="en-US" w:eastAsia="en-US" w:bidi="ar-SA"/>
      </w:rPr>
    </w:lvl>
    <w:lvl w:ilvl="8">
      <w:start w:val="0"/>
      <w:numFmt w:val="bullet"/>
      <w:lvlText w:val="•"/>
      <w:lvlJc w:val="left"/>
      <w:pPr>
        <w:ind w:left="3127" w:hanging="240"/>
      </w:pPr>
      <w:rPr>
        <w:rFonts w:hint="default"/>
        <w:lang w:val="en-US" w:eastAsia="en-US" w:bidi="ar-SA"/>
      </w:rPr>
    </w:lvl>
  </w:abstractNum>
  <w:abstractNum w:abstractNumId="12">
    <w:multiLevelType w:val="hybridMultilevel"/>
    <w:lvl w:ilvl="0">
      <w:start w:val="3"/>
      <w:numFmt w:val="decimal"/>
      <w:lvlText w:val="%1"/>
      <w:lvlJc w:val="left"/>
      <w:pPr>
        <w:ind w:left="3310" w:hanging="3142"/>
        <w:jc w:val="left"/>
      </w:pPr>
      <w:rPr>
        <w:rFonts w:hint="default"/>
        <w:lang w:val="en-US" w:eastAsia="en-US" w:bidi="ar-SA"/>
      </w:rPr>
    </w:lvl>
    <w:lvl w:ilvl="1">
      <w:start w:val="1"/>
      <w:numFmt w:val="decimal"/>
      <w:lvlText w:val="%1.%2"/>
      <w:lvlJc w:val="left"/>
      <w:pPr>
        <w:ind w:left="3310" w:hanging="3142"/>
        <w:jc w:val="right"/>
      </w:pPr>
      <w:rPr>
        <w:rFonts w:hint="default"/>
        <w:b/>
        <w:bCs/>
        <w:w w:val="100"/>
        <w:lang w:val="en-US" w:eastAsia="en-US" w:bidi="ar-SA"/>
      </w:rPr>
    </w:lvl>
    <w:lvl w:ilvl="2">
      <w:start w:val="0"/>
      <w:numFmt w:val="bullet"/>
      <w:lvlText w:val="•"/>
      <w:lvlJc w:val="left"/>
      <w:pPr>
        <w:ind w:left="3816" w:hanging="3142"/>
      </w:pPr>
      <w:rPr>
        <w:rFonts w:hint="default"/>
        <w:lang w:val="en-US" w:eastAsia="en-US" w:bidi="ar-SA"/>
      </w:rPr>
    </w:lvl>
    <w:lvl w:ilvl="3">
      <w:start w:val="0"/>
      <w:numFmt w:val="bullet"/>
      <w:lvlText w:val="•"/>
      <w:lvlJc w:val="left"/>
      <w:pPr>
        <w:ind w:left="4064" w:hanging="3142"/>
      </w:pPr>
      <w:rPr>
        <w:rFonts w:hint="default"/>
        <w:lang w:val="en-US" w:eastAsia="en-US" w:bidi="ar-SA"/>
      </w:rPr>
    </w:lvl>
    <w:lvl w:ilvl="4">
      <w:start w:val="0"/>
      <w:numFmt w:val="bullet"/>
      <w:lvlText w:val="•"/>
      <w:lvlJc w:val="left"/>
      <w:pPr>
        <w:ind w:left="4312" w:hanging="3142"/>
      </w:pPr>
      <w:rPr>
        <w:rFonts w:hint="default"/>
        <w:lang w:val="en-US" w:eastAsia="en-US" w:bidi="ar-SA"/>
      </w:rPr>
    </w:lvl>
    <w:lvl w:ilvl="5">
      <w:start w:val="0"/>
      <w:numFmt w:val="bullet"/>
      <w:lvlText w:val="•"/>
      <w:lvlJc w:val="left"/>
      <w:pPr>
        <w:ind w:left="4560" w:hanging="3142"/>
      </w:pPr>
      <w:rPr>
        <w:rFonts w:hint="default"/>
        <w:lang w:val="en-US" w:eastAsia="en-US" w:bidi="ar-SA"/>
      </w:rPr>
    </w:lvl>
    <w:lvl w:ilvl="6">
      <w:start w:val="0"/>
      <w:numFmt w:val="bullet"/>
      <w:lvlText w:val="•"/>
      <w:lvlJc w:val="left"/>
      <w:pPr>
        <w:ind w:left="4808" w:hanging="3142"/>
      </w:pPr>
      <w:rPr>
        <w:rFonts w:hint="default"/>
        <w:lang w:val="en-US" w:eastAsia="en-US" w:bidi="ar-SA"/>
      </w:rPr>
    </w:lvl>
    <w:lvl w:ilvl="7">
      <w:start w:val="0"/>
      <w:numFmt w:val="bullet"/>
      <w:lvlText w:val="•"/>
      <w:lvlJc w:val="left"/>
      <w:pPr>
        <w:ind w:left="5056" w:hanging="3142"/>
      </w:pPr>
      <w:rPr>
        <w:rFonts w:hint="default"/>
        <w:lang w:val="en-US" w:eastAsia="en-US" w:bidi="ar-SA"/>
      </w:rPr>
    </w:lvl>
    <w:lvl w:ilvl="8">
      <w:start w:val="0"/>
      <w:numFmt w:val="bullet"/>
      <w:lvlText w:val="•"/>
      <w:lvlJc w:val="left"/>
      <w:pPr>
        <w:ind w:left="5304" w:hanging="3142"/>
      </w:pPr>
      <w:rPr>
        <w:rFonts w:hint="default"/>
        <w:lang w:val="en-US" w:eastAsia="en-US" w:bidi="ar-SA"/>
      </w:rPr>
    </w:lvl>
  </w:abstractNum>
  <w:abstractNum w:abstractNumId="11">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1" w:hanging="240"/>
      </w:pPr>
      <w:rPr>
        <w:rFonts w:hint="default"/>
        <w:lang w:val="en-US" w:eastAsia="en-US" w:bidi="ar-SA"/>
      </w:rPr>
    </w:lvl>
    <w:lvl w:ilvl="2">
      <w:start w:val="0"/>
      <w:numFmt w:val="bullet"/>
      <w:lvlText w:val="•"/>
      <w:lvlJc w:val="left"/>
      <w:pPr>
        <w:ind w:left="1202" w:hanging="240"/>
      </w:pPr>
      <w:rPr>
        <w:rFonts w:hint="default"/>
        <w:lang w:val="en-US" w:eastAsia="en-US" w:bidi="ar-SA"/>
      </w:rPr>
    </w:lvl>
    <w:lvl w:ilvl="3">
      <w:start w:val="0"/>
      <w:numFmt w:val="bullet"/>
      <w:lvlText w:val="•"/>
      <w:lvlJc w:val="left"/>
      <w:pPr>
        <w:ind w:left="1604" w:hanging="240"/>
      </w:pPr>
      <w:rPr>
        <w:rFonts w:hint="default"/>
        <w:lang w:val="en-US" w:eastAsia="en-US" w:bidi="ar-SA"/>
      </w:rPr>
    </w:lvl>
    <w:lvl w:ilvl="4">
      <w:start w:val="0"/>
      <w:numFmt w:val="bullet"/>
      <w:lvlText w:val="•"/>
      <w:lvlJc w:val="left"/>
      <w:pPr>
        <w:ind w:left="2005" w:hanging="240"/>
      </w:pPr>
      <w:rPr>
        <w:rFonts w:hint="default"/>
        <w:lang w:val="en-US" w:eastAsia="en-US" w:bidi="ar-SA"/>
      </w:rPr>
    </w:lvl>
    <w:lvl w:ilvl="5">
      <w:start w:val="0"/>
      <w:numFmt w:val="bullet"/>
      <w:lvlText w:val="•"/>
      <w:lvlJc w:val="left"/>
      <w:pPr>
        <w:ind w:left="2407" w:hanging="240"/>
      </w:pPr>
      <w:rPr>
        <w:rFonts w:hint="default"/>
        <w:lang w:val="en-US" w:eastAsia="en-US" w:bidi="ar-SA"/>
      </w:rPr>
    </w:lvl>
    <w:lvl w:ilvl="6">
      <w:start w:val="0"/>
      <w:numFmt w:val="bullet"/>
      <w:lvlText w:val="•"/>
      <w:lvlJc w:val="left"/>
      <w:pPr>
        <w:ind w:left="2808" w:hanging="240"/>
      </w:pPr>
      <w:rPr>
        <w:rFonts w:hint="default"/>
        <w:lang w:val="en-US" w:eastAsia="en-US" w:bidi="ar-SA"/>
      </w:rPr>
    </w:lvl>
    <w:lvl w:ilvl="7">
      <w:start w:val="0"/>
      <w:numFmt w:val="bullet"/>
      <w:lvlText w:val="•"/>
      <w:lvlJc w:val="left"/>
      <w:pPr>
        <w:ind w:left="3210" w:hanging="240"/>
      </w:pPr>
      <w:rPr>
        <w:rFonts w:hint="default"/>
        <w:lang w:val="en-US" w:eastAsia="en-US" w:bidi="ar-SA"/>
      </w:rPr>
    </w:lvl>
    <w:lvl w:ilvl="8">
      <w:start w:val="0"/>
      <w:numFmt w:val="bullet"/>
      <w:lvlText w:val="•"/>
      <w:lvlJc w:val="left"/>
      <w:pPr>
        <w:ind w:left="3611" w:hanging="240"/>
      </w:pPr>
      <w:rPr>
        <w:rFonts w:hint="default"/>
        <w:lang w:val="en-US" w:eastAsia="en-US" w:bidi="ar-SA"/>
      </w:rPr>
    </w:lvl>
  </w:abstractNum>
  <w:abstractNum w:abstractNumId="10">
    <w:multiLevelType w:val="hybridMultilevel"/>
    <w:lvl w:ilvl="0">
      <w:start w:val="1"/>
      <w:numFmt w:val="decimal"/>
      <w:lvlText w:val="(%1)"/>
      <w:lvlJc w:val="left"/>
      <w:pPr>
        <w:ind w:left="397"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39" w:hanging="240"/>
      </w:pPr>
      <w:rPr>
        <w:rFonts w:hint="default"/>
        <w:lang w:val="en-US" w:eastAsia="en-US" w:bidi="ar-SA"/>
      </w:rPr>
    </w:lvl>
    <w:lvl w:ilvl="2">
      <w:start w:val="0"/>
      <w:numFmt w:val="bullet"/>
      <w:lvlText w:val="•"/>
      <w:lvlJc w:val="left"/>
      <w:pPr>
        <w:ind w:left="1479" w:hanging="240"/>
      </w:pPr>
      <w:rPr>
        <w:rFonts w:hint="default"/>
        <w:lang w:val="en-US" w:eastAsia="en-US" w:bidi="ar-SA"/>
      </w:rPr>
    </w:lvl>
    <w:lvl w:ilvl="3">
      <w:start w:val="0"/>
      <w:numFmt w:val="bullet"/>
      <w:lvlText w:val="•"/>
      <w:lvlJc w:val="left"/>
      <w:pPr>
        <w:ind w:left="2019" w:hanging="240"/>
      </w:pPr>
      <w:rPr>
        <w:rFonts w:hint="default"/>
        <w:lang w:val="en-US" w:eastAsia="en-US" w:bidi="ar-SA"/>
      </w:rPr>
    </w:lvl>
    <w:lvl w:ilvl="4">
      <w:start w:val="0"/>
      <w:numFmt w:val="bullet"/>
      <w:lvlText w:val="•"/>
      <w:lvlJc w:val="left"/>
      <w:pPr>
        <w:ind w:left="2559" w:hanging="240"/>
      </w:pPr>
      <w:rPr>
        <w:rFonts w:hint="default"/>
        <w:lang w:val="en-US" w:eastAsia="en-US" w:bidi="ar-SA"/>
      </w:rPr>
    </w:lvl>
    <w:lvl w:ilvl="5">
      <w:start w:val="0"/>
      <w:numFmt w:val="bullet"/>
      <w:lvlText w:val="•"/>
      <w:lvlJc w:val="left"/>
      <w:pPr>
        <w:ind w:left="3098" w:hanging="240"/>
      </w:pPr>
      <w:rPr>
        <w:rFonts w:hint="default"/>
        <w:lang w:val="en-US" w:eastAsia="en-US" w:bidi="ar-SA"/>
      </w:rPr>
    </w:lvl>
    <w:lvl w:ilvl="6">
      <w:start w:val="0"/>
      <w:numFmt w:val="bullet"/>
      <w:lvlText w:val="•"/>
      <w:lvlJc w:val="left"/>
      <w:pPr>
        <w:ind w:left="3638" w:hanging="240"/>
      </w:pPr>
      <w:rPr>
        <w:rFonts w:hint="default"/>
        <w:lang w:val="en-US" w:eastAsia="en-US" w:bidi="ar-SA"/>
      </w:rPr>
    </w:lvl>
    <w:lvl w:ilvl="7">
      <w:start w:val="0"/>
      <w:numFmt w:val="bullet"/>
      <w:lvlText w:val="•"/>
      <w:lvlJc w:val="left"/>
      <w:pPr>
        <w:ind w:left="4178" w:hanging="240"/>
      </w:pPr>
      <w:rPr>
        <w:rFonts w:hint="default"/>
        <w:lang w:val="en-US" w:eastAsia="en-US" w:bidi="ar-SA"/>
      </w:rPr>
    </w:lvl>
    <w:lvl w:ilvl="8">
      <w:start w:val="0"/>
      <w:numFmt w:val="bullet"/>
      <w:lvlText w:val="•"/>
      <w:lvlJc w:val="left"/>
      <w:pPr>
        <w:ind w:left="4718" w:hanging="240"/>
      </w:pPr>
      <w:rPr>
        <w:rFonts w:hint="default"/>
        <w:lang w:val="en-US" w:eastAsia="en-US" w:bidi="ar-SA"/>
      </w:rPr>
    </w:lvl>
  </w:abstractNum>
  <w:abstractNum w:abstractNumId="9">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61" w:hanging="240"/>
      </w:pPr>
      <w:rPr>
        <w:rFonts w:hint="default"/>
        <w:lang w:val="en-US" w:eastAsia="en-US" w:bidi="ar-SA"/>
      </w:rPr>
    </w:lvl>
    <w:lvl w:ilvl="2">
      <w:start w:val="0"/>
      <w:numFmt w:val="bullet"/>
      <w:lvlText w:val="•"/>
      <w:lvlJc w:val="left"/>
      <w:pPr>
        <w:ind w:left="1122" w:hanging="240"/>
      </w:pPr>
      <w:rPr>
        <w:rFonts w:hint="default"/>
        <w:lang w:val="en-US" w:eastAsia="en-US" w:bidi="ar-SA"/>
      </w:rPr>
    </w:lvl>
    <w:lvl w:ilvl="3">
      <w:start w:val="0"/>
      <w:numFmt w:val="bullet"/>
      <w:lvlText w:val="•"/>
      <w:lvlJc w:val="left"/>
      <w:pPr>
        <w:ind w:left="1484" w:hanging="240"/>
      </w:pPr>
      <w:rPr>
        <w:rFonts w:hint="default"/>
        <w:lang w:val="en-US" w:eastAsia="en-US" w:bidi="ar-SA"/>
      </w:rPr>
    </w:lvl>
    <w:lvl w:ilvl="4">
      <w:start w:val="0"/>
      <w:numFmt w:val="bullet"/>
      <w:lvlText w:val="•"/>
      <w:lvlJc w:val="left"/>
      <w:pPr>
        <w:ind w:left="1845" w:hanging="240"/>
      </w:pPr>
      <w:rPr>
        <w:rFonts w:hint="default"/>
        <w:lang w:val="en-US" w:eastAsia="en-US" w:bidi="ar-SA"/>
      </w:rPr>
    </w:lvl>
    <w:lvl w:ilvl="5">
      <w:start w:val="0"/>
      <w:numFmt w:val="bullet"/>
      <w:lvlText w:val="•"/>
      <w:lvlJc w:val="left"/>
      <w:pPr>
        <w:ind w:left="2207" w:hanging="240"/>
      </w:pPr>
      <w:rPr>
        <w:rFonts w:hint="default"/>
        <w:lang w:val="en-US" w:eastAsia="en-US" w:bidi="ar-SA"/>
      </w:rPr>
    </w:lvl>
    <w:lvl w:ilvl="6">
      <w:start w:val="0"/>
      <w:numFmt w:val="bullet"/>
      <w:lvlText w:val="•"/>
      <w:lvlJc w:val="left"/>
      <w:pPr>
        <w:ind w:left="2568" w:hanging="240"/>
      </w:pPr>
      <w:rPr>
        <w:rFonts w:hint="default"/>
        <w:lang w:val="en-US" w:eastAsia="en-US" w:bidi="ar-SA"/>
      </w:rPr>
    </w:lvl>
    <w:lvl w:ilvl="7">
      <w:start w:val="0"/>
      <w:numFmt w:val="bullet"/>
      <w:lvlText w:val="•"/>
      <w:lvlJc w:val="left"/>
      <w:pPr>
        <w:ind w:left="2930" w:hanging="240"/>
      </w:pPr>
      <w:rPr>
        <w:rFonts w:hint="default"/>
        <w:lang w:val="en-US" w:eastAsia="en-US" w:bidi="ar-SA"/>
      </w:rPr>
    </w:lvl>
    <w:lvl w:ilvl="8">
      <w:start w:val="0"/>
      <w:numFmt w:val="bullet"/>
      <w:lvlText w:val="•"/>
      <w:lvlJc w:val="left"/>
      <w:pPr>
        <w:ind w:left="3291" w:hanging="240"/>
      </w:pPr>
      <w:rPr>
        <w:rFonts w:hint="default"/>
        <w:lang w:val="en-US" w:eastAsia="en-US" w:bidi="ar-SA"/>
      </w:rPr>
    </w:lvl>
  </w:abstractNum>
  <w:abstractNum w:abstractNumId="8">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63" w:hanging="240"/>
      </w:pPr>
      <w:rPr>
        <w:rFonts w:hint="default"/>
        <w:lang w:val="en-US" w:eastAsia="en-US" w:bidi="ar-SA"/>
      </w:rPr>
    </w:lvl>
    <w:lvl w:ilvl="2">
      <w:start w:val="0"/>
      <w:numFmt w:val="bullet"/>
      <w:lvlText w:val="•"/>
      <w:lvlJc w:val="left"/>
      <w:pPr>
        <w:ind w:left="1107" w:hanging="240"/>
      </w:pPr>
      <w:rPr>
        <w:rFonts w:hint="default"/>
        <w:lang w:val="en-US" w:eastAsia="en-US" w:bidi="ar-SA"/>
      </w:rPr>
    </w:lvl>
    <w:lvl w:ilvl="3">
      <w:start w:val="0"/>
      <w:numFmt w:val="bullet"/>
      <w:lvlText w:val="•"/>
      <w:lvlJc w:val="left"/>
      <w:pPr>
        <w:ind w:left="1451" w:hanging="240"/>
      </w:pPr>
      <w:rPr>
        <w:rFonts w:hint="default"/>
        <w:lang w:val="en-US" w:eastAsia="en-US" w:bidi="ar-SA"/>
      </w:rPr>
    </w:lvl>
    <w:lvl w:ilvl="4">
      <w:start w:val="0"/>
      <w:numFmt w:val="bullet"/>
      <w:lvlText w:val="•"/>
      <w:lvlJc w:val="left"/>
      <w:pPr>
        <w:ind w:left="1794" w:hanging="240"/>
      </w:pPr>
      <w:rPr>
        <w:rFonts w:hint="default"/>
        <w:lang w:val="en-US" w:eastAsia="en-US" w:bidi="ar-SA"/>
      </w:rPr>
    </w:lvl>
    <w:lvl w:ilvl="5">
      <w:start w:val="0"/>
      <w:numFmt w:val="bullet"/>
      <w:lvlText w:val="•"/>
      <w:lvlJc w:val="left"/>
      <w:pPr>
        <w:ind w:left="2138" w:hanging="240"/>
      </w:pPr>
      <w:rPr>
        <w:rFonts w:hint="default"/>
        <w:lang w:val="en-US" w:eastAsia="en-US" w:bidi="ar-SA"/>
      </w:rPr>
    </w:lvl>
    <w:lvl w:ilvl="6">
      <w:start w:val="0"/>
      <w:numFmt w:val="bullet"/>
      <w:lvlText w:val="•"/>
      <w:lvlJc w:val="left"/>
      <w:pPr>
        <w:ind w:left="2482" w:hanging="240"/>
      </w:pPr>
      <w:rPr>
        <w:rFonts w:hint="default"/>
        <w:lang w:val="en-US" w:eastAsia="en-US" w:bidi="ar-SA"/>
      </w:rPr>
    </w:lvl>
    <w:lvl w:ilvl="7">
      <w:start w:val="0"/>
      <w:numFmt w:val="bullet"/>
      <w:lvlText w:val="•"/>
      <w:lvlJc w:val="left"/>
      <w:pPr>
        <w:ind w:left="2826" w:hanging="240"/>
      </w:pPr>
      <w:rPr>
        <w:rFonts w:hint="default"/>
        <w:lang w:val="en-US" w:eastAsia="en-US" w:bidi="ar-SA"/>
      </w:rPr>
    </w:lvl>
    <w:lvl w:ilvl="8">
      <w:start w:val="0"/>
      <w:numFmt w:val="bullet"/>
      <w:lvlText w:val="•"/>
      <w:lvlJc w:val="left"/>
      <w:pPr>
        <w:ind w:left="3169" w:hanging="240"/>
      </w:pPr>
      <w:rPr>
        <w:rFonts w:hint="default"/>
        <w:lang w:val="en-US" w:eastAsia="en-US" w:bidi="ar-SA"/>
      </w:rPr>
    </w:lvl>
  </w:abstractNum>
  <w:abstractNum w:abstractNumId="7">
    <w:multiLevelType w:val="hybridMultilevel"/>
    <w:lvl w:ilvl="0">
      <w:start w:val="2"/>
      <w:numFmt w:val="decimal"/>
      <w:lvlText w:val="%1"/>
      <w:lvlJc w:val="left"/>
      <w:pPr>
        <w:ind w:left="1186" w:hanging="1002"/>
        <w:jc w:val="left"/>
      </w:pPr>
      <w:rPr>
        <w:rFonts w:hint="default"/>
        <w:lang w:val="en-US" w:eastAsia="en-US" w:bidi="ar-SA"/>
      </w:rPr>
    </w:lvl>
    <w:lvl w:ilvl="1">
      <w:start w:val="3"/>
      <w:numFmt w:val="decimal"/>
      <w:lvlText w:val="%1.%2"/>
      <w:lvlJc w:val="left"/>
      <w:pPr>
        <w:ind w:left="1186" w:hanging="1002"/>
        <w:jc w:val="left"/>
      </w:pPr>
      <w:rPr>
        <w:rFonts w:hint="default"/>
        <w:b/>
        <w:bCs/>
        <w:spacing w:val="-6"/>
        <w:w w:val="100"/>
        <w:lang w:val="en-US" w:eastAsia="en-US" w:bidi="ar-SA"/>
      </w:rPr>
    </w:lvl>
    <w:lvl w:ilvl="2">
      <w:start w:val="0"/>
      <w:numFmt w:val="bullet"/>
      <w:lvlText w:val="•"/>
      <w:lvlJc w:val="left"/>
      <w:pPr>
        <w:ind w:left="2108" w:hanging="1002"/>
      </w:pPr>
      <w:rPr>
        <w:rFonts w:hint="default"/>
        <w:lang w:val="en-US" w:eastAsia="en-US" w:bidi="ar-SA"/>
      </w:rPr>
    </w:lvl>
    <w:lvl w:ilvl="3">
      <w:start w:val="0"/>
      <w:numFmt w:val="bullet"/>
      <w:lvlText w:val="•"/>
      <w:lvlJc w:val="left"/>
      <w:pPr>
        <w:ind w:left="2572" w:hanging="1002"/>
      </w:pPr>
      <w:rPr>
        <w:rFonts w:hint="default"/>
        <w:lang w:val="en-US" w:eastAsia="en-US" w:bidi="ar-SA"/>
      </w:rPr>
    </w:lvl>
    <w:lvl w:ilvl="4">
      <w:start w:val="0"/>
      <w:numFmt w:val="bullet"/>
      <w:lvlText w:val="•"/>
      <w:lvlJc w:val="left"/>
      <w:pPr>
        <w:ind w:left="3036" w:hanging="1002"/>
      </w:pPr>
      <w:rPr>
        <w:rFonts w:hint="default"/>
        <w:lang w:val="en-US" w:eastAsia="en-US" w:bidi="ar-SA"/>
      </w:rPr>
    </w:lvl>
    <w:lvl w:ilvl="5">
      <w:start w:val="0"/>
      <w:numFmt w:val="bullet"/>
      <w:lvlText w:val="•"/>
      <w:lvlJc w:val="left"/>
      <w:pPr>
        <w:ind w:left="3500" w:hanging="1002"/>
      </w:pPr>
      <w:rPr>
        <w:rFonts w:hint="default"/>
        <w:lang w:val="en-US" w:eastAsia="en-US" w:bidi="ar-SA"/>
      </w:rPr>
    </w:lvl>
    <w:lvl w:ilvl="6">
      <w:start w:val="0"/>
      <w:numFmt w:val="bullet"/>
      <w:lvlText w:val="•"/>
      <w:lvlJc w:val="left"/>
      <w:pPr>
        <w:ind w:left="3964" w:hanging="1002"/>
      </w:pPr>
      <w:rPr>
        <w:rFonts w:hint="default"/>
        <w:lang w:val="en-US" w:eastAsia="en-US" w:bidi="ar-SA"/>
      </w:rPr>
    </w:lvl>
    <w:lvl w:ilvl="7">
      <w:start w:val="0"/>
      <w:numFmt w:val="bullet"/>
      <w:lvlText w:val="•"/>
      <w:lvlJc w:val="left"/>
      <w:pPr>
        <w:ind w:left="4428" w:hanging="1002"/>
      </w:pPr>
      <w:rPr>
        <w:rFonts w:hint="default"/>
        <w:lang w:val="en-US" w:eastAsia="en-US" w:bidi="ar-SA"/>
      </w:rPr>
    </w:lvl>
    <w:lvl w:ilvl="8">
      <w:start w:val="0"/>
      <w:numFmt w:val="bullet"/>
      <w:lvlText w:val="•"/>
      <w:lvlJc w:val="left"/>
      <w:pPr>
        <w:ind w:left="4892" w:hanging="1002"/>
      </w:pPr>
      <w:rPr>
        <w:rFonts w:hint="default"/>
        <w:lang w:val="en-US" w:eastAsia="en-US" w:bidi="ar-SA"/>
      </w:rPr>
    </w:lvl>
  </w:abstractNum>
  <w:abstractNum w:abstractNumId="6">
    <w:multiLevelType w:val="hybridMultilevel"/>
    <w:lvl w:ilvl="0">
      <w:start w:val="1"/>
      <w:numFmt w:val="decimal"/>
      <w:lvlText w:val="(%1)"/>
      <w:lvlJc w:val="left"/>
      <w:pPr>
        <w:ind w:left="424"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399"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25" w:hanging="240"/>
      </w:pPr>
      <w:rPr>
        <w:rFonts w:hint="default"/>
        <w:lang w:val="en-US" w:eastAsia="en-US" w:bidi="ar-SA"/>
      </w:rPr>
    </w:lvl>
    <w:lvl w:ilvl="3">
      <w:start w:val="0"/>
      <w:numFmt w:val="bullet"/>
      <w:lvlText w:val="•"/>
      <w:lvlJc w:val="left"/>
      <w:pPr>
        <w:ind w:left="230" w:hanging="240"/>
      </w:pPr>
      <w:rPr>
        <w:rFonts w:hint="default"/>
        <w:lang w:val="en-US" w:eastAsia="en-US" w:bidi="ar-SA"/>
      </w:rPr>
    </w:lvl>
    <w:lvl w:ilvl="4">
      <w:start w:val="0"/>
      <w:numFmt w:val="bullet"/>
      <w:lvlText w:val="•"/>
      <w:lvlJc w:val="left"/>
      <w:pPr>
        <w:ind w:left="135" w:hanging="240"/>
      </w:pPr>
      <w:rPr>
        <w:rFonts w:hint="default"/>
        <w:lang w:val="en-US" w:eastAsia="en-US" w:bidi="ar-SA"/>
      </w:rPr>
    </w:lvl>
    <w:lvl w:ilvl="5">
      <w:start w:val="0"/>
      <w:numFmt w:val="bullet"/>
      <w:lvlText w:val="•"/>
      <w:lvlJc w:val="left"/>
      <w:pPr>
        <w:ind w:left="40" w:hanging="240"/>
      </w:pPr>
      <w:rPr>
        <w:rFonts w:hint="default"/>
        <w:lang w:val="en-US" w:eastAsia="en-US" w:bidi="ar-SA"/>
      </w:rPr>
    </w:lvl>
    <w:lvl w:ilvl="6">
      <w:start w:val="0"/>
      <w:numFmt w:val="bullet"/>
      <w:lvlText w:val="•"/>
      <w:lvlJc w:val="left"/>
      <w:pPr>
        <w:ind w:left="-54" w:hanging="240"/>
      </w:pPr>
      <w:rPr>
        <w:rFonts w:hint="default"/>
        <w:lang w:val="en-US" w:eastAsia="en-US" w:bidi="ar-SA"/>
      </w:rPr>
    </w:lvl>
    <w:lvl w:ilvl="7">
      <w:start w:val="0"/>
      <w:numFmt w:val="bullet"/>
      <w:lvlText w:val="•"/>
      <w:lvlJc w:val="left"/>
      <w:pPr>
        <w:ind w:left="-149" w:hanging="240"/>
      </w:pPr>
      <w:rPr>
        <w:rFonts w:hint="default"/>
        <w:lang w:val="en-US" w:eastAsia="en-US" w:bidi="ar-SA"/>
      </w:rPr>
    </w:lvl>
    <w:lvl w:ilvl="8">
      <w:start w:val="0"/>
      <w:numFmt w:val="bullet"/>
      <w:lvlText w:val="•"/>
      <w:lvlJc w:val="left"/>
      <w:pPr>
        <w:ind w:left="-244" w:hanging="240"/>
      </w:pPr>
      <w:rPr>
        <w:rFonts w:hint="default"/>
        <w:lang w:val="en-US" w:eastAsia="en-US" w:bidi="ar-SA"/>
      </w:rPr>
    </w:lvl>
  </w:abstractNum>
  <w:abstractNum w:abstractNumId="5">
    <w:multiLevelType w:val="hybridMultilevel"/>
    <w:lvl w:ilvl="0">
      <w:start w:val="1"/>
      <w:numFmt w:val="decimal"/>
      <w:lvlText w:val="(%1)"/>
      <w:lvlJc w:val="left"/>
      <w:pPr>
        <w:ind w:left="404"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40" w:hanging="240"/>
      </w:pPr>
      <w:rPr>
        <w:rFonts w:hint="default"/>
        <w:lang w:val="en-US" w:eastAsia="en-US" w:bidi="ar-SA"/>
      </w:rPr>
    </w:lvl>
    <w:lvl w:ilvl="2">
      <w:start w:val="0"/>
      <w:numFmt w:val="bullet"/>
      <w:lvlText w:val="•"/>
      <w:lvlJc w:val="left"/>
      <w:pPr>
        <w:ind w:left="1481" w:hanging="240"/>
      </w:pPr>
      <w:rPr>
        <w:rFonts w:hint="default"/>
        <w:lang w:val="en-US" w:eastAsia="en-US" w:bidi="ar-SA"/>
      </w:rPr>
    </w:lvl>
    <w:lvl w:ilvl="3">
      <w:start w:val="0"/>
      <w:numFmt w:val="bullet"/>
      <w:lvlText w:val="•"/>
      <w:lvlJc w:val="left"/>
      <w:pPr>
        <w:ind w:left="2021" w:hanging="240"/>
      </w:pPr>
      <w:rPr>
        <w:rFonts w:hint="default"/>
        <w:lang w:val="en-US" w:eastAsia="en-US" w:bidi="ar-SA"/>
      </w:rPr>
    </w:lvl>
    <w:lvl w:ilvl="4">
      <w:start w:val="0"/>
      <w:numFmt w:val="bullet"/>
      <w:lvlText w:val="•"/>
      <w:lvlJc w:val="left"/>
      <w:pPr>
        <w:ind w:left="2562" w:hanging="240"/>
      </w:pPr>
      <w:rPr>
        <w:rFonts w:hint="default"/>
        <w:lang w:val="en-US" w:eastAsia="en-US" w:bidi="ar-SA"/>
      </w:rPr>
    </w:lvl>
    <w:lvl w:ilvl="5">
      <w:start w:val="0"/>
      <w:numFmt w:val="bullet"/>
      <w:lvlText w:val="•"/>
      <w:lvlJc w:val="left"/>
      <w:pPr>
        <w:ind w:left="3102" w:hanging="240"/>
      </w:pPr>
      <w:rPr>
        <w:rFonts w:hint="default"/>
        <w:lang w:val="en-US" w:eastAsia="en-US" w:bidi="ar-SA"/>
      </w:rPr>
    </w:lvl>
    <w:lvl w:ilvl="6">
      <w:start w:val="0"/>
      <w:numFmt w:val="bullet"/>
      <w:lvlText w:val="•"/>
      <w:lvlJc w:val="left"/>
      <w:pPr>
        <w:ind w:left="3643" w:hanging="240"/>
      </w:pPr>
      <w:rPr>
        <w:rFonts w:hint="default"/>
        <w:lang w:val="en-US" w:eastAsia="en-US" w:bidi="ar-SA"/>
      </w:rPr>
    </w:lvl>
    <w:lvl w:ilvl="7">
      <w:start w:val="0"/>
      <w:numFmt w:val="bullet"/>
      <w:lvlText w:val="•"/>
      <w:lvlJc w:val="left"/>
      <w:pPr>
        <w:ind w:left="4184" w:hanging="240"/>
      </w:pPr>
      <w:rPr>
        <w:rFonts w:hint="default"/>
        <w:lang w:val="en-US" w:eastAsia="en-US" w:bidi="ar-SA"/>
      </w:rPr>
    </w:lvl>
    <w:lvl w:ilvl="8">
      <w:start w:val="0"/>
      <w:numFmt w:val="bullet"/>
      <w:lvlText w:val="•"/>
      <w:lvlJc w:val="left"/>
      <w:pPr>
        <w:ind w:left="4724" w:hanging="240"/>
      </w:pPr>
      <w:rPr>
        <w:rFonts w:hint="default"/>
        <w:lang w:val="en-US" w:eastAsia="en-US" w:bidi="ar-SA"/>
      </w:rPr>
    </w:lvl>
  </w:abstractNum>
  <w:abstractNum w:abstractNumId="4">
    <w:multiLevelType w:val="hybridMultilevel"/>
    <w:lvl w:ilvl="0">
      <w:start w:val="1"/>
      <w:numFmt w:val="lowerLetter"/>
      <w:lvlText w:val="(%1)"/>
      <w:lvlJc w:val="left"/>
      <w:pPr>
        <w:ind w:left="39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35" w:hanging="240"/>
      </w:pPr>
      <w:rPr>
        <w:rFonts w:hint="default"/>
        <w:lang w:val="en-US" w:eastAsia="en-US" w:bidi="ar-SA"/>
      </w:rPr>
    </w:lvl>
    <w:lvl w:ilvl="2">
      <w:start w:val="0"/>
      <w:numFmt w:val="bullet"/>
      <w:lvlText w:val="•"/>
      <w:lvlJc w:val="left"/>
      <w:pPr>
        <w:ind w:left="1070" w:hanging="240"/>
      </w:pPr>
      <w:rPr>
        <w:rFonts w:hint="default"/>
        <w:lang w:val="en-US" w:eastAsia="en-US" w:bidi="ar-SA"/>
      </w:rPr>
    </w:lvl>
    <w:lvl w:ilvl="3">
      <w:start w:val="0"/>
      <w:numFmt w:val="bullet"/>
      <w:lvlText w:val="•"/>
      <w:lvlJc w:val="left"/>
      <w:pPr>
        <w:ind w:left="1406" w:hanging="240"/>
      </w:pPr>
      <w:rPr>
        <w:rFonts w:hint="default"/>
        <w:lang w:val="en-US" w:eastAsia="en-US" w:bidi="ar-SA"/>
      </w:rPr>
    </w:lvl>
    <w:lvl w:ilvl="4">
      <w:start w:val="0"/>
      <w:numFmt w:val="bullet"/>
      <w:lvlText w:val="•"/>
      <w:lvlJc w:val="left"/>
      <w:pPr>
        <w:ind w:left="1741" w:hanging="240"/>
      </w:pPr>
      <w:rPr>
        <w:rFonts w:hint="default"/>
        <w:lang w:val="en-US" w:eastAsia="en-US" w:bidi="ar-SA"/>
      </w:rPr>
    </w:lvl>
    <w:lvl w:ilvl="5">
      <w:start w:val="0"/>
      <w:numFmt w:val="bullet"/>
      <w:lvlText w:val="•"/>
      <w:lvlJc w:val="left"/>
      <w:pPr>
        <w:ind w:left="2077" w:hanging="240"/>
      </w:pPr>
      <w:rPr>
        <w:rFonts w:hint="default"/>
        <w:lang w:val="en-US" w:eastAsia="en-US" w:bidi="ar-SA"/>
      </w:rPr>
    </w:lvl>
    <w:lvl w:ilvl="6">
      <w:start w:val="0"/>
      <w:numFmt w:val="bullet"/>
      <w:lvlText w:val="•"/>
      <w:lvlJc w:val="left"/>
      <w:pPr>
        <w:ind w:left="2412" w:hanging="240"/>
      </w:pPr>
      <w:rPr>
        <w:rFonts w:hint="default"/>
        <w:lang w:val="en-US" w:eastAsia="en-US" w:bidi="ar-SA"/>
      </w:rPr>
    </w:lvl>
    <w:lvl w:ilvl="7">
      <w:start w:val="0"/>
      <w:numFmt w:val="bullet"/>
      <w:lvlText w:val="•"/>
      <w:lvlJc w:val="left"/>
      <w:pPr>
        <w:ind w:left="2748" w:hanging="240"/>
      </w:pPr>
      <w:rPr>
        <w:rFonts w:hint="default"/>
        <w:lang w:val="en-US" w:eastAsia="en-US" w:bidi="ar-SA"/>
      </w:rPr>
    </w:lvl>
    <w:lvl w:ilvl="8">
      <w:start w:val="0"/>
      <w:numFmt w:val="bullet"/>
      <w:lvlText w:val="•"/>
      <w:lvlJc w:val="left"/>
      <w:pPr>
        <w:ind w:left="3083" w:hanging="240"/>
      </w:pPr>
      <w:rPr>
        <w:rFonts w:hint="default"/>
        <w:lang w:val="en-US" w:eastAsia="en-US" w:bidi="ar-SA"/>
      </w:rPr>
    </w:lvl>
  </w:abstractNum>
  <w:abstractNum w:abstractNumId="3">
    <w:multiLevelType w:val="hybridMultilevel"/>
    <w:lvl w:ilvl="0">
      <w:start w:val="1"/>
      <w:numFmt w:val="decimal"/>
      <w:lvlText w:val="(%1)"/>
      <w:lvlJc w:val="left"/>
      <w:pPr>
        <w:ind w:left="427"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642"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1"/>
      <w:numFmt w:val="decimal"/>
      <w:lvlText w:val="(%3)"/>
      <w:lvlJc w:val="left"/>
      <w:pPr>
        <w:ind w:left="641" w:hanging="240"/>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66" w:hanging="240"/>
      </w:pPr>
      <w:rPr>
        <w:rFonts w:hint="default"/>
        <w:lang w:val="en-US" w:eastAsia="en-US" w:bidi="ar-SA"/>
      </w:rPr>
    </w:lvl>
    <w:lvl w:ilvl="4">
      <w:start w:val="0"/>
      <w:numFmt w:val="bullet"/>
      <w:lvlText w:val="•"/>
      <w:lvlJc w:val="left"/>
      <w:pPr>
        <w:ind w:left="530" w:hanging="240"/>
      </w:pPr>
      <w:rPr>
        <w:rFonts w:hint="default"/>
        <w:lang w:val="en-US" w:eastAsia="en-US" w:bidi="ar-SA"/>
      </w:rPr>
    </w:lvl>
    <w:lvl w:ilvl="5">
      <w:start w:val="0"/>
      <w:numFmt w:val="bullet"/>
      <w:lvlText w:val="•"/>
      <w:lvlJc w:val="left"/>
      <w:pPr>
        <w:ind w:left="493" w:hanging="240"/>
      </w:pPr>
      <w:rPr>
        <w:rFonts w:hint="default"/>
        <w:lang w:val="en-US" w:eastAsia="en-US" w:bidi="ar-SA"/>
      </w:rPr>
    </w:lvl>
    <w:lvl w:ilvl="6">
      <w:start w:val="0"/>
      <w:numFmt w:val="bullet"/>
      <w:lvlText w:val="•"/>
      <w:lvlJc w:val="left"/>
      <w:pPr>
        <w:ind w:left="457" w:hanging="240"/>
      </w:pPr>
      <w:rPr>
        <w:rFonts w:hint="default"/>
        <w:lang w:val="en-US" w:eastAsia="en-US" w:bidi="ar-SA"/>
      </w:rPr>
    </w:lvl>
    <w:lvl w:ilvl="7">
      <w:start w:val="0"/>
      <w:numFmt w:val="bullet"/>
      <w:lvlText w:val="•"/>
      <w:lvlJc w:val="left"/>
      <w:pPr>
        <w:ind w:left="420" w:hanging="240"/>
      </w:pPr>
      <w:rPr>
        <w:rFonts w:hint="default"/>
        <w:lang w:val="en-US" w:eastAsia="en-US" w:bidi="ar-SA"/>
      </w:rPr>
    </w:lvl>
    <w:lvl w:ilvl="8">
      <w:start w:val="0"/>
      <w:numFmt w:val="bullet"/>
      <w:lvlText w:val="•"/>
      <w:lvlJc w:val="left"/>
      <w:pPr>
        <w:ind w:left="384" w:hanging="240"/>
      </w:pPr>
      <w:rPr>
        <w:rFonts w:hint="default"/>
        <w:lang w:val="en-US" w:eastAsia="en-US" w:bidi="ar-SA"/>
      </w:rPr>
    </w:lvl>
  </w:abstractNum>
  <w:abstractNum w:abstractNumId="2">
    <w:multiLevelType w:val="hybridMultilevel"/>
    <w:lvl w:ilvl="0">
      <w:start w:val="2"/>
      <w:numFmt w:val="decimal"/>
      <w:lvlText w:val="%1"/>
      <w:lvlJc w:val="left"/>
      <w:pPr>
        <w:ind w:left="4617" w:hanging="4456"/>
        <w:jc w:val="left"/>
      </w:pPr>
      <w:rPr>
        <w:rFonts w:hint="default"/>
        <w:lang w:val="en-US" w:eastAsia="en-US" w:bidi="ar-SA"/>
      </w:rPr>
    </w:lvl>
    <w:lvl w:ilvl="1">
      <w:start w:val="1"/>
      <w:numFmt w:val="decimal"/>
      <w:lvlText w:val="%1.%2"/>
      <w:lvlJc w:val="left"/>
      <w:pPr>
        <w:ind w:left="4617" w:hanging="4456"/>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4856" w:hanging="4456"/>
      </w:pPr>
      <w:rPr>
        <w:rFonts w:hint="default"/>
        <w:lang w:val="en-US" w:eastAsia="en-US" w:bidi="ar-SA"/>
      </w:rPr>
    </w:lvl>
    <w:lvl w:ilvl="3">
      <w:start w:val="0"/>
      <w:numFmt w:val="bullet"/>
      <w:lvlText w:val="•"/>
      <w:lvlJc w:val="left"/>
      <w:pPr>
        <w:ind w:left="4974" w:hanging="4456"/>
      </w:pPr>
      <w:rPr>
        <w:rFonts w:hint="default"/>
        <w:lang w:val="en-US" w:eastAsia="en-US" w:bidi="ar-SA"/>
      </w:rPr>
    </w:lvl>
    <w:lvl w:ilvl="4">
      <w:start w:val="0"/>
      <w:numFmt w:val="bullet"/>
      <w:lvlText w:val="•"/>
      <w:lvlJc w:val="left"/>
      <w:pPr>
        <w:ind w:left="5093" w:hanging="4456"/>
      </w:pPr>
      <w:rPr>
        <w:rFonts w:hint="default"/>
        <w:lang w:val="en-US" w:eastAsia="en-US" w:bidi="ar-SA"/>
      </w:rPr>
    </w:lvl>
    <w:lvl w:ilvl="5">
      <w:start w:val="0"/>
      <w:numFmt w:val="bullet"/>
      <w:lvlText w:val="•"/>
      <w:lvlJc w:val="left"/>
      <w:pPr>
        <w:ind w:left="5211" w:hanging="4456"/>
      </w:pPr>
      <w:rPr>
        <w:rFonts w:hint="default"/>
        <w:lang w:val="en-US" w:eastAsia="en-US" w:bidi="ar-SA"/>
      </w:rPr>
    </w:lvl>
    <w:lvl w:ilvl="6">
      <w:start w:val="0"/>
      <w:numFmt w:val="bullet"/>
      <w:lvlText w:val="•"/>
      <w:lvlJc w:val="left"/>
      <w:pPr>
        <w:ind w:left="5329" w:hanging="4456"/>
      </w:pPr>
      <w:rPr>
        <w:rFonts w:hint="default"/>
        <w:lang w:val="en-US" w:eastAsia="en-US" w:bidi="ar-SA"/>
      </w:rPr>
    </w:lvl>
    <w:lvl w:ilvl="7">
      <w:start w:val="0"/>
      <w:numFmt w:val="bullet"/>
      <w:lvlText w:val="•"/>
      <w:lvlJc w:val="left"/>
      <w:pPr>
        <w:ind w:left="5447" w:hanging="4456"/>
      </w:pPr>
      <w:rPr>
        <w:rFonts w:hint="default"/>
        <w:lang w:val="en-US" w:eastAsia="en-US" w:bidi="ar-SA"/>
      </w:rPr>
    </w:lvl>
    <w:lvl w:ilvl="8">
      <w:start w:val="0"/>
      <w:numFmt w:val="bullet"/>
      <w:lvlText w:val="•"/>
      <w:lvlJc w:val="left"/>
      <w:pPr>
        <w:ind w:left="5566" w:hanging="4456"/>
      </w:pPr>
      <w:rPr>
        <w:rFonts w:hint="default"/>
        <w:lang w:val="en-US" w:eastAsia="en-US" w:bidi="ar-SA"/>
      </w:rPr>
    </w:lvl>
  </w:abstractNum>
  <w:abstractNum w:abstractNumId="1">
    <w:multiLevelType w:val="hybridMultilevel"/>
    <w:lvl w:ilvl="0">
      <w:start w:val="1"/>
      <w:numFmt w:val="lowerLetter"/>
      <w:lvlText w:val="(%1)"/>
      <w:lvlJc w:val="left"/>
      <w:pPr>
        <w:ind w:left="40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8" w:hanging="240"/>
      </w:pPr>
      <w:rPr>
        <w:rFonts w:hint="default"/>
        <w:lang w:val="en-US" w:eastAsia="en-US" w:bidi="ar-SA"/>
      </w:rPr>
    </w:lvl>
    <w:lvl w:ilvl="2">
      <w:start w:val="0"/>
      <w:numFmt w:val="bullet"/>
      <w:lvlText w:val="•"/>
      <w:lvlJc w:val="left"/>
      <w:pPr>
        <w:ind w:left="1197" w:hanging="240"/>
      </w:pPr>
      <w:rPr>
        <w:rFonts w:hint="default"/>
        <w:lang w:val="en-US" w:eastAsia="en-US" w:bidi="ar-SA"/>
      </w:rPr>
    </w:lvl>
    <w:lvl w:ilvl="3">
      <w:start w:val="0"/>
      <w:numFmt w:val="bullet"/>
      <w:lvlText w:val="•"/>
      <w:lvlJc w:val="left"/>
      <w:pPr>
        <w:ind w:left="1596" w:hanging="240"/>
      </w:pPr>
      <w:rPr>
        <w:rFonts w:hint="default"/>
        <w:lang w:val="en-US" w:eastAsia="en-US" w:bidi="ar-SA"/>
      </w:rPr>
    </w:lvl>
    <w:lvl w:ilvl="4">
      <w:start w:val="0"/>
      <w:numFmt w:val="bullet"/>
      <w:lvlText w:val="•"/>
      <w:lvlJc w:val="left"/>
      <w:pPr>
        <w:ind w:left="1995" w:hanging="240"/>
      </w:pPr>
      <w:rPr>
        <w:rFonts w:hint="default"/>
        <w:lang w:val="en-US" w:eastAsia="en-US" w:bidi="ar-SA"/>
      </w:rPr>
    </w:lvl>
    <w:lvl w:ilvl="5">
      <w:start w:val="0"/>
      <w:numFmt w:val="bullet"/>
      <w:lvlText w:val="•"/>
      <w:lvlJc w:val="left"/>
      <w:pPr>
        <w:ind w:left="2394" w:hanging="240"/>
      </w:pPr>
      <w:rPr>
        <w:rFonts w:hint="default"/>
        <w:lang w:val="en-US" w:eastAsia="en-US" w:bidi="ar-SA"/>
      </w:rPr>
    </w:lvl>
    <w:lvl w:ilvl="6">
      <w:start w:val="0"/>
      <w:numFmt w:val="bullet"/>
      <w:lvlText w:val="•"/>
      <w:lvlJc w:val="left"/>
      <w:pPr>
        <w:ind w:left="2793" w:hanging="240"/>
      </w:pPr>
      <w:rPr>
        <w:rFonts w:hint="default"/>
        <w:lang w:val="en-US" w:eastAsia="en-US" w:bidi="ar-SA"/>
      </w:rPr>
    </w:lvl>
    <w:lvl w:ilvl="7">
      <w:start w:val="0"/>
      <w:numFmt w:val="bullet"/>
      <w:lvlText w:val="•"/>
      <w:lvlJc w:val="left"/>
      <w:pPr>
        <w:ind w:left="3192" w:hanging="240"/>
      </w:pPr>
      <w:rPr>
        <w:rFonts w:hint="default"/>
        <w:lang w:val="en-US" w:eastAsia="en-US" w:bidi="ar-SA"/>
      </w:rPr>
    </w:lvl>
    <w:lvl w:ilvl="8">
      <w:start w:val="0"/>
      <w:numFmt w:val="bullet"/>
      <w:lvlText w:val="•"/>
      <w:lvlJc w:val="left"/>
      <w:pPr>
        <w:ind w:left="3591" w:hanging="240"/>
      </w:pPr>
      <w:rPr>
        <w:rFonts w:hint="default"/>
        <w:lang w:val="en-US" w:eastAsia="en-US" w:bidi="ar-SA"/>
      </w:rPr>
    </w:lvl>
  </w:abstractNum>
  <w:abstractNum w:abstractNumId="0">
    <w:multiLevelType w:val="hybridMultilevel"/>
    <w:lvl w:ilvl="0">
      <w:start w:val="1"/>
      <w:numFmt w:val="decimal"/>
      <w:lvlText w:val="%1"/>
      <w:lvlJc w:val="left"/>
      <w:pPr>
        <w:ind w:left="4309" w:hanging="380"/>
        <w:jc w:val="left"/>
      </w:pPr>
      <w:rPr>
        <w:rFonts w:hint="default" w:ascii="Times New Roman" w:hAnsi="Times New Roman" w:eastAsia="Times New Roman" w:cs="Times New Roman"/>
        <w:b/>
        <w:bCs/>
        <w:color w:val="0093C1"/>
        <w:spacing w:val="-5"/>
        <w:w w:val="100"/>
        <w:sz w:val="24"/>
        <w:szCs w:val="24"/>
        <w:lang w:val="en-US" w:eastAsia="en-US" w:bidi="ar-SA"/>
      </w:rPr>
    </w:lvl>
    <w:lvl w:ilvl="1">
      <w:start w:val="1"/>
      <w:numFmt w:val="decimal"/>
      <w:lvlText w:val="%1.%2"/>
      <w:lvlJc w:val="left"/>
      <w:pPr>
        <w:ind w:left="4869" w:hanging="560"/>
        <w:jc w:val="left"/>
      </w:pPr>
      <w:rPr>
        <w:rFonts w:hint="default" w:ascii="Times New Roman" w:hAnsi="Times New Roman" w:eastAsia="Times New Roman" w:cs="Times New Roman"/>
        <w:b/>
        <w:bCs/>
        <w:color w:val="231F20"/>
        <w:w w:val="100"/>
        <w:sz w:val="24"/>
        <w:szCs w:val="24"/>
        <w:lang w:val="en-US" w:eastAsia="en-US" w:bidi="ar-SA"/>
      </w:rPr>
    </w:lvl>
    <w:lvl w:ilvl="2">
      <w:start w:val="0"/>
      <w:numFmt w:val="bullet"/>
      <w:lvlText w:val="•"/>
      <w:lvlJc w:val="left"/>
      <w:pPr>
        <w:ind w:left="5362" w:hanging="560"/>
      </w:pPr>
      <w:rPr>
        <w:rFonts w:hint="default"/>
        <w:lang w:val="en-US" w:eastAsia="en-US" w:bidi="ar-SA"/>
      </w:rPr>
    </w:lvl>
    <w:lvl w:ilvl="3">
      <w:start w:val="0"/>
      <w:numFmt w:val="bullet"/>
      <w:lvlText w:val="•"/>
      <w:lvlJc w:val="left"/>
      <w:pPr>
        <w:ind w:left="5864" w:hanging="560"/>
      </w:pPr>
      <w:rPr>
        <w:rFonts w:hint="default"/>
        <w:lang w:val="en-US" w:eastAsia="en-US" w:bidi="ar-SA"/>
      </w:rPr>
    </w:lvl>
    <w:lvl w:ilvl="4">
      <w:start w:val="0"/>
      <w:numFmt w:val="bullet"/>
      <w:lvlText w:val="•"/>
      <w:lvlJc w:val="left"/>
      <w:pPr>
        <w:ind w:left="6366" w:hanging="560"/>
      </w:pPr>
      <w:rPr>
        <w:rFonts w:hint="default"/>
        <w:lang w:val="en-US" w:eastAsia="en-US" w:bidi="ar-SA"/>
      </w:rPr>
    </w:lvl>
    <w:lvl w:ilvl="5">
      <w:start w:val="0"/>
      <w:numFmt w:val="bullet"/>
      <w:lvlText w:val="•"/>
      <w:lvlJc w:val="left"/>
      <w:pPr>
        <w:ind w:left="6868" w:hanging="560"/>
      </w:pPr>
      <w:rPr>
        <w:rFonts w:hint="default"/>
        <w:lang w:val="en-US" w:eastAsia="en-US" w:bidi="ar-SA"/>
      </w:rPr>
    </w:lvl>
    <w:lvl w:ilvl="6">
      <w:start w:val="0"/>
      <w:numFmt w:val="bullet"/>
      <w:lvlText w:val="•"/>
      <w:lvlJc w:val="left"/>
      <w:pPr>
        <w:ind w:left="7371" w:hanging="560"/>
      </w:pPr>
      <w:rPr>
        <w:rFonts w:hint="default"/>
        <w:lang w:val="en-US" w:eastAsia="en-US" w:bidi="ar-SA"/>
      </w:rPr>
    </w:lvl>
    <w:lvl w:ilvl="7">
      <w:start w:val="0"/>
      <w:numFmt w:val="bullet"/>
      <w:lvlText w:val="•"/>
      <w:lvlJc w:val="left"/>
      <w:pPr>
        <w:ind w:left="7873" w:hanging="560"/>
      </w:pPr>
      <w:rPr>
        <w:rFonts w:hint="default"/>
        <w:lang w:val="en-US" w:eastAsia="en-US" w:bidi="ar-SA"/>
      </w:rPr>
    </w:lvl>
    <w:lvl w:ilvl="8">
      <w:start w:val="0"/>
      <w:numFmt w:val="bullet"/>
      <w:lvlText w:val="•"/>
      <w:lvlJc w:val="left"/>
      <w:pPr>
        <w:ind w:left="8375" w:hanging="560"/>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4"/>
      <w:ind w:left="4869" w:hanging="56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4"/>
      <w:ind w:left="4309"/>
    </w:pPr>
    <w:rPr>
      <w:rFonts w:ascii="Times New Roman" w:hAnsi="Times New Roman" w:eastAsia="Times New Roman" w:cs="Times New Roman"/>
      <w:i/>
      <w:sz w:val="24"/>
      <w:szCs w:val="24"/>
      <w:lang w:val="en-US" w:eastAsia="en-US" w:bidi="ar-SA"/>
    </w:rPr>
  </w:style>
  <w:style w:styleId="TOC3" w:type="paragraph">
    <w:name w:val="TOC 3"/>
    <w:basedOn w:val="Normal"/>
    <w:uiPriority w:val="1"/>
    <w:qFormat/>
    <w:pPr>
      <w:spacing w:before="44"/>
      <w:ind w:left="4869" w:hanging="561"/>
    </w:pPr>
    <w:rPr>
      <w:rFonts w:ascii="Times New Roman" w:hAnsi="Times New Roman" w:eastAsia="Times New Roman" w:cs="Times New Roman"/>
      <w:b/>
      <w:bCs/>
      <w:i/>
      <w:lang w:val="en-US" w:eastAsia="en-US" w:bidi="ar-SA"/>
    </w:rPr>
  </w:style>
  <w:style w:styleId="TOC4" w:type="paragraph">
    <w:name w:val="TOC 4"/>
    <w:basedOn w:val="Normal"/>
    <w:uiPriority w:val="1"/>
    <w:qFormat/>
    <w:pPr>
      <w:spacing w:before="44"/>
      <w:ind w:left="5169"/>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25"/>
      <w:ind w:left="5169"/>
    </w:pPr>
    <w:rPr>
      <w:rFonts w:ascii="Times New Roman" w:hAnsi="Times New Roman" w:eastAsia="Times New Roman" w:cs="Times New Roman"/>
      <w:i/>
      <w:sz w:val="24"/>
      <w:szCs w:val="24"/>
      <w:lang w:val="en-US" w:eastAsia="en-US" w:bidi="ar-SA"/>
    </w:rPr>
  </w:style>
  <w:style w:styleId="TOC6" w:type="paragraph">
    <w:name w:val="TOC 6"/>
    <w:basedOn w:val="Normal"/>
    <w:uiPriority w:val="1"/>
    <w:qFormat/>
    <w:pPr>
      <w:spacing w:before="24"/>
      <w:ind w:left="5289"/>
    </w:pPr>
    <w:rPr>
      <w:rFonts w:ascii="Times New Roman" w:hAnsi="Times New Roman" w:eastAsia="Times New Roman" w:cs="Times New Roman"/>
      <w:i/>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7"/>
      <w:ind w:left="15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88"/>
      <w:ind w:left="145"/>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ind w:left="1502"/>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589"/>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80"/>
      <w:outlineLvl w:val="5"/>
    </w:pPr>
    <w:rPr>
      <w:rFonts w:ascii="Times New Roman" w:hAnsi="Times New Roman" w:eastAsia="Times New Roman" w:cs="Times New Roman"/>
      <w:sz w:val="24"/>
      <w:szCs w:val="24"/>
      <w:lang w:val="en-US" w:eastAsia="en-US" w:bidi="ar-SA"/>
    </w:rPr>
  </w:style>
  <w:style w:styleId="Heading6" w:type="paragraph">
    <w:name w:val="Heading 6"/>
    <w:basedOn w:val="Normal"/>
    <w:uiPriority w:val="1"/>
    <w:qFormat/>
    <w:pPr>
      <w:ind w:left="159"/>
      <w:outlineLvl w:val="6"/>
    </w:pPr>
    <w:rPr>
      <w:rFonts w:ascii="Times New Roman" w:hAnsi="Times New Roman" w:eastAsia="Times New Roman" w:cs="Times New Roman"/>
      <w:i/>
      <w:sz w:val="24"/>
      <w:szCs w:val="24"/>
      <w:lang w:val="en-US" w:eastAsia="en-US" w:bidi="ar-SA"/>
    </w:rPr>
  </w:style>
  <w:style w:styleId="Heading7" w:type="paragraph">
    <w:name w:val="Heading 7"/>
    <w:basedOn w:val="Normal"/>
    <w:uiPriority w:val="1"/>
    <w:qFormat/>
    <w:pPr>
      <w:ind w:left="160" w:hanging="481"/>
      <w:outlineLvl w:val="7"/>
    </w:pPr>
    <w:rPr>
      <w:rFonts w:ascii="Times New Roman" w:hAnsi="Times New Roman" w:eastAsia="Times New Roman" w:cs="Times New Roman"/>
      <w:b/>
      <w:bCs/>
      <w:sz w:val="22"/>
      <w:szCs w:val="22"/>
      <w:lang w:val="en-US" w:eastAsia="en-US" w:bidi="ar-SA"/>
    </w:rPr>
  </w:style>
  <w:style w:styleId="Heading8" w:type="paragraph">
    <w:name w:val="Heading 8"/>
    <w:basedOn w:val="Normal"/>
    <w:uiPriority w:val="1"/>
    <w:qFormat/>
    <w:pPr>
      <w:ind w:left="434"/>
      <w:outlineLvl w:val="8"/>
    </w:pPr>
    <w:rPr>
      <w:rFonts w:ascii="Times New Roman" w:hAnsi="Times New Roman" w:eastAsia="Times New Roman" w:cs="Times New Roman"/>
      <w:sz w:val="22"/>
      <w:szCs w:val="22"/>
      <w:lang w:val="en-US" w:eastAsia="en-US" w:bidi="ar-SA"/>
    </w:rPr>
  </w:style>
  <w:style w:styleId="Heading9" w:type="paragraph">
    <w:name w:val="Heading 9"/>
    <w:basedOn w:val="Normal"/>
    <w:uiPriority w:val="1"/>
    <w:qFormat/>
    <w:pPr>
      <w:spacing w:before="10"/>
      <w:ind w:left="180"/>
      <w:outlineLvl w:val="9"/>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9"/>
      <w:ind w:left="3929"/>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eader" Target="header9.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image" Target="media/image20.png"/><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image" Target="media/image21.png"/><Relationship Id="rId54" Type="http://schemas.openxmlformats.org/officeDocument/2006/relationships/image" Target="media/image22.png"/><Relationship Id="rId55" Type="http://schemas.openxmlformats.org/officeDocument/2006/relationships/image" Target="media/image23.png"/><Relationship Id="rId56" Type="http://schemas.openxmlformats.org/officeDocument/2006/relationships/header" Target="header15.xml"/><Relationship Id="rId57" Type="http://schemas.openxmlformats.org/officeDocument/2006/relationships/header" Target="header16.xml"/><Relationship Id="rId58" Type="http://schemas.openxmlformats.org/officeDocument/2006/relationships/footer" Target="footer15.xml"/><Relationship Id="rId59" Type="http://schemas.openxmlformats.org/officeDocument/2006/relationships/footer" Target="footer16.xml"/><Relationship Id="rId60" Type="http://schemas.openxmlformats.org/officeDocument/2006/relationships/image" Target="media/image24.png"/><Relationship Id="rId61" Type="http://schemas.openxmlformats.org/officeDocument/2006/relationships/header" Target="header17.xml"/><Relationship Id="rId62" Type="http://schemas.openxmlformats.org/officeDocument/2006/relationships/footer" Target="footer17.xml"/><Relationship Id="rId63" Type="http://schemas.openxmlformats.org/officeDocument/2006/relationships/footer" Target="footer18.xml"/><Relationship Id="rId64" Type="http://schemas.openxmlformats.org/officeDocument/2006/relationships/header" Target="header18.xml"/><Relationship Id="rId65" Type="http://schemas.openxmlformats.org/officeDocument/2006/relationships/header" Target="header19.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image" Target="media/image25.png"/><Relationship Id="rId69" Type="http://schemas.openxmlformats.org/officeDocument/2006/relationships/header" Target="header20.xml"/><Relationship Id="rId70" Type="http://schemas.openxmlformats.org/officeDocument/2006/relationships/footer" Target="footer21.xml"/><Relationship Id="rId71" Type="http://schemas.openxmlformats.org/officeDocument/2006/relationships/footer" Target="footer22.xml"/><Relationship Id="rId72" Type="http://schemas.openxmlformats.org/officeDocument/2006/relationships/header" Target="header21.xml"/><Relationship Id="rId73" Type="http://schemas.openxmlformats.org/officeDocument/2006/relationships/header" Target="header22.xml"/><Relationship Id="rId74" Type="http://schemas.openxmlformats.org/officeDocument/2006/relationships/image" Target="media/image26.png"/><Relationship Id="rId75" Type="http://schemas.openxmlformats.org/officeDocument/2006/relationships/image" Target="media/image27.png"/><Relationship Id="rId76" Type="http://schemas.openxmlformats.org/officeDocument/2006/relationships/image" Target="media/image28.png"/><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image" Target="media/image29.png"/><Relationship Id="rId80" Type="http://schemas.openxmlformats.org/officeDocument/2006/relationships/header" Target="header23.xml"/><Relationship Id="rId81" Type="http://schemas.openxmlformats.org/officeDocument/2006/relationships/footer" Target="footer25.xml"/><Relationship Id="rId82" Type="http://schemas.openxmlformats.org/officeDocument/2006/relationships/footer" Target="footer26.xml"/><Relationship Id="rId83" Type="http://schemas.openxmlformats.org/officeDocument/2006/relationships/header" Target="header24.xml"/><Relationship Id="rId84" Type="http://schemas.openxmlformats.org/officeDocument/2006/relationships/header" Target="header25.xml"/><Relationship Id="rId85" Type="http://schemas.openxmlformats.org/officeDocument/2006/relationships/header" Target="header26.xml"/><Relationship Id="rId86" Type="http://schemas.openxmlformats.org/officeDocument/2006/relationships/footer" Target="footer27.xml"/><Relationship Id="rId87" Type="http://schemas.openxmlformats.org/officeDocument/2006/relationships/footer" Target="footer28.xml"/><Relationship Id="rId88" Type="http://schemas.openxmlformats.org/officeDocument/2006/relationships/image" Target="media/image30.png"/><Relationship Id="rId89" Type="http://schemas.openxmlformats.org/officeDocument/2006/relationships/image" Target="media/image31.png"/><Relationship Id="rId90" Type="http://schemas.openxmlformats.org/officeDocument/2006/relationships/image" Target="media/image32.png"/><Relationship Id="rId91" Type="http://schemas.openxmlformats.org/officeDocument/2006/relationships/image" Target="media/image33.png"/><Relationship Id="rId92" Type="http://schemas.openxmlformats.org/officeDocument/2006/relationships/header" Target="header27.xml"/><Relationship Id="rId93" Type="http://schemas.openxmlformats.org/officeDocument/2006/relationships/header" Target="header28.xml"/><Relationship Id="rId94" Type="http://schemas.openxmlformats.org/officeDocument/2006/relationships/header" Target="header29.xml"/><Relationship Id="rId95" Type="http://schemas.openxmlformats.org/officeDocument/2006/relationships/footer" Target="footer29.xml"/><Relationship Id="rId96" Type="http://schemas.openxmlformats.org/officeDocument/2006/relationships/footer" Target="footer30.xml"/><Relationship Id="rId97" Type="http://schemas.openxmlformats.org/officeDocument/2006/relationships/header" Target="header30.xml"/><Relationship Id="rId98" Type="http://schemas.openxmlformats.org/officeDocument/2006/relationships/footer" Target="footer31.xml"/><Relationship Id="rId99" Type="http://schemas.openxmlformats.org/officeDocument/2006/relationships/hyperlink" Target="mailto:mapublications@bankofengland.co.uk" TargetMode="External"/><Relationship Id="rId100" Type="http://schemas.openxmlformats.org/officeDocument/2006/relationships/hyperlink" Target="http://www.bankofengland.co.uk/" TargetMode="External"/><Relationship Id="rId101" Type="http://schemas.openxmlformats.org/officeDocument/2006/relationships/header" Target="header31.xml"/><Relationship Id="rId102" Type="http://schemas.openxmlformats.org/officeDocument/2006/relationships/footer" Target="footer32.xml"/><Relationship Id="rId103" Type="http://schemas.openxmlformats.org/officeDocument/2006/relationships/image" Target="media/image34.png"/><Relationship Id="rId104" Type="http://schemas.openxmlformats.org/officeDocument/2006/relationships/header" Target="header32.xml"/><Relationship Id="rId105" Type="http://schemas.openxmlformats.org/officeDocument/2006/relationships/footer" Target="footer33.xml"/><Relationship Id="rId106" Type="http://schemas.openxmlformats.org/officeDocument/2006/relationships/header" Target="header33.xml"/><Relationship Id="rId107" Type="http://schemas.openxmlformats.org/officeDocument/2006/relationships/header" Target="header34.xml"/><Relationship Id="rId108" Type="http://schemas.openxmlformats.org/officeDocument/2006/relationships/footer" Target="footer34.xml"/><Relationship Id="rId109" Type="http://schemas.openxmlformats.org/officeDocument/2006/relationships/footer" Target="footer35.xml"/><Relationship Id="rId110" Type="http://schemas.openxmlformats.org/officeDocument/2006/relationships/header" Target="header35.xml"/><Relationship Id="rId111" Type="http://schemas.openxmlformats.org/officeDocument/2006/relationships/footer" Target="footer36.xml"/><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2020-06-03T00:01:27Z</dcterms:created>
  <dcterms:modified xsi:type="dcterms:W3CDTF">2020-06-03T00:01:27Z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1997-11-11T00:00:00Z</vt:filetime>
  </property>
  <property fmtid="{D5CDD505-2E9C-101B-9397-08002B2CF9AE}" pid="3" name="LastSaved">
    <vt:filetime>2020-06-03T00:00:00Z</vt:filetime>
  </property>
</Properties>
</file>