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Default Extension="png" ContentType="image/png"/>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7.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16.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2.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header25.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8.xml" ContentType="application/vnd.openxmlformats-officedocument.wordprocessingml.footer+xml"/>
  <Override PartName="/word/footer39.xml" ContentType="application/vnd.openxmlformats-officedocument.wordprocessingml.footer+xml"/>
  <Override PartName="/word/header33.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42.xml" ContentType="application/vnd.openxmlformats-officedocument.wordprocessingml.footer+xml"/>
  <Override PartName="/word/footer43.xml" ContentType="application/vnd.openxmlformats-officedocument.wordprocessingml.footer+xml"/>
  <Override PartName="/word/header36.xml" ContentType="application/vnd.openxmlformats-officedocument.wordprocessingml.header+xml"/>
  <Override PartName="/word/footer44.xml" ContentType="application/vnd.openxmlformats-officedocument.wordprocessingml.footer+xml"/>
  <Override PartName="/word/header37.xml" ContentType="application/vnd.openxmlformats-officedocument.wordprocessingml.header+xml"/>
  <Override PartName="/word/footer45.xml" ContentType="application/vnd.openxmlformats-officedocument.wordprocessingml.footer+xml"/>
  <Override PartName="/word/header38.xml" ContentType="application/vnd.openxmlformats-officedocument.wordprocessingml.header+xml"/>
  <Override PartName="/word/footer4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bookmarkStart w:name="Introduction" w:id="1"/>
      <w:bookmarkEnd w:id="1"/>
      <w:r>
        <w:rPr>
          <w:b w:val="0"/>
        </w:rPr>
      </w:r>
      <w:r>
        <w:rPr>
          <w:color w:val="009483"/>
        </w:rPr>
        <w:t>Inflation Report</w:t>
      </w:r>
    </w:p>
    <w:p>
      <w:pPr>
        <w:spacing w:before="711"/>
        <w:ind w:left="3800" w:right="0" w:firstLine="0"/>
        <w:jc w:val="left"/>
        <w:rPr>
          <w:b/>
          <w:sz w:val="40"/>
        </w:rPr>
      </w:pPr>
      <w:r>
        <w:rPr>
          <w:b/>
          <w:color w:val="009483"/>
          <w:sz w:val="40"/>
        </w:rPr>
        <w:t>November 1998</w:t>
      </w:r>
    </w:p>
    <w:p>
      <w:pPr>
        <w:pStyle w:val="BodyText"/>
        <w:rPr>
          <w:b/>
          <w:sz w:val="44"/>
        </w:rPr>
      </w:pPr>
    </w:p>
    <w:p>
      <w:pPr>
        <w:pStyle w:val="Heading4"/>
        <w:spacing w:line="242" w:lineRule="auto" w:before="303"/>
        <w:ind w:left="3799" w:right="1422"/>
      </w:pPr>
      <w:r>
        <w:rPr>
          <w:color w:val="231F20"/>
        </w:rPr>
        <w:t>The </w:t>
      </w:r>
      <w:r>
        <w:rPr>
          <w:i/>
          <w:color w:val="231F20"/>
        </w:rPr>
        <w:t>Inflation Report </w:t>
      </w:r>
      <w:r>
        <w:rPr>
          <w:color w:val="231F20"/>
        </w:rPr>
        <w:t>is produced quarterly by Bank </w:t>
      </w:r>
      <w:r>
        <w:rPr>
          <w:color w:val="231F20"/>
          <w:spacing w:val="-6"/>
        </w:rPr>
        <w:t>staff </w:t>
      </w:r>
      <w:r>
        <w:rPr>
          <w:color w:val="231F20"/>
        </w:rPr>
        <w:t>under the guidance of the members of the Monetary Policy Committee. It serves a dual purpose.</w:t>
      </w:r>
      <w:r>
        <w:rPr>
          <w:color w:val="231F20"/>
          <w:spacing w:val="56"/>
        </w:rPr>
        <w:t> </w:t>
      </w:r>
      <w:r>
        <w:rPr>
          <w:color w:val="231F20"/>
        </w:rPr>
        <w:t>First,</w:t>
      </w:r>
    </w:p>
    <w:p>
      <w:pPr>
        <w:spacing w:before="4"/>
        <w:ind w:left="3799" w:right="0" w:firstLine="0"/>
        <w:jc w:val="left"/>
        <w:rPr>
          <w:sz w:val="24"/>
        </w:rPr>
      </w:pPr>
      <w:r>
        <w:rPr>
          <w:color w:val="231F20"/>
          <w:sz w:val="24"/>
        </w:rPr>
        <w:t>its preparation provides a comprehensive and</w:t>
      </w:r>
    </w:p>
    <w:p>
      <w:pPr>
        <w:spacing w:line="242" w:lineRule="auto" w:before="4"/>
        <w:ind w:left="3799" w:right="1422" w:firstLine="0"/>
        <w:jc w:val="left"/>
        <w:rPr>
          <w:sz w:val="24"/>
        </w:rPr>
      </w:pPr>
      <w:r>
        <w:rPr>
          <w:color w:val="231F20"/>
          <w:sz w:val="24"/>
        </w:rPr>
        <w:t>forward-looking framework for discussion among MPC members as an aid to our decision making. Second, its publication allows us to share our thinking and explain the reasons for our decisions to those whom they affect.</w:t>
      </w:r>
    </w:p>
    <w:p>
      <w:pPr>
        <w:spacing w:line="249" w:lineRule="auto" w:before="225"/>
        <w:ind w:left="3799" w:right="1655" w:firstLine="0"/>
        <w:jc w:val="left"/>
        <w:rPr>
          <w:sz w:val="24"/>
        </w:rPr>
      </w:pPr>
      <w:r>
        <w:rPr>
          <w:color w:val="231F20"/>
          <w:sz w:val="24"/>
        </w:rPr>
        <w:t>Although not every member will agree with every assumption on which our projections are based, the fan charts represent the MPC’s best collective judgment</w:t>
      </w:r>
    </w:p>
    <w:p>
      <w:pPr>
        <w:spacing w:line="249" w:lineRule="auto" w:before="3"/>
        <w:ind w:left="3799" w:right="1335" w:firstLine="0"/>
        <w:jc w:val="left"/>
        <w:rPr>
          <w:sz w:val="24"/>
        </w:rPr>
      </w:pPr>
      <w:r>
        <w:rPr>
          <w:color w:val="231F20"/>
          <w:sz w:val="24"/>
        </w:rPr>
        <w:t>about the most likely path for inflation and output, and the uncertainties surrounding those central projections.</w:t>
      </w:r>
    </w:p>
    <w:p>
      <w:pPr>
        <w:pStyle w:val="BodyText"/>
        <w:rPr>
          <w:sz w:val="21"/>
        </w:rPr>
      </w:pPr>
    </w:p>
    <w:p>
      <w:pPr>
        <w:spacing w:line="249" w:lineRule="auto" w:before="1"/>
        <w:ind w:left="3799" w:right="1789" w:firstLine="0"/>
        <w:jc w:val="left"/>
        <w:rPr>
          <w:sz w:val="24"/>
        </w:rPr>
      </w:pPr>
      <w:r>
        <w:rPr>
          <w:color w:val="231F20"/>
          <w:sz w:val="24"/>
        </w:rPr>
        <w:t>This </w:t>
      </w:r>
      <w:r>
        <w:rPr>
          <w:i/>
          <w:color w:val="231F20"/>
          <w:sz w:val="24"/>
        </w:rPr>
        <w:t>Report </w:t>
      </w:r>
      <w:r>
        <w:rPr>
          <w:color w:val="231F20"/>
          <w:sz w:val="24"/>
        </w:rPr>
        <w:t>has been prepared and published by the Bank of England in accordance with section 18 of the Bank of England Act 1998.</w:t>
      </w:r>
    </w:p>
    <w:p>
      <w:pPr>
        <w:pStyle w:val="BodyText"/>
        <w:spacing w:before="3"/>
        <w:rPr>
          <w:sz w:val="25"/>
        </w:rPr>
      </w:pPr>
    </w:p>
    <w:p>
      <w:pPr>
        <w:spacing w:before="0"/>
        <w:ind w:left="3799" w:right="0" w:firstLine="0"/>
        <w:jc w:val="left"/>
        <w:rPr>
          <w:sz w:val="24"/>
        </w:rPr>
      </w:pPr>
      <w:r>
        <w:rPr>
          <w:b/>
          <w:color w:val="231F20"/>
          <w:sz w:val="24"/>
        </w:rPr>
        <w:t>The Monetary Policy Committee</w:t>
      </w:r>
      <w:r>
        <w:rPr>
          <w:color w:val="231F20"/>
          <w:sz w:val="24"/>
        </w:rPr>
        <w:t>:</w:t>
      </w:r>
    </w:p>
    <w:p>
      <w:pPr>
        <w:spacing w:before="12"/>
        <w:ind w:left="3800" w:right="0" w:firstLine="0"/>
        <w:jc w:val="left"/>
        <w:rPr>
          <w:sz w:val="24"/>
        </w:rPr>
      </w:pPr>
      <w:r>
        <w:rPr>
          <w:color w:val="231F20"/>
          <w:sz w:val="24"/>
        </w:rPr>
        <w:t>Eddie George, Governor</w:t>
      </w:r>
    </w:p>
    <w:p>
      <w:pPr>
        <w:spacing w:line="249" w:lineRule="auto" w:before="12"/>
        <w:ind w:left="3800" w:right="314" w:firstLine="0"/>
        <w:jc w:val="left"/>
        <w:rPr>
          <w:sz w:val="24"/>
        </w:rPr>
      </w:pPr>
      <w:r>
        <w:rPr>
          <w:color w:val="231F20"/>
          <w:sz w:val="24"/>
        </w:rPr>
        <w:t>Mervyn King, Deputy Governor responsible for monetary policy David Clementi, Deputy Governor responsible for financial stability Alan Budd</w:t>
      </w:r>
    </w:p>
    <w:p>
      <w:pPr>
        <w:spacing w:line="249" w:lineRule="auto" w:before="3"/>
        <w:ind w:left="3800" w:right="5240" w:firstLine="0"/>
        <w:jc w:val="left"/>
        <w:rPr>
          <w:sz w:val="24"/>
        </w:rPr>
      </w:pPr>
      <w:r>
        <w:rPr>
          <w:color w:val="231F20"/>
          <w:sz w:val="24"/>
        </w:rPr>
        <w:t>Willem Buiter Charles Goodhart DeAnne Julius Ian Plenderleith John Vickers</w:t>
      </w:r>
    </w:p>
    <w:p>
      <w:pPr>
        <w:pStyle w:val="BodyText"/>
        <w:rPr>
          <w:sz w:val="26"/>
        </w:rPr>
      </w:pPr>
    </w:p>
    <w:p>
      <w:pPr>
        <w:pStyle w:val="BodyText"/>
        <w:rPr>
          <w:sz w:val="26"/>
        </w:rPr>
      </w:pPr>
    </w:p>
    <w:p>
      <w:pPr>
        <w:pStyle w:val="BodyText"/>
        <w:rPr>
          <w:sz w:val="26"/>
        </w:rPr>
      </w:pPr>
    </w:p>
    <w:p>
      <w:pPr>
        <w:pStyle w:val="BodyText"/>
        <w:spacing w:before="10"/>
        <w:rPr>
          <w:sz w:val="25"/>
        </w:rPr>
      </w:pPr>
    </w:p>
    <w:p>
      <w:pPr>
        <w:pStyle w:val="Heading8"/>
        <w:spacing w:line="249" w:lineRule="auto" w:before="0"/>
        <w:ind w:left="3799" w:right="314"/>
      </w:pPr>
      <w:r>
        <w:rPr>
          <w:color w:val="231F20"/>
        </w:rPr>
        <w:t>The Overview of this </w:t>
      </w:r>
      <w:r>
        <w:rPr>
          <w:i/>
          <w:color w:val="231F20"/>
        </w:rPr>
        <w:t>Inflation Report </w:t>
      </w:r>
      <w:r>
        <w:rPr>
          <w:color w:val="231F20"/>
        </w:rPr>
        <w:t>is available on the Bank’s web site: </w:t>
      </w:r>
      <w:hyperlink r:id="rId5">
        <w:r>
          <w:rPr>
            <w:color w:val="231F20"/>
          </w:rPr>
          <w:t>www.bankofengland.co.uk/infrep.htm.</w:t>
        </w:r>
      </w:hyperlink>
      <w:r>
        <w:rPr>
          <w:color w:val="231F20"/>
        </w:rPr>
        <w:t> The entire </w:t>
      </w:r>
      <w:r>
        <w:rPr>
          <w:i/>
          <w:color w:val="231F20"/>
        </w:rPr>
        <w:t>Report </w:t>
      </w:r>
      <w:r>
        <w:rPr>
          <w:color w:val="231F20"/>
        </w:rPr>
        <w:t>is available in PDF format on </w:t>
      </w:r>
      <w:hyperlink r:id="rId6">
        <w:r>
          <w:rPr>
            <w:color w:val="231F20"/>
          </w:rPr>
          <w:t>www.bankofengland.co.uk/ir.htm.</w:t>
        </w:r>
      </w:hyperlink>
    </w:p>
    <w:p>
      <w:pPr>
        <w:pStyle w:val="BodyText"/>
        <w:rPr>
          <w:sz w:val="22"/>
        </w:rPr>
      </w:pPr>
    </w:p>
    <w:p>
      <w:pPr>
        <w:pStyle w:val="BodyText"/>
        <w:rPr>
          <w:sz w:val="22"/>
        </w:rPr>
      </w:pPr>
    </w:p>
    <w:p>
      <w:pPr>
        <w:spacing w:line="182" w:lineRule="exact" w:before="194"/>
        <w:ind w:left="3800" w:right="0" w:firstLine="0"/>
        <w:jc w:val="left"/>
        <w:rPr>
          <w:sz w:val="16"/>
        </w:rPr>
      </w:pPr>
      <w:r>
        <w:rPr>
          <w:color w:val="231F20"/>
          <w:sz w:val="16"/>
        </w:rPr>
        <w:t>Printed by Park Communications Ltd</w:t>
      </w:r>
    </w:p>
    <w:p>
      <w:pPr>
        <w:spacing w:line="235" w:lineRule="auto" w:before="1"/>
        <w:ind w:left="3800" w:right="5334" w:firstLine="0"/>
        <w:jc w:val="left"/>
        <w:rPr>
          <w:sz w:val="16"/>
        </w:rPr>
      </w:pPr>
      <w:r>
        <w:rPr>
          <w:color w:val="231F20"/>
          <w:sz w:val="16"/>
        </w:rPr>
        <w:t>© Bank of England 1998 ISBN 1 85730 181 1</w:t>
      </w:r>
    </w:p>
    <w:p>
      <w:pPr>
        <w:spacing w:line="180" w:lineRule="exact" w:before="0"/>
        <w:ind w:left="3800" w:right="0" w:firstLine="0"/>
        <w:jc w:val="left"/>
        <w:rPr>
          <w:sz w:val="16"/>
        </w:rPr>
      </w:pPr>
      <w:r>
        <w:rPr>
          <w:color w:val="231F20"/>
          <w:sz w:val="16"/>
        </w:rPr>
        <w:t>ISSN 1353–6737</w:t>
      </w:r>
    </w:p>
    <w:p>
      <w:pPr>
        <w:spacing w:after="0" w:line="180" w:lineRule="exact"/>
        <w:jc w:val="left"/>
        <w:rPr>
          <w:sz w:val="16"/>
        </w:rPr>
        <w:sectPr>
          <w:type w:val="continuous"/>
          <w:pgSz w:w="11900" w:h="16840"/>
          <w:pgMar w:top="1220" w:bottom="280" w:left="620" w:right="520"/>
        </w:sectPr>
      </w:pPr>
    </w:p>
    <w:p>
      <w:pPr>
        <w:pStyle w:val="BodyText"/>
        <w:spacing w:line="20" w:lineRule="exact"/>
        <w:ind w:left="158"/>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spacing w:before="1"/>
        <w:rPr>
          <w:sz w:val="28"/>
        </w:rPr>
      </w:pPr>
    </w:p>
    <w:p>
      <w:pPr>
        <w:spacing w:before="83"/>
        <w:ind w:left="4520" w:right="0" w:firstLine="0"/>
        <w:jc w:val="left"/>
        <w:rPr>
          <w:b/>
          <w:sz w:val="40"/>
        </w:rPr>
      </w:pPr>
      <w:bookmarkStart w:name="Overview" w:id="2"/>
      <w:bookmarkEnd w:id="2"/>
      <w:r>
        <w:rPr/>
      </w:r>
      <w:r>
        <w:rPr>
          <w:b/>
          <w:color w:val="009483"/>
          <w:sz w:val="40"/>
        </w:rPr>
        <w:t>Overview</w:t>
      </w:r>
    </w:p>
    <w:p>
      <w:pPr>
        <w:pStyle w:val="Heading4"/>
        <w:spacing w:line="249" w:lineRule="auto" w:before="338"/>
        <w:ind w:left="4540" w:right="314"/>
      </w:pPr>
      <w:r>
        <w:rPr>
          <w:color w:val="231F20"/>
        </w:rPr>
        <w:t>The Monetary Policy Committee sets interest rates to maintain a path for inflation looking ahead that is consistent with the 2.5% target for inflation on the RPIX measure. This requires the Committee to act in response to prospective deviations—downwards or upwards—from the inflation target in a symmetrical fashion.</w:t>
      </w:r>
    </w:p>
    <w:p>
      <w:pPr>
        <w:pStyle w:val="BodyText"/>
        <w:spacing w:before="6"/>
        <w:rPr>
          <w:sz w:val="25"/>
        </w:rPr>
      </w:pPr>
    </w:p>
    <w:p>
      <w:pPr>
        <w:spacing w:line="249" w:lineRule="auto" w:before="0"/>
        <w:ind w:left="4540" w:right="318" w:firstLine="0"/>
        <w:jc w:val="left"/>
        <w:rPr>
          <w:sz w:val="24"/>
        </w:rPr>
      </w:pPr>
      <w:r>
        <w:rPr>
          <w:color w:val="231F20"/>
          <w:sz w:val="24"/>
        </w:rPr>
        <w:t>Since the August </w:t>
      </w:r>
      <w:r>
        <w:rPr>
          <w:i/>
          <w:color w:val="231F20"/>
          <w:sz w:val="24"/>
        </w:rPr>
        <w:t>Inflation Report</w:t>
      </w:r>
      <w:r>
        <w:rPr>
          <w:color w:val="231F20"/>
          <w:sz w:val="24"/>
        </w:rPr>
        <w:t>, there </w:t>
      </w:r>
      <w:r>
        <w:rPr>
          <w:color w:val="231F20"/>
          <w:spacing w:val="-3"/>
          <w:sz w:val="24"/>
        </w:rPr>
        <w:t>have </w:t>
      </w:r>
      <w:r>
        <w:rPr>
          <w:color w:val="231F20"/>
          <w:sz w:val="24"/>
        </w:rPr>
        <w:t>been two major developments affecting the prospects for inflation. First, following the debt restructuring in Russia and the imposition of capital controls in Malaysia, there was widespread financial market turbulence affecting both emerging and industrialised economies. This, together with news of </w:t>
      </w:r>
      <w:r>
        <w:rPr>
          <w:color w:val="231F20"/>
          <w:spacing w:val="-3"/>
          <w:sz w:val="24"/>
        </w:rPr>
        <w:t>further </w:t>
      </w:r>
      <w:r>
        <w:rPr>
          <w:color w:val="231F20"/>
          <w:sz w:val="24"/>
        </w:rPr>
        <w:t>weakness in Japan, has led to a substantial deterioration in the prospects for world growth. Second, although official output data show UK growth continuing in the third quarter at close to trend rates, survey evidence and reports from the </w:t>
      </w:r>
      <w:r>
        <w:rPr>
          <w:color w:val="231F20"/>
          <w:spacing w:val="-3"/>
          <w:sz w:val="24"/>
        </w:rPr>
        <w:t>Bank’s </w:t>
      </w:r>
      <w:r>
        <w:rPr>
          <w:color w:val="231F20"/>
          <w:sz w:val="24"/>
        </w:rPr>
        <w:t>regional Agents indicate a sharp and widespread decline in business and consumer</w:t>
      </w:r>
      <w:r>
        <w:rPr>
          <w:color w:val="231F20"/>
          <w:spacing w:val="-2"/>
          <w:sz w:val="24"/>
        </w:rPr>
        <w:t> </w:t>
      </w:r>
      <w:r>
        <w:rPr>
          <w:color w:val="231F20"/>
          <w:sz w:val="24"/>
        </w:rPr>
        <w:t>confidence.</w:t>
      </w:r>
    </w:p>
    <w:p>
      <w:pPr>
        <w:spacing w:line="249" w:lineRule="auto" w:before="224"/>
        <w:ind w:left="4540" w:right="375" w:firstLine="0"/>
        <w:jc w:val="left"/>
        <w:rPr>
          <w:sz w:val="24"/>
        </w:rPr>
      </w:pPr>
      <w:r>
        <w:rPr>
          <w:color w:val="231F20"/>
          <w:sz w:val="24"/>
        </w:rPr>
        <w:t>The international financial market turbulence has been associated with a flight from risk. Few, if any, emerging market economies were untouched by the financial market contagion triggered by the Russian debt restructuring, and spreads on emerging market debt rose steeply. Spreads on corporate debt in industrial countries have also increased, though government bond yields have generally fallen. There were sharp falls in equity prices in industrialised countries, but these have been partly reversed. Uncertainty about, and unwinding of, the exposures of financial institutions, especially after the near-failure of the Long-Term Capital Management hedge fund in September, led to reduced liquidity and increased volatility in financial markets. In countries such as the United States, where the capital market is the major source of corporate finance, concerns have been expressed about an incipient ‘credit crunch’. But in the United Kingdom, where the banking system is the main external source of business finance, there has so far been no sharp deterioration of credit conditions.</w:t>
      </w:r>
    </w:p>
    <w:p>
      <w:pPr>
        <w:spacing w:line="249" w:lineRule="auto" w:before="230"/>
        <w:ind w:left="4540" w:right="314" w:firstLine="0"/>
        <w:jc w:val="left"/>
        <w:rPr>
          <w:sz w:val="24"/>
        </w:rPr>
      </w:pPr>
      <w:r>
        <w:rPr>
          <w:color w:val="231F20"/>
          <w:sz w:val="24"/>
        </w:rPr>
        <w:t>Where equity prices are lower and credit conditions are tighter, consumer demand will tend to weaken as households adjust to lower net wealth, and firms will scale back investment plans in response to the higher cost and reduced availability of capital. Although official interest rates have been reduced in a number of industrialised countries since September, the prospect is now for slower world growth than expected three months ago.</w:t>
      </w:r>
    </w:p>
    <w:p>
      <w:pPr>
        <w:spacing w:after="0" w:line="249" w:lineRule="auto"/>
        <w:jc w:val="left"/>
        <w:rPr>
          <w:sz w:val="24"/>
        </w:rPr>
        <w:sectPr>
          <w:footerReference w:type="even" r:id="rId7"/>
          <w:pgSz w:w="11900" w:h="16840"/>
          <w:pgMar w:footer="597" w:header="0" w:top="760" w:bottom="780" w:left="620" w:right="520"/>
        </w:sectPr>
      </w:pPr>
    </w:p>
    <w:p>
      <w:pPr>
        <w:tabs>
          <w:tab w:pos="10484" w:val="left" w:leader="none"/>
        </w:tabs>
        <w:spacing w:before="82"/>
        <w:ind w:left="145" w:right="0" w:firstLine="0"/>
        <w:jc w:val="left"/>
        <w:rPr>
          <w:sz w:val="16"/>
        </w:rPr>
      </w:pPr>
      <w:r>
        <w:rPr>
          <w:color w:val="231F20"/>
          <w:spacing w:val="-20"/>
          <w:sz w:val="16"/>
          <w:u w:val="single" w:color="231F20"/>
        </w:rPr>
        <w:t> </w:t>
      </w:r>
      <w:r>
        <w:rPr>
          <w:color w:val="231F20"/>
          <w:sz w:val="16"/>
          <w:u w:val="single" w:color="231F20"/>
        </w:rPr>
        <w:t>Inflation Report:  November 1998</w:t>
        <w:tab/>
      </w:r>
    </w:p>
    <w:p>
      <w:pPr>
        <w:pStyle w:val="BodyText"/>
        <w:rPr>
          <w:sz w:val="20"/>
        </w:rPr>
      </w:pPr>
    </w:p>
    <w:p>
      <w:pPr>
        <w:pStyle w:val="Heading4"/>
        <w:spacing w:line="249" w:lineRule="auto" w:before="227"/>
        <w:ind w:left="4500" w:right="299"/>
      </w:pPr>
      <w:r>
        <w:rPr>
          <w:color w:val="231F20"/>
        </w:rPr>
        <w:t>The weaker international outlook affects the prospects for the UK economy via two main channels. The first is lower demand for UK exports and increased import competition. In particular, unless capital flows to emerging market economies resume, those economies must </w:t>
      </w:r>
      <w:r>
        <w:rPr>
          <w:color w:val="231F20"/>
          <w:spacing w:val="-3"/>
        </w:rPr>
        <w:t>have </w:t>
      </w:r>
      <w:r>
        <w:rPr>
          <w:color w:val="231F20"/>
        </w:rPr>
        <w:t>smaller current account deficits, or larger trade surpluses, than before. So the net trade position of industrialised countries, including the </w:t>
      </w:r>
      <w:r>
        <w:rPr>
          <w:color w:val="231F20"/>
          <w:spacing w:val="-3"/>
        </w:rPr>
        <w:t>United </w:t>
      </w:r>
      <w:r>
        <w:rPr>
          <w:color w:val="231F20"/>
        </w:rPr>
        <w:t>Kingdom, will be weaker than otherwise. This, combined with the lagged effects of sterling’s appreciation, means that net trade is likely to continue to make a significant negative contribution to UK growth. Second, the implications of weaker world demand for commodity and other traded goods prices, together with the depreciation of the currencies of emerging market economies, are likely to lower import prices and hence subdue inflation in industrialised countries. Even though the sterling effective exchange rate index has recently depreciated, external influences are likely to restrain UK inflation by more and for longer than previously</w:t>
      </w:r>
      <w:r>
        <w:rPr>
          <w:color w:val="231F20"/>
          <w:spacing w:val="-6"/>
        </w:rPr>
        <w:t> </w:t>
      </w:r>
      <w:r>
        <w:rPr>
          <w:color w:val="231F20"/>
        </w:rPr>
        <w:t>expected.</w:t>
      </w:r>
    </w:p>
    <w:p>
      <w:pPr>
        <w:pStyle w:val="BodyText"/>
        <w:spacing w:before="7"/>
        <w:rPr>
          <w:sz w:val="26"/>
        </w:rPr>
      </w:pPr>
    </w:p>
    <w:p>
      <w:pPr>
        <w:spacing w:line="249" w:lineRule="auto" w:before="0"/>
        <w:ind w:left="4500" w:right="314" w:firstLine="0"/>
        <w:jc w:val="left"/>
        <w:rPr>
          <w:sz w:val="24"/>
        </w:rPr>
      </w:pPr>
      <w:r>
        <w:rPr>
          <w:color w:val="231F20"/>
          <w:sz w:val="24"/>
        </w:rPr>
        <w:t>Turning to the prospects for private domestic demand in the United Kingdom, there is a marked contrast between official data and survey evidence. The preliminary estimate for </w:t>
      </w:r>
      <w:r>
        <w:rPr>
          <w:color w:val="231F20"/>
          <w:spacing w:val="-6"/>
          <w:sz w:val="24"/>
        </w:rPr>
        <w:t>GDP </w:t>
      </w:r>
      <w:r>
        <w:rPr>
          <w:color w:val="231F20"/>
          <w:sz w:val="24"/>
        </w:rPr>
        <w:t>growth in the third quarter was 0.5%, which was somewhat higher than in the central projection in the August</w:t>
      </w:r>
      <w:r>
        <w:rPr>
          <w:color w:val="231F20"/>
          <w:spacing w:val="-1"/>
          <w:sz w:val="24"/>
        </w:rPr>
        <w:t> </w:t>
      </w:r>
      <w:r>
        <w:rPr>
          <w:i/>
          <w:color w:val="231F20"/>
          <w:sz w:val="24"/>
        </w:rPr>
        <w:t>Report</w:t>
      </w:r>
      <w:r>
        <w:rPr>
          <w:color w:val="231F20"/>
          <w:sz w:val="24"/>
        </w:rPr>
        <w:t>.</w:t>
      </w:r>
    </w:p>
    <w:p>
      <w:pPr>
        <w:spacing w:line="249" w:lineRule="auto" w:before="5"/>
        <w:ind w:left="4500" w:right="0" w:firstLine="0"/>
        <w:jc w:val="left"/>
        <w:rPr>
          <w:sz w:val="24"/>
        </w:rPr>
      </w:pPr>
      <w:r>
        <w:rPr>
          <w:color w:val="231F20"/>
          <w:sz w:val="24"/>
        </w:rPr>
        <w:t>But since the summer, business surveys and reports from the Bank’s regional Agents indicate that business sentiment has deteriorated sharply—in services as well as manufacturing. Survey evidence also indicates a substantial weakening of consumer confidence.</w:t>
      </w:r>
    </w:p>
    <w:p>
      <w:pPr>
        <w:pStyle w:val="BodyText"/>
        <w:spacing w:before="5"/>
        <w:rPr>
          <w:sz w:val="25"/>
        </w:rPr>
      </w:pPr>
    </w:p>
    <w:p>
      <w:pPr>
        <w:spacing w:line="249" w:lineRule="auto" w:before="1"/>
        <w:ind w:left="4500" w:right="469" w:firstLine="0"/>
        <w:jc w:val="left"/>
        <w:rPr>
          <w:sz w:val="24"/>
        </w:rPr>
      </w:pPr>
      <w:r>
        <w:rPr>
          <w:color w:val="231F20"/>
          <w:sz w:val="24"/>
        </w:rPr>
        <w:t>The outlook for inflation continues to depend upon developments in the labour market. Measures of employment, unemployment and vacancies suggest that the labour market remains tight, although some recent data suggest that it is no longer continuing to tighten.</w:t>
      </w:r>
    </w:p>
    <w:p>
      <w:pPr>
        <w:spacing w:line="249" w:lineRule="auto" w:before="5"/>
        <w:ind w:left="4500" w:right="352" w:firstLine="0"/>
        <w:jc w:val="both"/>
        <w:rPr>
          <w:sz w:val="24"/>
        </w:rPr>
      </w:pPr>
      <w:r>
        <w:rPr>
          <w:color w:val="231F20"/>
          <w:sz w:val="24"/>
        </w:rPr>
        <w:t>Unemployment on the LFS measure rose in the three months to August, but the claimant unemployment rate has</w:t>
      </w:r>
      <w:r>
        <w:rPr>
          <w:color w:val="231F20"/>
          <w:spacing w:val="-24"/>
          <w:sz w:val="24"/>
        </w:rPr>
        <w:t> </w:t>
      </w:r>
      <w:r>
        <w:rPr>
          <w:color w:val="231F20"/>
          <w:sz w:val="24"/>
        </w:rPr>
        <w:t>continued to decline, reaching its lowest level since</w:t>
      </w:r>
      <w:r>
        <w:rPr>
          <w:color w:val="231F20"/>
          <w:spacing w:val="-4"/>
          <w:sz w:val="24"/>
        </w:rPr>
        <w:t> </w:t>
      </w:r>
      <w:r>
        <w:rPr>
          <w:color w:val="231F20"/>
          <w:sz w:val="24"/>
        </w:rPr>
        <w:t>1980.</w:t>
      </w:r>
    </w:p>
    <w:p>
      <w:pPr>
        <w:pStyle w:val="BodyText"/>
        <w:spacing w:before="3"/>
        <w:rPr>
          <w:sz w:val="25"/>
        </w:rPr>
      </w:pPr>
    </w:p>
    <w:p>
      <w:pPr>
        <w:spacing w:line="249" w:lineRule="auto" w:before="0"/>
        <w:ind w:left="4500" w:right="314" w:firstLine="0"/>
        <w:jc w:val="left"/>
        <w:rPr>
          <w:sz w:val="24"/>
        </w:rPr>
      </w:pPr>
      <w:r>
        <w:rPr>
          <w:color w:val="231F20"/>
          <w:sz w:val="24"/>
        </w:rPr>
        <w:t>The underlying rate of earnings growth, a key indicator of domestic inflationary pressure, has become particularly difficult to assess. Since the beginning of October, the Average Earnings Index has been successively revised, rebased, and suspended pending an independent review announced by the Chancellor. The rebased series, which uses the same pay data as before, implies a profile for earnings growth that is both more volatile than the previous series, and hard to reconcile with other measures of pay and with the labour market tightening that has evidently taken place. The MPC has continued to pay attention to tightness in the labour</w:t>
      </w:r>
    </w:p>
    <w:p>
      <w:pPr>
        <w:pStyle w:val="BodyText"/>
        <w:spacing w:before="8"/>
        <w:rPr>
          <w:sz w:val="28"/>
        </w:rPr>
      </w:pPr>
    </w:p>
    <w:p>
      <w:pPr>
        <w:spacing w:before="93"/>
        <w:ind w:left="185" w:right="0" w:firstLine="0"/>
        <w:jc w:val="left"/>
        <w:rPr>
          <w:sz w:val="16"/>
        </w:rPr>
      </w:pPr>
      <w:r>
        <w:rPr>
          <w:color w:val="231F20"/>
          <w:sz w:val="16"/>
        </w:rPr>
        <w:t>ii</w:t>
      </w:r>
    </w:p>
    <w:p>
      <w:pPr>
        <w:spacing w:after="0"/>
        <w:jc w:val="left"/>
        <w:rPr>
          <w:sz w:val="16"/>
        </w:rPr>
        <w:sectPr>
          <w:footerReference w:type="default" r:id="rId8"/>
          <w:pgSz w:w="11900" w:h="16840"/>
          <w:pgMar w:footer="0" w:header="0" w:top="500" w:bottom="280" w:left="620" w:right="520"/>
        </w:sectPr>
      </w:pPr>
    </w:p>
    <w:p>
      <w:pPr>
        <w:spacing w:before="82"/>
        <w:ind w:left="0" w:right="277" w:firstLine="0"/>
        <w:jc w:val="right"/>
        <w:rPr>
          <w:i/>
          <w:sz w:val="16"/>
        </w:rPr>
      </w:pPr>
      <w:r>
        <w:rPr>
          <w:i/>
          <w:color w:val="231F20"/>
          <w:sz w:val="16"/>
        </w:rPr>
        <w:t>Overview</w:t>
      </w:r>
    </w:p>
    <w:p>
      <w:pPr>
        <w:pStyle w:val="BodyText"/>
        <w:spacing w:line="20" w:lineRule="exact"/>
        <w:ind w:left="158"/>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rPr>
          <w:i/>
          <w:sz w:val="20"/>
        </w:rPr>
      </w:pPr>
    </w:p>
    <w:p>
      <w:pPr>
        <w:spacing w:after="0"/>
        <w:rPr>
          <w:sz w:val="20"/>
        </w:rPr>
        <w:sectPr>
          <w:footerReference w:type="even" r:id="rId9"/>
          <w:pgSz w:w="11900" w:h="16840"/>
          <w:pgMar w:footer="597" w:header="0" w:top="500" w:bottom="780" w:left="620" w:right="520"/>
        </w:sectPr>
      </w:pPr>
    </w:p>
    <w:p>
      <w:pPr>
        <w:pStyle w:val="BodyText"/>
        <w:spacing w:before="10"/>
        <w:rPr>
          <w:i/>
        </w:rPr>
      </w:pPr>
    </w:p>
    <w:p>
      <w:pPr>
        <w:pStyle w:val="Heading7"/>
        <w:spacing w:before="0"/>
        <w:ind w:left="240"/>
      </w:pPr>
      <w:r>
        <w:rPr>
          <w:color w:val="0093C1"/>
        </w:rPr>
        <w:t>Chart 1</w:t>
      </w:r>
    </w:p>
    <w:p>
      <w:pPr>
        <w:spacing w:line="249" w:lineRule="auto" w:before="10"/>
        <w:ind w:left="240" w:right="522" w:firstLine="0"/>
        <w:jc w:val="left"/>
        <w:rPr>
          <w:b/>
          <w:sz w:val="20"/>
        </w:rPr>
      </w:pPr>
      <w:r>
        <w:rPr>
          <w:b/>
          <w:color w:val="0093C1"/>
          <w:sz w:val="20"/>
        </w:rPr>
        <w:t>Current GDP projection based on constant nominal interest rates</w:t>
      </w:r>
    </w:p>
    <w:p>
      <w:pPr>
        <w:spacing w:before="80"/>
        <w:ind w:left="1315" w:right="0" w:firstLine="0"/>
        <w:jc w:val="left"/>
        <w:rPr>
          <w:sz w:val="12"/>
        </w:rPr>
      </w:pPr>
      <w:r>
        <w:rPr>
          <w:color w:val="231F20"/>
          <w:sz w:val="12"/>
        </w:rPr>
        <w:t>Percentage increase in output on a year earlier</w:t>
      </w:r>
    </w:p>
    <w:p>
      <w:pPr>
        <w:spacing w:before="10"/>
        <w:ind w:left="3581" w:right="0" w:firstLine="0"/>
        <w:jc w:val="left"/>
        <w:rPr>
          <w:sz w:val="12"/>
        </w:rPr>
      </w:pPr>
      <w:r>
        <w:rPr/>
        <w:pict>
          <v:line style="position:absolute;mso-position-horizontal-relative:page;mso-position-vertical-relative:paragraph;z-index:15740416" from="46.77pt,3.497986pt" to="50.47pt,3.497986pt" stroked="true" strokeweight=".5pt" strokecolor="#000000">
            <v:stroke dashstyle="solid"/>
            <w10:wrap type="none"/>
          </v:line>
        </w:pict>
      </w:r>
      <w:r>
        <w:rPr/>
        <w:pict>
          <v:line style="position:absolute;mso-position-horizontal-relative:page;mso-position-vertical-relative:paragraph;z-index:15745024" from="207.770007pt,3.497986pt" to="204.070007pt,3.497986pt" stroked="true" strokeweight=".5pt" strokecolor="#000000">
            <v:stroke dashstyle="solid"/>
            <w10:wrap type="none"/>
          </v:line>
        </w:pict>
      </w:r>
      <w:r>
        <w:rPr>
          <w:color w:val="231F20"/>
          <w:sz w:val="12"/>
        </w:rPr>
        <w:t>6</w:t>
      </w:r>
    </w:p>
    <w:p>
      <w:pPr>
        <w:pStyle w:val="BodyText"/>
        <w:rPr>
          <w:sz w:val="12"/>
        </w:rPr>
      </w:pPr>
    </w:p>
    <w:p>
      <w:pPr>
        <w:spacing w:before="94"/>
        <w:ind w:left="3581" w:right="0" w:firstLine="0"/>
        <w:jc w:val="left"/>
        <w:rPr>
          <w:sz w:val="12"/>
        </w:rPr>
      </w:pPr>
      <w:r>
        <w:rPr/>
        <w:pict>
          <v:group style="position:absolute;margin-left:54.912998pt;margin-top:10.158169pt;width:143.4pt;height:106.7pt;mso-position-horizontal-relative:page;mso-position-vertical-relative:paragraph;z-index:15736832" coordorigin="1098,203" coordsize="2868,2134">
            <v:shape style="position:absolute;left:3011;top:304;width:952;height:2032" coordorigin="3011,305" coordsize="952,2032" path="m3963,305l3857,523,3751,708,3540,1041,3434,1163,3328,1193,3223,1178,3117,1104,3011,1104,3117,1493,3223,1955,3328,2162,3434,2329,3540,2336,3751,2247,3857,2181,3963,2085,3963,305xe" filled="true" fillcolor="#dbeae4" stroked="false">
              <v:path arrowok="t"/>
              <v:fill type="solid"/>
            </v:shape>
            <v:shape style="position:absolute;left:3011;top:477;width:952;height:1714" coordorigin="3011,477" coordsize="952,1714" path="m3963,477l3857,685,3751,859,3646,1018,3540,1173,3434,1280,3328,1291,3223,1258,3117,1147,3011,1106,3117,1451,3223,1861,3328,2050,3434,2191,3540,2183,3646,2120,3751,2061,3857,1980,3963,1865,3963,477xe" filled="true" fillcolor="#bfdbcf" stroked="false">
              <v:path arrowok="t"/>
              <v:fill type="solid"/>
            </v:shape>
            <v:shape style="position:absolute;left:3011;top:591;width:952;height:1503" coordorigin="3011,592" coordsize="952,1503" path="m3963,592l3857,791,3751,958,3646,1110,3540,1258,3434,1358,3328,1354,3223,1306,3117,1173,3011,1106,3117,1417,3223,1798,3328,1968,3434,2094,3540,2075,3646,2001,3751,1931,3857,1839,3963,1716,3963,592xe" filled="true" fillcolor="#a4cdbd" stroked="false">
              <v:path arrowok="t"/>
              <v:fill type="solid"/>
            </v:shape>
            <v:shape style="position:absolute;left:3011;top:682;width:952;height:1332" coordorigin="3011,683" coordsize="952,1332" path="m3963,683l3857,879,3751,1038,3540,1327,3434,1419,3328,1404,3223,1349,3117,1190,3011,1105,3117,1390,3223,1745,3328,1904,3434,2015,3540,1989,3751,1826,3857,1730,3963,1597,3963,683xe" filled="true" fillcolor="#8abfab" stroked="false">
              <v:path arrowok="t"/>
              <v:fill type="solid"/>
            </v:shape>
            <v:shape style="position:absolute;left:3011;top:764;width:952;height:1188" coordorigin="3011,764" coordsize="952,1188" path="m3963,764l3857,953,3751,1108,3646,1249,3540,1386,3434,1475,3328,1449,3223,1382,3117,1208,3011,1105,3117,1367,3223,1704,3328,1848,3434,1952,3540,1919,3751,1741,3857,1637,3963,1497,3963,764xe" filled="true" fillcolor="#6fb39a" stroked="false">
              <v:path arrowok="t"/>
              <v:fill type="solid"/>
            </v:shape>
            <v:shape style="position:absolute;left:3011;top:833;width:952;height:1062" coordorigin="3011,833" coordsize="952,1062" path="m3963,833l3857,1018,3751,1170,3646,1307,3540,1440,3434,1521,3328,1492,3223,1414,3117,1225,3011,1103,3117,1347,3223,1666,3328,1802,3434,1895,3540,1854,3751,1662,3857,1551,3963,1403,3963,833xe" filled="true" fillcolor="#53a78b" stroked="false">
              <v:path arrowok="t"/>
              <v:fill type="solid"/>
            </v:shape>
            <v:shape style="position:absolute;left:3011;top:901;width:952;height:940" coordorigin="3011,901" coordsize="952,940" path="m3963,901l3857,1082,3751,1230,3646,1364,3540,1493,3434,1571,3328,1530,3223,1449,3117,1242,3011,1105,3117,1330,3223,1630,3328,1760,3434,1841,3540,1797,3646,1693,3751,1593,3857,1471,3963,1319,3963,901xe" filled="true" fillcolor="#309d7d" stroked="false">
              <v:path arrowok="t"/>
              <v:fill type="solid"/>
            </v:shape>
            <v:shape style="position:absolute;left:3011;top:963;width:952;height:826" coordorigin="3011,964" coordsize="952,826" path="m3963,964l3857,1142,3751,1286,3540,1537,3434,1608,3328,1563,3223,1475,3117,1253,3011,1105,3117,1315,3223,1593,3328,1715,3434,1789,3540,1737,3751,1523,3857,1401,3963,1241,3963,964xe" filled="true" fillcolor="#00936f" stroked="false">
              <v:path arrowok="t"/>
              <v:fill type="solid"/>
            </v:shape>
            <v:line style="position:absolute" from="1105,2004" to="3965,2004" stroked="true" strokeweight=".5pt" strokecolor="#000000">
              <v:stroke dashstyle="solid"/>
            </v:line>
            <v:shape style="position:absolute;left:1108;top:213;width:846;height:1077" coordorigin="1108,213" coordsize="846,1077" path="m1214,376l1108,631m1320,213l1214,376m1425,302l1320,213m1531,517l1425,302m1637,850l1531,517m1743,1208l1637,850m1848,1290l1743,1208m1954,1072l1848,1290e" filled="false" stroked="true" strokeweight="1pt" strokecolor="#008256">
              <v:path arrowok="t"/>
              <v:stroke dashstyle="solid"/>
            </v:shape>
            <v:line style="position:absolute" from="1944,1077" to="2070,1077" stroked="true" strokeweight="1.555pt" strokecolor="#008256">
              <v:stroke dashstyle="solid"/>
            </v:line>
            <v:shape style="position:absolute;left:2059;top:542;width:952;height:563" coordorigin="2060,542" coordsize="952,563" path="m2165,1046l2060,1083m2271,1031l2165,1046m2377,1053l2271,1031m2483,724l2377,1053m2588,565l2483,724m2694,542l2588,565m2800,624l2694,542m2905,905l2800,624m3011,1105l2905,905e" filled="false" stroked="true" strokeweight="1pt" strokecolor="#008256">
              <v:path arrowok="t"/>
              <v:stroke dashstyle="solid"/>
            </v:shape>
            <w10:wrap type="none"/>
          </v:group>
        </w:pict>
      </w:r>
      <w:r>
        <w:rPr/>
        <w:pict>
          <v:line style="position:absolute;mso-position-horizontal-relative:page;mso-position-vertical-relative:paragraph;z-index:15739904" from="46.77pt,7.698169pt" to="50.47pt,7.698169pt" stroked="true" strokeweight=".5pt" strokecolor="#000000">
            <v:stroke dashstyle="solid"/>
            <w10:wrap type="none"/>
          </v:line>
        </w:pict>
      </w:r>
      <w:r>
        <w:rPr/>
        <w:pict>
          <v:line style="position:absolute;mso-position-horizontal-relative:page;mso-position-vertical-relative:paragraph;z-index:15744512" from="207.770007pt,7.698169pt" to="204.070007pt,7.698169pt" stroked="true" strokeweight=".5pt" strokecolor="#000000">
            <v:stroke dashstyle="solid"/>
            <w10:wrap type="none"/>
          </v:line>
        </w:pict>
      </w:r>
      <w:r>
        <w:rPr>
          <w:color w:val="231F20"/>
          <w:sz w:val="12"/>
        </w:rPr>
        <w:t>5</w:t>
      </w:r>
    </w:p>
    <w:p>
      <w:pPr>
        <w:pStyle w:val="BodyText"/>
        <w:rPr>
          <w:sz w:val="12"/>
        </w:rPr>
      </w:pPr>
    </w:p>
    <w:p>
      <w:pPr>
        <w:spacing w:before="95"/>
        <w:ind w:left="3581" w:right="0" w:firstLine="0"/>
        <w:jc w:val="left"/>
        <w:rPr>
          <w:sz w:val="12"/>
        </w:rPr>
      </w:pPr>
      <w:r>
        <w:rPr/>
        <w:pict>
          <v:line style="position:absolute;mso-position-horizontal-relative:page;mso-position-vertical-relative:paragraph;z-index:15739392" from="46.77pt,7.748352pt" to="50.47pt,7.748352pt" stroked="true" strokeweight=".5pt" strokecolor="#000000">
            <v:stroke dashstyle="solid"/>
            <w10:wrap type="none"/>
          </v:line>
        </w:pict>
      </w:r>
      <w:r>
        <w:rPr/>
        <w:pict>
          <v:line style="position:absolute;mso-position-horizontal-relative:page;mso-position-vertical-relative:paragraph;z-index:15744000" from="206.770007pt,7.748352pt" to="203.070007pt,7.748352pt" stroked="true" strokeweight=".5pt" strokecolor="#000000">
            <v:stroke dashstyle="solid"/>
            <w10:wrap type="none"/>
          </v:line>
        </w:pict>
      </w:r>
      <w:r>
        <w:rPr>
          <w:color w:val="231F20"/>
          <w:sz w:val="12"/>
        </w:rPr>
        <w:t>4</w:t>
      </w:r>
    </w:p>
    <w:p>
      <w:pPr>
        <w:pStyle w:val="BodyText"/>
        <w:rPr>
          <w:sz w:val="12"/>
        </w:rPr>
      </w:pPr>
    </w:p>
    <w:p>
      <w:pPr>
        <w:spacing w:before="94"/>
        <w:ind w:left="3581" w:right="0" w:firstLine="0"/>
        <w:jc w:val="left"/>
        <w:rPr>
          <w:sz w:val="12"/>
        </w:rPr>
      </w:pPr>
      <w:r>
        <w:rPr/>
        <w:pict>
          <v:line style="position:absolute;mso-position-horizontal-relative:page;mso-position-vertical-relative:paragraph;z-index:15738880" from="46.77pt,7.698535pt" to="50.47pt,7.698535pt" stroked="true" strokeweight=".5pt" strokecolor="#000000">
            <v:stroke dashstyle="solid"/>
            <w10:wrap type="none"/>
          </v:line>
        </w:pict>
      </w:r>
      <w:r>
        <w:rPr/>
        <w:pict>
          <v:line style="position:absolute;mso-position-horizontal-relative:page;mso-position-vertical-relative:paragraph;z-index:15743488" from="206.770007pt,7.698535pt" to="203.070007pt,7.698535pt" stroked="true" strokeweight=".5pt" strokecolor="#000000">
            <v:stroke dashstyle="solid"/>
            <w10:wrap type="none"/>
          </v:line>
        </w:pict>
      </w:r>
      <w:r>
        <w:rPr>
          <w:color w:val="231F20"/>
          <w:sz w:val="12"/>
        </w:rPr>
        <w:t>3</w:t>
      </w:r>
    </w:p>
    <w:p>
      <w:pPr>
        <w:pStyle w:val="BodyText"/>
        <w:rPr>
          <w:sz w:val="12"/>
        </w:rPr>
      </w:pPr>
    </w:p>
    <w:p>
      <w:pPr>
        <w:spacing w:before="94"/>
        <w:ind w:left="3581" w:right="0" w:firstLine="0"/>
        <w:jc w:val="left"/>
        <w:rPr>
          <w:sz w:val="12"/>
        </w:rPr>
      </w:pPr>
      <w:r>
        <w:rPr/>
        <w:pict>
          <v:line style="position:absolute;mso-position-horizontal-relative:page;mso-position-vertical-relative:paragraph;z-index:15738368" from="46.77pt,7.698779pt" to="50.47pt,7.698779pt" stroked="true" strokeweight=".5pt" strokecolor="#000000">
            <v:stroke dashstyle="solid"/>
            <w10:wrap type="none"/>
          </v:line>
        </w:pict>
      </w:r>
      <w:r>
        <w:rPr/>
        <w:pict>
          <v:line style="position:absolute;mso-position-horizontal-relative:page;mso-position-vertical-relative:paragraph;z-index:15742976" from="206.770007pt,7.698779pt" to="203.070007pt,7.698779pt" stroked="true" strokeweight=".5pt" strokecolor="#000000">
            <v:stroke dashstyle="solid"/>
            <w10:wrap type="none"/>
          </v:line>
        </w:pict>
      </w:r>
      <w:r>
        <w:rPr>
          <w:color w:val="231F20"/>
          <w:sz w:val="12"/>
        </w:rPr>
        <w:t>2</w:t>
      </w:r>
    </w:p>
    <w:p>
      <w:pPr>
        <w:pStyle w:val="BodyText"/>
        <w:rPr>
          <w:sz w:val="12"/>
        </w:rPr>
      </w:pPr>
    </w:p>
    <w:p>
      <w:pPr>
        <w:spacing w:line="84" w:lineRule="exact" w:before="94"/>
        <w:ind w:left="3581" w:right="0" w:firstLine="0"/>
        <w:jc w:val="left"/>
        <w:rPr>
          <w:sz w:val="12"/>
        </w:rPr>
      </w:pPr>
      <w:r>
        <w:rPr/>
        <w:pict>
          <v:line style="position:absolute;mso-position-horizontal-relative:page;mso-position-vertical-relative:paragraph;z-index:15737856" from="46.77pt,7.698962pt" to="50.47pt,7.698962pt" stroked="true" strokeweight=".5pt" strokecolor="#000000">
            <v:stroke dashstyle="solid"/>
            <w10:wrap type="none"/>
          </v:line>
        </w:pict>
      </w:r>
      <w:r>
        <w:rPr/>
        <w:pict>
          <v:line style="position:absolute;mso-position-horizontal-relative:page;mso-position-vertical-relative:paragraph;z-index:15742464" from="206.770007pt,7.698962pt" to="203.070007pt,7.698962pt" stroked="true" strokeweight=".5pt" strokecolor="#000000">
            <v:stroke dashstyle="solid"/>
            <w10:wrap type="none"/>
          </v:line>
        </w:pict>
      </w:r>
      <w:r>
        <w:rPr>
          <w:color w:val="231F20"/>
          <w:sz w:val="12"/>
        </w:rPr>
        <w:t>1</w:t>
      </w:r>
    </w:p>
    <w:p>
      <w:pPr>
        <w:pStyle w:val="Heading4"/>
        <w:spacing w:line="249" w:lineRule="auto" w:before="207"/>
        <w:ind w:left="240" w:right="516"/>
      </w:pPr>
      <w:r>
        <w:rPr/>
        <w:br w:type="column"/>
      </w:r>
      <w:r>
        <w:rPr>
          <w:color w:val="231F20"/>
        </w:rPr>
        <w:t>market, but recognises that there is more uncertainty than usual about the future path of earnings growth, and indeed about its path over the recent past.</w:t>
      </w:r>
    </w:p>
    <w:p>
      <w:pPr>
        <w:pStyle w:val="BodyText"/>
        <w:spacing w:before="4"/>
        <w:rPr>
          <w:sz w:val="25"/>
        </w:rPr>
      </w:pPr>
    </w:p>
    <w:p>
      <w:pPr>
        <w:spacing w:line="249" w:lineRule="auto" w:before="0"/>
        <w:ind w:left="240" w:right="516" w:firstLine="0"/>
        <w:jc w:val="left"/>
        <w:rPr>
          <w:sz w:val="24"/>
        </w:rPr>
      </w:pPr>
      <w:r>
        <w:rPr>
          <w:color w:val="231F20"/>
          <w:sz w:val="24"/>
        </w:rPr>
        <w:t>Given the weaker prospects for both external and domestic demand, and hence for inflationary pressure internationally and at home, the MPC reduced interest rates by 0.25% in October and by a further 0.50% in November. The current projection for the growth rate of GDP—based on the assumption that the Bank’s repo rate remains constant at</w:t>
      </w:r>
    </w:p>
    <w:p>
      <w:pPr>
        <w:spacing w:after="0" w:line="249" w:lineRule="auto"/>
        <w:jc w:val="left"/>
        <w:rPr>
          <w:sz w:val="24"/>
        </w:rPr>
        <w:sectPr>
          <w:type w:val="continuous"/>
          <w:pgSz w:w="11900" w:h="16840"/>
          <w:pgMar w:top="1220" w:bottom="280" w:left="620" w:right="520"/>
          <w:cols w:num="2" w:equalWidth="0">
            <w:col w:w="3682" w:space="617"/>
            <w:col w:w="6461"/>
          </w:cols>
        </w:sectPr>
      </w:pPr>
    </w:p>
    <w:p>
      <w:pPr>
        <w:pStyle w:val="BodyText"/>
        <w:spacing w:before="7"/>
        <w:rPr>
          <w:sz w:val="29"/>
        </w:rPr>
      </w:pPr>
    </w:p>
    <w:p>
      <w:pPr>
        <w:pStyle w:val="BodyText"/>
        <w:spacing w:line="20" w:lineRule="exact"/>
        <w:ind w:left="303"/>
        <w:rPr>
          <w:sz w:val="2"/>
        </w:rPr>
      </w:pPr>
      <w:r>
        <w:rPr>
          <w:sz w:val="2"/>
        </w:rPr>
        <w:pict>
          <v:group style="width:3.7pt;height:.5pt;mso-position-horizontal-relative:char;mso-position-vertical-relative:line" coordorigin="0,0" coordsize="74,10">
            <v:line style="position:absolute" from="0,5" to="74,5" stroked="true" strokeweight=".5pt" strokecolor="#000000">
              <v:stroke dashstyle="solid"/>
            </v:line>
          </v:group>
        </w:pict>
      </w:r>
      <w:r>
        <w:rPr>
          <w:sz w:val="2"/>
        </w:rPr>
      </w:r>
    </w:p>
    <w:p>
      <w:pPr>
        <w:pStyle w:val="BodyText"/>
        <w:rPr>
          <w:sz w:val="27"/>
        </w:rPr>
      </w:pPr>
      <w:r>
        <w:rPr/>
        <w:pict>
          <v:shape style="position:absolute;margin-left:46.77pt;margin-top:17.75pt;width:3.7pt;height:.1pt;mso-position-horizontal-relative:page;mso-position-vertical-relative:paragraph;z-index:-15727104;mso-wrap-distance-left:0;mso-wrap-distance-right:0" coordorigin="935,355" coordsize="74,0" path="m935,355l1009,355e" filled="false" stroked="true" strokeweight=".5pt" strokecolor="#000000">
            <v:path arrowok="t"/>
            <v:stroke dashstyle="solid"/>
            <w10:wrap type="topAndBottom"/>
          </v:shape>
        </w:pict>
      </w:r>
      <w:r>
        <w:rPr/>
        <w:pict>
          <v:shape style="position:absolute;margin-left:47.27pt;margin-top:35.75pt;width:3.7pt;height:.1pt;mso-position-horizontal-relative:page;mso-position-vertical-relative:paragraph;z-index:-15726592;mso-wrap-distance-left:0;mso-wrap-distance-right:0" coordorigin="945,715" coordsize="74,0" path="m945,715l1019,715e" filled="false" stroked="true" strokeweight=".5pt" strokecolor="#000000">
            <v:path arrowok="t"/>
            <v:stroke dashstyle="solid"/>
            <w10:wrap type="topAndBottom"/>
          </v:shape>
        </w:pict>
      </w:r>
    </w:p>
    <w:p>
      <w:pPr>
        <w:pStyle w:val="BodyText"/>
        <w:spacing w:before="6"/>
        <w:rPr>
          <w:sz w:val="24"/>
        </w:rPr>
      </w:pPr>
    </w:p>
    <w:p>
      <w:pPr>
        <w:tabs>
          <w:tab w:pos="1080" w:val="left" w:leader="none"/>
          <w:tab w:pos="1480" w:val="left" w:leader="none"/>
          <w:tab w:pos="1905" w:val="left" w:leader="none"/>
        </w:tabs>
        <w:spacing w:before="17"/>
        <w:ind w:left="581" w:right="0" w:firstLine="0"/>
        <w:jc w:val="left"/>
        <w:rPr>
          <w:sz w:val="12"/>
        </w:rPr>
      </w:pPr>
      <w:r>
        <w:rPr>
          <w:color w:val="231F20"/>
          <w:sz w:val="12"/>
        </w:rPr>
        <w:t>1994</w:t>
        <w:tab/>
        <w:t>95</w:t>
        <w:tab/>
        <w:t>96</w:t>
        <w:tab/>
      </w:r>
      <w:r>
        <w:rPr>
          <w:color w:val="231F20"/>
          <w:spacing w:val="-10"/>
          <w:sz w:val="12"/>
        </w:rPr>
        <w:t>97</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4"/>
        </w:rPr>
      </w:pPr>
    </w:p>
    <w:p>
      <w:pPr>
        <w:tabs>
          <w:tab w:pos="696" w:val="left" w:leader="none"/>
        </w:tabs>
        <w:spacing w:before="0"/>
        <w:ind w:left="274" w:right="0" w:firstLine="0"/>
        <w:jc w:val="left"/>
        <w:rPr>
          <w:sz w:val="12"/>
        </w:rPr>
      </w:pPr>
      <w:r>
        <w:rPr>
          <w:color w:val="231F20"/>
          <w:sz w:val="12"/>
        </w:rPr>
        <w:t>98</w:t>
        <w:tab/>
      </w:r>
      <w:r>
        <w:rPr>
          <w:color w:val="231F20"/>
          <w:spacing w:val="-10"/>
          <w:sz w:val="12"/>
        </w:rPr>
        <w:t>99</w:t>
      </w:r>
    </w:p>
    <w:p>
      <w:pPr>
        <w:spacing w:before="50"/>
        <w:ind w:left="596" w:right="0" w:firstLine="0"/>
        <w:jc w:val="left"/>
        <w:rPr>
          <w:sz w:val="16"/>
        </w:rPr>
      </w:pPr>
      <w:r>
        <w:rPr/>
        <w:br w:type="column"/>
      </w:r>
      <w:r>
        <w:rPr>
          <w:color w:val="231F20"/>
          <w:sz w:val="16"/>
        </w:rPr>
        <w:t>+</w:t>
      </w:r>
    </w:p>
    <w:p>
      <w:pPr>
        <w:spacing w:before="52"/>
        <w:ind w:left="659" w:right="0" w:firstLine="0"/>
        <w:jc w:val="left"/>
        <w:rPr>
          <w:sz w:val="12"/>
        </w:rPr>
      </w:pPr>
      <w:r>
        <w:rPr/>
        <w:pict>
          <v:line style="position:absolute;mso-position-horizontal-relative:page;mso-position-vertical-relative:paragraph;z-index:15741952" from="206.770007pt,5.599145pt" to="203.070007pt,5.599145pt" stroked="true" strokeweight=".5pt" strokecolor="#000000">
            <v:stroke dashstyle="solid"/>
            <w10:wrap type="none"/>
          </v:line>
        </w:pict>
      </w:r>
      <w:r>
        <w:rPr>
          <w:color w:val="231F20"/>
          <w:sz w:val="12"/>
        </w:rPr>
        <w:t>0</w:t>
      </w:r>
    </w:p>
    <w:p>
      <w:pPr>
        <w:spacing w:before="46"/>
        <w:ind w:left="596" w:right="0" w:firstLine="0"/>
        <w:jc w:val="left"/>
        <w:rPr>
          <w:sz w:val="16"/>
        </w:rPr>
      </w:pPr>
      <w:r>
        <w:rPr>
          <w:color w:val="231F20"/>
          <w:sz w:val="16"/>
        </w:rPr>
        <w:t>–</w:t>
      </w:r>
    </w:p>
    <w:p>
      <w:pPr>
        <w:spacing w:before="2"/>
        <w:ind w:left="659" w:right="0" w:firstLine="0"/>
        <w:jc w:val="left"/>
        <w:rPr>
          <w:sz w:val="12"/>
        </w:rPr>
      </w:pPr>
      <w:r>
        <w:rPr/>
        <w:pict>
          <v:line style="position:absolute;mso-position-horizontal-relative:page;mso-position-vertical-relative:paragraph;z-index:15741440" from="207.770007pt,3.09939pt" to="204.070007pt,3.09939pt" stroked="true" strokeweight=".5pt" strokecolor="#000000">
            <v:stroke dashstyle="solid"/>
            <w10:wrap type="none"/>
          </v:line>
        </w:pict>
      </w:r>
      <w:r>
        <w:rPr>
          <w:color w:val="231F20"/>
          <w:sz w:val="12"/>
        </w:rPr>
        <w:t>1</w:t>
      </w:r>
    </w:p>
    <w:p>
      <w:pPr>
        <w:pStyle w:val="BodyText"/>
        <w:rPr>
          <w:sz w:val="12"/>
        </w:rPr>
      </w:pPr>
    </w:p>
    <w:p>
      <w:pPr>
        <w:spacing w:line="120" w:lineRule="exact" w:before="94"/>
        <w:ind w:left="659" w:right="0" w:firstLine="0"/>
        <w:jc w:val="left"/>
        <w:rPr>
          <w:sz w:val="12"/>
        </w:rPr>
      </w:pPr>
      <w:r>
        <w:rPr/>
        <w:pict>
          <v:shape style="position:absolute;margin-left:55.457001pt;margin-top:3.124573pt;width:143pt;height:3.95pt;mso-position-horizontal-relative:page;mso-position-vertical-relative:paragraph;z-index:15737344" coordorigin="1109,62" coordsize="2860,79" path="m1115,136l1115,62m1221,138l1221,101m1326,138l1326,101m1432,138l1432,101m1538,136l1538,62m1643,138l1643,101m1749,138l1749,101m1855,138l1855,101m1961,136l1961,62m2066,138l2066,101m2172,138l2172,101m2278,138l2278,101m2383,136l2383,62m2489,138l2489,101m2595,138l2595,101m2701,138l2701,101m2806,136l2806,62m2912,138l2912,101m3018,138l3018,101m3123,138l3123,101m3229,136l3229,62m3335,138l3335,101m3441,138l3441,101m3652,136l3652,62m3758,138l3758,101m3863,138l3863,101m3969,138l3969,101m1109,139l3969,139m3535,141l3535,104e" filled="false" stroked="true" strokeweight=".5pt" strokecolor="#000000">
            <v:path arrowok="t"/>
            <v:stroke dashstyle="solid"/>
            <w10:wrap type="none"/>
          </v:shape>
        </w:pict>
      </w:r>
      <w:r>
        <w:rPr/>
        <w:pict>
          <v:line style="position:absolute;mso-position-horizontal-relative:page;mso-position-vertical-relative:paragraph;z-index:15740928" from="207.770007pt,7.699573pt" to="204.070007pt,7.699573pt" stroked="true" strokeweight=".5pt" strokecolor="#000000">
            <v:stroke dashstyle="solid"/>
            <w10:wrap type="none"/>
          </v:line>
        </w:pict>
      </w:r>
      <w:r>
        <w:rPr>
          <w:color w:val="231F20"/>
          <w:sz w:val="12"/>
        </w:rPr>
        <w:t>2</w:t>
      </w:r>
    </w:p>
    <w:p>
      <w:pPr>
        <w:spacing w:line="120" w:lineRule="exact" w:before="0"/>
        <w:ind w:left="168" w:right="0" w:firstLine="0"/>
        <w:jc w:val="left"/>
        <w:rPr>
          <w:sz w:val="12"/>
        </w:rPr>
      </w:pPr>
      <w:r>
        <w:rPr>
          <w:color w:val="231F20"/>
          <w:sz w:val="12"/>
        </w:rPr>
        <w:t>2000</w:t>
      </w:r>
    </w:p>
    <w:p>
      <w:pPr>
        <w:pStyle w:val="Heading4"/>
        <w:spacing w:line="249" w:lineRule="auto"/>
        <w:ind w:left="581" w:right="329"/>
      </w:pPr>
      <w:r>
        <w:rPr/>
        <w:br w:type="column"/>
      </w:r>
      <w:r>
        <w:rPr>
          <w:color w:val="231F20"/>
        </w:rPr>
        <w:t>6.75%—is shown in Chart 1. The projection is somewhat lower than in August, despite the interest rate reductions since then, because both external and domestic demand are weaker. The central projection is for four-quarter GDP</w:t>
      </w:r>
    </w:p>
    <w:p>
      <w:pPr>
        <w:spacing w:line="221" w:lineRule="exact" w:before="0"/>
        <w:ind w:left="581" w:right="0" w:firstLine="0"/>
        <w:jc w:val="left"/>
        <w:rPr>
          <w:sz w:val="24"/>
        </w:rPr>
      </w:pPr>
      <w:r>
        <w:rPr>
          <w:color w:val="231F20"/>
          <w:sz w:val="24"/>
        </w:rPr>
        <w:t>growth to slow over the next year before increasing to around</w:t>
      </w:r>
    </w:p>
    <w:p>
      <w:pPr>
        <w:spacing w:after="0" w:line="221" w:lineRule="exact"/>
        <w:jc w:val="left"/>
        <w:rPr>
          <w:sz w:val="24"/>
        </w:rPr>
        <w:sectPr>
          <w:type w:val="continuous"/>
          <w:pgSz w:w="11900" w:h="16840"/>
          <w:pgMar w:top="1220" w:bottom="280" w:left="620" w:right="520"/>
          <w:cols w:num="4" w:equalWidth="0">
            <w:col w:w="2026" w:space="40"/>
            <w:col w:w="817" w:space="39"/>
            <w:col w:w="760" w:space="276"/>
            <w:col w:w="6802"/>
          </w:cols>
        </w:sectPr>
      </w:pPr>
    </w:p>
    <w:p>
      <w:pPr>
        <w:spacing w:line="208" w:lineRule="auto" w:before="3"/>
        <w:ind w:left="220" w:right="30" w:firstLine="0"/>
        <w:jc w:val="left"/>
        <w:rPr>
          <w:sz w:val="12"/>
        </w:rPr>
      </w:pPr>
      <w:r>
        <w:rPr>
          <w:color w:val="231F20"/>
          <w:sz w:val="12"/>
        </w:rPr>
        <w:t>The fan chart depicting the probability distribution for output growth is rather like a contour map. At any given point during the forecast period,</w:t>
      </w:r>
    </w:p>
    <w:p>
      <w:pPr>
        <w:spacing w:line="208" w:lineRule="auto" w:before="0"/>
        <w:ind w:left="220" w:right="20" w:firstLine="0"/>
        <w:jc w:val="left"/>
        <w:rPr>
          <w:sz w:val="12"/>
        </w:rPr>
      </w:pPr>
      <w:r>
        <w:rPr>
          <w:color w:val="231F20"/>
          <w:sz w:val="12"/>
        </w:rPr>
        <w:t>the depth of shading represents the height of the probability density function over a range of outcomes for output. The darkest band includes the central (single most likely) projection and covers 10% of the probability. Each successive pair of bands is drawn to cover a further 10% of the probability, until 90% of the probability distribution is covered. The bands widen as the time horizon is extended, indicating increasing uncertainty about outcomes.</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4"/>
        <w:rPr>
          <w:sz w:val="13"/>
        </w:rPr>
      </w:pPr>
    </w:p>
    <w:p>
      <w:pPr>
        <w:pStyle w:val="Heading7"/>
        <w:spacing w:before="0"/>
        <w:ind w:left="205"/>
      </w:pPr>
      <w:r>
        <w:rPr>
          <w:color w:val="0093C1"/>
        </w:rPr>
        <w:t>Chart 2</w:t>
      </w:r>
    </w:p>
    <w:p>
      <w:pPr>
        <w:spacing w:line="249" w:lineRule="auto" w:before="10"/>
        <w:ind w:left="205" w:right="227" w:firstLine="0"/>
        <w:jc w:val="left"/>
        <w:rPr>
          <w:b/>
          <w:sz w:val="20"/>
        </w:rPr>
      </w:pPr>
      <w:r>
        <w:rPr>
          <w:b/>
          <w:color w:val="0093C1"/>
          <w:sz w:val="20"/>
        </w:rPr>
        <w:t>Current RPIX inflation projection based on constant nominal interest rates</w:t>
      </w:r>
    </w:p>
    <w:p>
      <w:pPr>
        <w:spacing w:line="118" w:lineRule="exact" w:before="59"/>
        <w:ind w:left="0" w:right="623" w:firstLine="0"/>
        <w:jc w:val="right"/>
        <w:rPr>
          <w:sz w:val="12"/>
        </w:rPr>
      </w:pPr>
      <w:r>
        <w:rPr>
          <w:sz w:val="12"/>
        </w:rPr>
        <w:t>Percentage increase in prices on a year earlier</w:t>
      </w:r>
    </w:p>
    <w:p>
      <w:pPr>
        <w:spacing w:line="118" w:lineRule="exact" w:before="0"/>
        <w:ind w:left="0" w:right="526" w:firstLine="0"/>
        <w:jc w:val="right"/>
        <w:rPr>
          <w:sz w:val="12"/>
        </w:rPr>
      </w:pPr>
      <w:r>
        <w:rPr/>
        <w:pict>
          <v:line style="position:absolute;mso-position-horizontal-relative:page;mso-position-vertical-relative:paragraph;z-index:15735296" from="41.355999pt,3.369961pt" to="45.035999pt,3.369961pt" stroked="true" strokeweight=".5pt" strokecolor="#231f20">
            <v:stroke dashstyle="solid"/>
            <w10:wrap type="none"/>
          </v:line>
        </w:pict>
      </w:r>
      <w:r>
        <w:rPr/>
        <w:pict>
          <v:line style="position:absolute;mso-position-horizontal-relative:page;mso-position-vertical-relative:paragraph;z-index:15736320" from="195.489998pt,3.369961pt" to="191.809998pt,3.369961pt" stroked="true" strokeweight=".5pt" strokecolor="#231f20">
            <v:stroke dashstyle="solid"/>
            <w10:wrap type="none"/>
          </v:line>
        </w:pict>
      </w:r>
      <w:r>
        <w:rPr>
          <w:sz w:val="12"/>
        </w:rPr>
        <w:t>6</w:t>
      </w:r>
    </w:p>
    <w:p>
      <w:pPr>
        <w:pStyle w:val="BodyText"/>
        <w:rPr>
          <w:sz w:val="12"/>
        </w:rPr>
      </w:pPr>
    </w:p>
    <w:p>
      <w:pPr>
        <w:pStyle w:val="BodyText"/>
        <w:rPr>
          <w:sz w:val="12"/>
        </w:rPr>
      </w:pPr>
    </w:p>
    <w:p>
      <w:pPr>
        <w:spacing w:before="80"/>
        <w:ind w:left="0" w:right="526" w:firstLine="0"/>
        <w:jc w:val="right"/>
        <w:rPr>
          <w:sz w:val="12"/>
        </w:rPr>
      </w:pPr>
      <w:r>
        <w:rPr/>
        <w:pict>
          <v:line style="position:absolute;mso-position-horizontal-relative:page;mso-position-vertical-relative:paragraph;z-index:15734784" from="41.355999pt,8.370564pt" to="45.035999pt,8.370564pt" stroked="true" strokeweight=".5pt" strokecolor="#231f20">
            <v:stroke dashstyle="solid"/>
            <w10:wrap type="none"/>
          </v:line>
        </w:pict>
      </w:r>
      <w:r>
        <w:rPr/>
        <w:pict>
          <v:line style="position:absolute;mso-position-horizontal-relative:page;mso-position-vertical-relative:paragraph;z-index:15735808" from="195.489998pt,8.370564pt" to="191.809998pt,8.370564pt" stroked="true" strokeweight=".5pt" strokecolor="#231f20">
            <v:stroke dashstyle="solid"/>
            <w10:wrap type="none"/>
          </v:line>
        </w:pict>
      </w:r>
      <w:r>
        <w:rPr>
          <w:sz w:val="12"/>
        </w:rPr>
        <w:t>5</w:t>
      </w:r>
    </w:p>
    <w:p>
      <w:pPr>
        <w:pStyle w:val="BodyText"/>
        <w:rPr>
          <w:sz w:val="12"/>
        </w:rPr>
      </w:pPr>
    </w:p>
    <w:p>
      <w:pPr>
        <w:pStyle w:val="BodyText"/>
        <w:rPr>
          <w:sz w:val="12"/>
        </w:rPr>
      </w:pPr>
    </w:p>
    <w:p>
      <w:pPr>
        <w:spacing w:before="79"/>
        <w:ind w:left="0" w:right="526" w:firstLine="0"/>
        <w:jc w:val="right"/>
        <w:rPr>
          <w:sz w:val="12"/>
        </w:rPr>
      </w:pPr>
      <w:r>
        <w:rPr/>
        <w:pict>
          <v:group style="position:absolute;margin-left:47.484001pt;margin-top:8.069358pt;width:148.050pt;height:79.9pt;mso-position-horizontal-relative:page;mso-position-vertical-relative:paragraph;z-index:15732224" coordorigin="950,161" coordsize="2961,1598">
            <v:shape style="position:absolute;left:2855;top:189;width:947;height:1569" coordorigin="2855,190" coordsize="947,1569" path="m3801,190l3696,214,3591,234,3486,249,3381,274,3276,259,3170,362,3065,520,2960,708,2855,871,2960,1019,3065,1142,3170,1137,3276,1191,3381,1310,3486,1418,3591,1537,3696,1650,3801,1759,3801,190xe" filled="true" fillcolor="#fee7de" stroked="false">
              <v:path arrowok="t"/>
              <v:fill type="solid"/>
            </v:shape>
            <v:shape style="position:absolute;left:2855;top:352;width:947;height:1224" coordorigin="2855,353" coordsize="947,1224" path="m3801,353l3591,382,3486,392,3381,407,3276,377,3170,461,3065,599,2960,747,2855,871,2960,989,3065,1083,3170,1063,3276,1102,3381,1211,3486,1300,3591,1398,3801,1576,3801,353xe" filled="true" fillcolor="#fcd3c4" stroked="false">
              <v:path arrowok="t"/>
              <v:fill type="solid"/>
            </v:shape>
            <v:shape style="position:absolute;left:2855;top:451;width:947;height:1002" coordorigin="2855,451" coordsize="947,1002" path="m3276,451l3170,525,2960,772,2855,870,2960,969,3065,1038,3170,1013,3276,1038,3381,1142,3486,1216,3591,1300,3696,1378,3801,1452,3801,461,3591,481,3486,481,3381,490,3276,451xe" filled="true" fillcolor="#fabeac" stroked="false">
              <v:path arrowok="t"/>
              <v:fill type="solid"/>
            </v:shape>
            <v:shape style="position:absolute;left:2855;top:516;width:947;height:839" coordorigin="2855,516" coordsize="947,839" path="m3276,516l3170,575,3065,689,2960,797,2855,871,2960,955,3065,1009,3170,975,3276,995,3381,1093,3486,1157,3591,1227,3801,1355,3801,551,3591,561,3486,556,3381,561,3276,516xe" filled="true" fillcolor="#f8aa95" stroked="false">
              <v:path arrowok="t"/>
              <v:fill type="solid"/>
            </v:shape>
            <v:shape style="position:absolute;left:2855;top:571;width:947;height:701" coordorigin="2855,571" coordsize="947,701" path="m3276,571l3170,621,3065,729,2960,813,2855,872,2960,941,3065,981,3170,941,3276,951,3381,1045,3486,1099,3591,1163,3801,1272,3801,626,3591,626,3486,621,3381,621,3276,571xe" filled="true" fillcolor="#f69780" stroked="false">
              <v:path arrowok="t"/>
              <v:fill type="solid"/>
            </v:shape>
            <v:shape style="position:absolute;left:2855;top:619;width:947;height:578" coordorigin="2855,620" coordsize="947,578" path="m3276,620l3170,659,3065,758,2960,832,2855,871,2960,931,3065,955,3170,911,3276,916,3381,1005,3486,1049,3591,1103,3696,1153,3801,1197,3801,694,3696,689,3591,689,3486,674,3381,674,3276,620xe" filled="true" fillcolor="#f5846d" stroked="false">
              <v:path arrowok="t"/>
              <v:fill type="solid"/>
            </v:shape>
            <v:shape style="position:absolute;left:2855;top:663;width:947;height:464" coordorigin="2855,663" coordsize="947,464" path="m3276,663l3170,698,3065,787,2960,846,2855,870,2960,915,3065,935,3170,880,3276,880,3381,964,3486,1004,3591,1048,3801,1127,3801,757,3696,752,3591,742,3486,727,3381,722,3276,663xe" filled="true" fillcolor="#f3715b" stroked="false">
              <v:path arrowok="t"/>
              <v:fill type="solid"/>
            </v:shape>
            <v:shape style="position:absolute;left:2855;top:704;width:947;height:356" coordorigin="2855,705" coordsize="947,356" path="m3276,705l3170,734,3065,818,2960,857,2855,872,2960,907,3065,912,3170,853,3276,853,3381,931,3486,961,3591,1001,3801,1060,3801,818,3591,798,3486,779,3381,769,3276,705xe" filled="true" fillcolor="#f15b4a" stroked="false">
              <v:path arrowok="t"/>
              <v:fill type="solid"/>
            </v:shape>
            <v:shape style="position:absolute;left:2855;top:749;width:947;height:247" coordorigin="2855,749" coordsize="947,247" path="m3278,749l3170,769,3065,848,2960,873,2855,873,2960,897,3065,892,3170,828,3276,818,3381,897,3486,917,3591,952,3696,971,3801,996,3801,873,3696,863,3591,848,3486,828,3383,818,3278,749xe" filled="true" fillcolor="#ed1b2d" stroked="false">
              <v:path arrowok="t"/>
              <v:fill type="solid"/>
            </v:shape>
            <v:shape style="position:absolute;left:3836;top:166;width:74;height:1480" coordorigin="3836,166" coordsize="74,1480" path="m3910,1646l3836,1646m3910,1153l3836,1153m3910,660l3836,660m3910,166l3836,166e" filled="false" stroked="true" strokeweight=".5pt" strokecolor="#231f20">
              <v:path arrowok="t"/>
              <v:stroke dashstyle="solid"/>
            </v:shape>
            <v:shape style="position:absolute;left:959;top:694;width:631;height:375" coordorigin="960,694" coordsize="631,375" path="m1065,951l960,808m1170,1069l1065,951m1275,1035l1170,1069m1380,763l1275,1035m1485,783l1380,763m1591,694l1485,783e" filled="false" stroked="true" strokeweight="1pt" strokecolor="#ed1b2d">
              <v:path arrowok="t"/>
              <v:stroke dashstyle="solid"/>
            </v:shape>
            <v:line style="position:absolute" from="1581,697" to="1706,697" stroked="true" strokeweight="1.246pt" strokecolor="#ed1b2d">
              <v:stroke dashstyle="solid"/>
            </v:line>
            <v:shape style="position:absolute;left:1695;top:551;width:1157;height:331" coordorigin="1696,551" coordsize="1157,331" path="m1801,744l1696,699m1906,763l1801,744m2011,724l1906,763m2116,551l2011,724m2221,729l2116,551m2327,877l2221,729m2432,739l2327,877m2537,783l2432,739m2642,882l2537,783m2747,665l2642,882m2852,872l2747,665e" filled="false" stroked="true" strokeweight="1pt" strokecolor="#ed1b2d">
              <v:path arrowok="t"/>
              <v:stroke dashstyle="solid"/>
            </v:shape>
            <v:shape style="position:absolute;left:949;top:161;width:2961;height:1598" type="#_x0000_t202" filled="false" stroked="false">
              <v:textbox inset="0,0,0,0">
                <w:txbxContent>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tabs>
                        <w:tab w:pos="2964" w:val="left" w:leader="none"/>
                      </w:tabs>
                      <w:spacing w:before="87"/>
                      <w:ind w:left="5" w:right="-15" w:firstLine="0"/>
                      <w:jc w:val="left"/>
                      <w:rPr>
                        <w:sz w:val="12"/>
                      </w:rPr>
                    </w:pPr>
                    <w:r>
                      <w:rPr>
                        <w:sz w:val="12"/>
                        <w:u w:val="single"/>
                      </w:rPr>
                      <w:t> </w:t>
                      <w:tab/>
                    </w:r>
                  </w:p>
                </w:txbxContent>
              </v:textbox>
              <w10:wrap type="none"/>
            </v:shape>
            <w10:wrap type="none"/>
          </v:group>
        </w:pict>
      </w:r>
      <w:r>
        <w:rPr/>
        <w:pict>
          <v:line style="position:absolute;mso-position-horizontal-relative:page;mso-position-vertical-relative:paragraph;z-index:15734272" from="41.355999pt,8.319358pt" to="45.035999pt,8.319358pt" stroked="true" strokeweight=".5pt" strokecolor="#231f20">
            <v:stroke dashstyle="solid"/>
            <w10:wrap type="none"/>
          </v:line>
        </w:pict>
      </w:r>
      <w:r>
        <w:rPr>
          <w:sz w:val="12"/>
        </w:rPr>
        <w:t>4</w:t>
      </w:r>
    </w:p>
    <w:p>
      <w:pPr>
        <w:pStyle w:val="BodyText"/>
        <w:rPr>
          <w:sz w:val="12"/>
        </w:rPr>
      </w:pPr>
    </w:p>
    <w:p>
      <w:pPr>
        <w:pStyle w:val="BodyText"/>
        <w:rPr>
          <w:sz w:val="12"/>
        </w:rPr>
      </w:pPr>
    </w:p>
    <w:p>
      <w:pPr>
        <w:spacing w:before="80"/>
        <w:ind w:left="0" w:right="526" w:firstLine="0"/>
        <w:jc w:val="right"/>
        <w:rPr>
          <w:sz w:val="12"/>
        </w:rPr>
      </w:pPr>
      <w:r>
        <w:rPr/>
        <w:pict>
          <v:line style="position:absolute;mso-position-horizontal-relative:page;mso-position-vertical-relative:paragraph;z-index:15733760" from="41.355999pt,8.369152pt" to="45.035999pt,8.369152pt" stroked="true" strokeweight=".5pt" strokecolor="#231f20">
            <v:stroke dashstyle="solid"/>
            <w10:wrap type="none"/>
          </v:line>
        </w:pict>
      </w:r>
      <w:r>
        <w:rPr>
          <w:sz w:val="12"/>
        </w:rPr>
        <w:t>3</w:t>
      </w:r>
    </w:p>
    <w:p>
      <w:pPr>
        <w:spacing w:before="90"/>
        <w:ind w:left="0" w:right="429" w:firstLine="0"/>
        <w:jc w:val="right"/>
        <w:rPr>
          <w:sz w:val="12"/>
        </w:rPr>
      </w:pPr>
      <w:r>
        <w:rPr>
          <w:sz w:val="12"/>
        </w:rPr>
        <w:t>2.5</w:t>
      </w:r>
    </w:p>
    <w:p>
      <w:pPr>
        <w:pStyle w:val="BodyText"/>
        <w:rPr>
          <w:sz w:val="11"/>
        </w:rPr>
      </w:pPr>
    </w:p>
    <w:p>
      <w:pPr>
        <w:spacing w:before="1"/>
        <w:ind w:left="0" w:right="526" w:firstLine="0"/>
        <w:jc w:val="right"/>
        <w:rPr>
          <w:sz w:val="12"/>
        </w:rPr>
      </w:pPr>
      <w:r>
        <w:rPr/>
        <w:pict>
          <v:line style="position:absolute;mso-position-horizontal-relative:page;mso-position-vertical-relative:paragraph;z-index:15733248" from="41.355999pt,4.418977pt" to="45.035999pt,4.418977pt" stroked="true" strokeweight=".5pt" strokecolor="#231f20">
            <v:stroke dashstyle="solid"/>
            <w10:wrap type="none"/>
          </v:line>
        </w:pict>
      </w:r>
      <w:r>
        <w:rPr>
          <w:sz w:val="12"/>
        </w:rPr>
        <w:t>2</w:t>
      </w:r>
    </w:p>
    <w:p>
      <w:pPr>
        <w:pStyle w:val="Heading4"/>
        <w:spacing w:line="249" w:lineRule="auto" w:before="60"/>
        <w:ind w:left="205" w:right="241"/>
      </w:pPr>
      <w:r>
        <w:rPr/>
        <w:br w:type="column"/>
      </w:r>
      <w:r>
        <w:rPr>
          <w:color w:val="231F20"/>
        </w:rPr>
        <w:t>trend in the second half of 2000 as domestic demand, especially by the public sector, picks up. The balance of risks to growth is on the downside, primarily reflecting concerns about exports and consumer demand.</w:t>
      </w:r>
    </w:p>
    <w:p>
      <w:pPr>
        <w:pStyle w:val="BodyText"/>
        <w:spacing w:before="4"/>
        <w:rPr>
          <w:sz w:val="25"/>
        </w:rPr>
      </w:pPr>
    </w:p>
    <w:p>
      <w:pPr>
        <w:spacing w:line="249" w:lineRule="auto" w:before="1"/>
        <w:ind w:left="205" w:right="241" w:firstLine="0"/>
        <w:jc w:val="left"/>
        <w:rPr>
          <w:sz w:val="24"/>
        </w:rPr>
      </w:pPr>
      <w:r>
        <w:rPr>
          <w:color w:val="231F20"/>
          <w:sz w:val="24"/>
        </w:rPr>
        <w:t>The corresponding projection for RPIX inflation is in Chart 2. The most likely path is for inflation to rise slightly above target, before returning to around 2.5% at the two-year forecast horizon. The small rise in projected inflation in 1999 is accounted for by earnings growth, including the effects of the National Minimum Wage to be introduced next April.</w:t>
      </w:r>
    </w:p>
    <w:p>
      <w:pPr>
        <w:spacing w:line="249" w:lineRule="auto" w:before="6"/>
        <w:ind w:left="205" w:right="354" w:firstLine="0"/>
        <w:jc w:val="left"/>
        <w:rPr>
          <w:sz w:val="24"/>
        </w:rPr>
      </w:pPr>
      <w:r>
        <w:rPr>
          <w:color w:val="231F20"/>
          <w:sz w:val="24"/>
        </w:rPr>
        <w:t>But there is considerable uncertainty about the future path of inflation, especially in view of uncertainties about the profile for output, about earnings growth, and about the timing and extent of further pass-through to domestic prices from the past appreciation of sterling. Downside risks to inflation from weaker growth than in the central projection are largely balanced by upside risks, which include the possibilities of a more rapid fall in the exchange rate and of past money growth creating upward pressure on prices.</w:t>
      </w:r>
    </w:p>
    <w:p>
      <w:pPr>
        <w:spacing w:after="0" w:line="249" w:lineRule="auto"/>
        <w:jc w:val="left"/>
        <w:rPr>
          <w:sz w:val="24"/>
        </w:rPr>
        <w:sectPr>
          <w:type w:val="continuous"/>
          <w:pgSz w:w="11900" w:h="16840"/>
          <w:pgMar w:top="1220" w:bottom="280" w:left="620" w:right="520"/>
          <w:cols w:num="2" w:equalWidth="0">
            <w:col w:w="3930" w:space="405"/>
            <w:col w:w="6425"/>
          </w:cols>
        </w:sectPr>
      </w:pPr>
    </w:p>
    <w:p>
      <w:pPr>
        <w:pStyle w:val="BodyText"/>
        <w:spacing w:before="6"/>
        <w:rPr>
          <w:sz w:val="21"/>
        </w:rPr>
      </w:pPr>
    </w:p>
    <w:p>
      <w:pPr>
        <w:pStyle w:val="BodyText"/>
        <w:spacing w:line="20" w:lineRule="exact"/>
        <w:ind w:left="202"/>
        <w:rPr>
          <w:sz w:val="2"/>
        </w:rPr>
      </w:pPr>
      <w:r>
        <w:rPr>
          <w:sz w:val="2"/>
        </w:rPr>
        <w:pict>
          <v:group style="width:3.7pt;height:.5pt;mso-position-horizontal-relative:char;mso-position-vertical-relative:line" coordorigin="0,0" coordsize="74,10">
            <v:line style="position:absolute" from="0,5" to="74,5" stroked="true" strokeweight=".5pt" strokecolor="#231f20">
              <v:stroke dashstyle="solid"/>
            </v:line>
          </v:group>
        </w:pict>
      </w:r>
      <w:r>
        <w:rPr>
          <w:sz w:val="2"/>
        </w:rPr>
      </w:r>
    </w:p>
    <w:p>
      <w:pPr>
        <w:pStyle w:val="BodyText"/>
        <w:rPr>
          <w:sz w:val="12"/>
        </w:rPr>
      </w:pPr>
    </w:p>
    <w:p>
      <w:pPr>
        <w:pStyle w:val="BodyText"/>
        <w:rPr>
          <w:sz w:val="12"/>
        </w:rPr>
      </w:pPr>
    </w:p>
    <w:p>
      <w:pPr>
        <w:pStyle w:val="BodyText"/>
        <w:rPr>
          <w:sz w:val="12"/>
        </w:rPr>
      </w:pPr>
    </w:p>
    <w:p>
      <w:pPr>
        <w:pStyle w:val="BodyText"/>
        <w:spacing w:before="10"/>
        <w:rPr>
          <w:sz w:val="10"/>
        </w:rPr>
      </w:pPr>
    </w:p>
    <w:p>
      <w:pPr>
        <w:tabs>
          <w:tab w:pos="894" w:val="left" w:leader="none"/>
          <w:tab w:pos="1320" w:val="left" w:leader="none"/>
          <w:tab w:pos="1737" w:val="left" w:leader="none"/>
          <w:tab w:pos="2169" w:val="left" w:leader="none"/>
          <w:tab w:pos="2573" w:val="left" w:leader="none"/>
        </w:tabs>
        <w:spacing w:line="75" w:lineRule="exact" w:before="0"/>
        <w:ind w:left="397" w:right="0" w:firstLine="0"/>
        <w:jc w:val="left"/>
        <w:rPr>
          <w:sz w:val="12"/>
        </w:rPr>
      </w:pPr>
      <w:r>
        <w:rPr>
          <w:sz w:val="12"/>
        </w:rPr>
        <w:t>1994</w:t>
        <w:tab/>
        <w:t>95</w:t>
        <w:tab/>
        <w:t>96</w:t>
        <w:tab/>
        <w:t>97</w:t>
        <w:tab/>
        <w:t>98</w:t>
        <w:tab/>
      </w:r>
      <w:r>
        <w:rPr>
          <w:spacing w:val="-10"/>
          <w:sz w:val="12"/>
        </w:rPr>
        <w:t>99</w:t>
      </w:r>
    </w:p>
    <w:p>
      <w:pPr>
        <w:pStyle w:val="BodyText"/>
        <w:spacing w:before="4"/>
        <w:rPr>
          <w:sz w:val="14"/>
        </w:rPr>
      </w:pPr>
      <w:r>
        <w:rPr/>
        <w:br w:type="column"/>
      </w:r>
      <w:r>
        <w:rPr>
          <w:sz w:val="14"/>
        </w:rPr>
      </w:r>
    </w:p>
    <w:p>
      <w:pPr>
        <w:spacing w:before="1"/>
        <w:ind w:left="607" w:right="0" w:firstLine="0"/>
        <w:jc w:val="left"/>
        <w:rPr>
          <w:sz w:val="12"/>
        </w:rPr>
      </w:pPr>
      <w:r>
        <w:rPr>
          <w:sz w:val="12"/>
        </w:rPr>
        <w:t>1</w:t>
      </w:r>
    </w:p>
    <w:p>
      <w:pPr>
        <w:pStyle w:val="BodyText"/>
        <w:rPr>
          <w:sz w:val="12"/>
        </w:rPr>
      </w:pPr>
    </w:p>
    <w:p>
      <w:pPr>
        <w:pStyle w:val="BodyText"/>
        <w:rPr>
          <w:sz w:val="12"/>
        </w:rPr>
      </w:pPr>
    </w:p>
    <w:p>
      <w:pPr>
        <w:spacing w:before="79"/>
        <w:ind w:left="607" w:right="0" w:firstLine="0"/>
        <w:jc w:val="left"/>
        <w:rPr>
          <w:sz w:val="12"/>
        </w:rPr>
      </w:pPr>
      <w:r>
        <w:rPr/>
        <w:pict>
          <v:group style="position:absolute;margin-left:41.355999pt;margin-top:2.884565pt;width:154.15pt;height:5.7pt;mso-position-horizontal-relative:page;mso-position-vertical-relative:paragraph;z-index:15732736" coordorigin="827,58" coordsize="3083,114">
            <v:shape style="position:absolute;left:827;top:57;width:2978;height:109" coordorigin="827,58" coordsize="2978,109" path="m952,166l3805,166m952,153l952,61m1071,160l1071,123m1176,160l1176,123m1281,160l1281,123m1381,163l1381,70m1491,160l1491,123m1597,160l1597,123m1702,160l1702,123m1819,163l1819,70m1912,160l1912,123m2017,160l2017,123m2122,160l2122,123m2238,163l2238,70m2333,160l2333,123m2438,160l2438,123m2543,160l2543,123m2643,150l2643,58m2753,160l2753,123m2858,160l2858,123m2964,160l2964,123m3062,160l3062,67m3174,160l3174,123m3279,160l3279,123m3378,158l3378,121m3486,155l3486,63m3700,160l3700,123m3805,160l3805,123m827,166l901,166e" filled="false" stroked="true" strokeweight=".5pt" strokecolor="#231f20">
              <v:path arrowok="t"/>
              <v:stroke dashstyle="solid"/>
            </v:shape>
            <v:line style="position:absolute" from="3909,160" to="3836,160" stroked="true" strokeweight=".5pt" strokecolor="#000000">
              <v:stroke dashstyle="solid"/>
            </v:line>
            <v:line style="position:absolute" from="3592,161" to="3592,124" stroked="true" strokeweight=".5pt" strokecolor="#231f20">
              <v:stroke dashstyle="solid"/>
            </v:line>
            <w10:wrap type="none"/>
          </v:group>
        </w:pict>
      </w:r>
      <w:r>
        <w:rPr>
          <w:sz w:val="12"/>
        </w:rPr>
        <w:t>0</w:t>
      </w:r>
    </w:p>
    <w:p>
      <w:pPr>
        <w:spacing w:line="75" w:lineRule="exact" w:before="11"/>
        <w:ind w:left="201" w:right="0" w:firstLine="0"/>
        <w:jc w:val="left"/>
        <w:rPr>
          <w:sz w:val="12"/>
        </w:rPr>
      </w:pPr>
      <w:r>
        <w:rPr>
          <w:sz w:val="12"/>
        </w:rPr>
        <w:t>2000</w:t>
      </w:r>
    </w:p>
    <w:p>
      <w:pPr>
        <w:pStyle w:val="BodyText"/>
        <w:spacing w:before="9"/>
        <w:rPr>
          <w:sz w:val="25"/>
        </w:rPr>
      </w:pPr>
      <w:r>
        <w:rPr/>
        <w:br w:type="column"/>
      </w:r>
      <w:r>
        <w:rPr>
          <w:sz w:val="25"/>
        </w:rPr>
      </w:r>
    </w:p>
    <w:p>
      <w:pPr>
        <w:pStyle w:val="Heading4"/>
        <w:spacing w:line="249" w:lineRule="auto"/>
        <w:ind w:left="397"/>
      </w:pPr>
      <w:r>
        <w:rPr>
          <w:color w:val="231F20"/>
        </w:rPr>
        <w:t>The inflation target is symmetric. The MPC will act just as determinedly in response to prospective deviations of</w:t>
      </w:r>
    </w:p>
    <w:p>
      <w:pPr>
        <w:spacing w:after="0" w:line="249" w:lineRule="auto"/>
        <w:sectPr>
          <w:type w:val="continuous"/>
          <w:pgSz w:w="11900" w:h="16840"/>
          <w:pgMar w:top="1220" w:bottom="280" w:left="620" w:right="520"/>
          <w:cols w:num="3" w:equalWidth="0">
            <w:col w:w="2694" w:space="40"/>
            <w:col w:w="708" w:space="700"/>
            <w:col w:w="6618"/>
          </w:cols>
        </w:sectPr>
      </w:pPr>
    </w:p>
    <w:p>
      <w:pPr>
        <w:pStyle w:val="BodyText"/>
        <w:spacing w:before="7"/>
        <w:rPr>
          <w:sz w:val="14"/>
        </w:rPr>
      </w:pPr>
    </w:p>
    <w:p>
      <w:pPr>
        <w:spacing w:line="208" w:lineRule="auto" w:before="0"/>
        <w:ind w:left="204" w:right="50" w:firstLine="0"/>
        <w:jc w:val="left"/>
        <w:rPr>
          <w:sz w:val="12"/>
        </w:rPr>
      </w:pPr>
      <w:r>
        <w:rPr>
          <w:color w:val="231F20"/>
          <w:sz w:val="12"/>
        </w:rPr>
        <w:t>The fan chart depicting the probability distribution for inflation is rather like a contour map. At any given point during the forecast period, the depth of shading represents the height of the probability density function over a range of outcomes for inflation. The darkest band includes the central (single most likely) projection and covers 10% of the probability. Each successive pair of bands is drawn to cover a further 10% of the probability, until 90% of the probability distribution is covered. The </w:t>
      </w:r>
      <w:r>
        <w:rPr>
          <w:color w:val="231F20"/>
          <w:spacing w:val="-4"/>
          <w:sz w:val="12"/>
        </w:rPr>
        <w:t>bands </w:t>
      </w:r>
      <w:r>
        <w:rPr>
          <w:color w:val="231F20"/>
          <w:sz w:val="12"/>
        </w:rPr>
        <w:t>widen as the time horizon is extended, indicating increasing uncertainty about outcomes.</w:t>
      </w:r>
    </w:p>
    <w:p>
      <w:pPr>
        <w:pStyle w:val="Heading4"/>
        <w:spacing w:line="249" w:lineRule="auto"/>
        <w:ind w:left="203" w:right="369"/>
      </w:pPr>
      <w:r>
        <w:rPr/>
        <w:br w:type="column"/>
      </w:r>
      <w:r>
        <w:rPr>
          <w:color w:val="231F20"/>
        </w:rPr>
        <w:t>inflation below target as to those above. Inflation has recently been at the 2.5% target. The deterioration in the international economic outlook since August means that external factors are likely to exert a stronger downward pressure on inflation than previously expected. Though recorded output growth has so far remained resilient, recent evidence, especially from surveys and the Bank’s regional Agents, suggests that growth is now somewhat weaker than expected in August. In view of the likely consequences for future inflation of these developments, the MPC reduced interest rates with the aim of keeping inflation on track to meet the target.</w:t>
      </w:r>
    </w:p>
    <w:p>
      <w:pPr>
        <w:spacing w:after="0" w:line="249" w:lineRule="auto"/>
        <w:sectPr>
          <w:type w:val="continuous"/>
          <w:pgSz w:w="11900" w:h="16840"/>
          <w:pgMar w:top="1220" w:bottom="280" w:left="620" w:right="520"/>
          <w:cols w:num="2" w:equalWidth="0">
            <w:col w:w="3854" w:space="482"/>
            <w:col w:w="6424"/>
          </w:cols>
        </w:sectPr>
      </w:pPr>
    </w:p>
    <w:p>
      <w:pPr>
        <w:spacing w:before="76"/>
        <w:ind w:left="1995" w:right="1663" w:firstLine="0"/>
        <w:jc w:val="center"/>
        <w:rPr>
          <w:b/>
          <w:sz w:val="28"/>
        </w:rPr>
      </w:pPr>
      <w:bookmarkStart w:name="Contents" w:id="3"/>
      <w:bookmarkEnd w:id="3"/>
      <w:r>
        <w:rPr/>
      </w:r>
      <w:r>
        <w:rPr>
          <w:b/>
          <w:color w:val="009483"/>
          <w:sz w:val="28"/>
        </w:rPr>
        <w:t>Contents</w:t>
      </w:r>
    </w:p>
    <w:p>
      <w:pPr>
        <w:pStyle w:val="ListParagraph"/>
        <w:numPr>
          <w:ilvl w:val="0"/>
          <w:numId w:val="1"/>
        </w:numPr>
        <w:tabs>
          <w:tab w:pos="5389" w:val="left" w:leader="none"/>
          <w:tab w:pos="5390" w:val="left" w:leader="none"/>
          <w:tab w:pos="10289" w:val="right" w:leader="none"/>
        </w:tabs>
        <w:spacing w:line="240" w:lineRule="auto" w:before="595" w:after="55"/>
        <w:ind w:left="5389" w:right="0" w:hanging="381"/>
        <w:jc w:val="left"/>
        <w:rPr>
          <w:sz w:val="24"/>
        </w:rPr>
      </w:pPr>
      <w:hyperlink w:history="true" w:anchor="_bookmark0">
        <w:r>
          <w:rPr>
            <w:b/>
            <w:color w:val="0093C1"/>
            <w:sz w:val="24"/>
          </w:rPr>
          <w:t>Money and</w:t>
        </w:r>
        <w:r>
          <w:rPr>
            <w:b/>
            <w:color w:val="0093C1"/>
            <w:spacing w:val="-1"/>
            <w:sz w:val="24"/>
          </w:rPr>
          <w:t> </w:t>
        </w:r>
        <w:r>
          <w:rPr>
            <w:b/>
            <w:color w:val="0093C1"/>
            <w:sz w:val="24"/>
          </w:rPr>
          <w:t>financial markets</w:t>
        </w:r>
      </w:hyperlink>
      <w:r>
        <w:rPr>
          <w:b/>
          <w:color w:val="0093C1"/>
          <w:sz w:val="24"/>
        </w:rPr>
        <w:tab/>
      </w:r>
      <w:r>
        <w:rPr>
          <w:color w:val="231F20"/>
          <w:sz w:val="24"/>
        </w:rPr>
        <w:t>3</w:t>
      </w:r>
    </w:p>
    <w:tbl>
      <w:tblPr>
        <w:tblW w:w="0" w:type="auto"/>
        <w:jc w:val="left"/>
        <w:tblInd w:w="53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7"/>
        <w:gridCol w:w="3885"/>
        <w:gridCol w:w="560"/>
      </w:tblGrid>
      <w:tr>
        <w:trPr>
          <w:trHeight w:val="292" w:hRule="atLeast"/>
        </w:trPr>
        <w:tc>
          <w:tcPr>
            <w:tcW w:w="557" w:type="dxa"/>
          </w:tcPr>
          <w:p>
            <w:pPr>
              <w:pStyle w:val="TableParagraph"/>
              <w:spacing w:line="266" w:lineRule="exact"/>
              <w:ind w:left="50"/>
              <w:rPr>
                <w:b/>
                <w:sz w:val="24"/>
              </w:rPr>
            </w:pPr>
            <w:r>
              <w:rPr>
                <w:b/>
                <w:color w:val="231F20"/>
                <w:sz w:val="24"/>
              </w:rPr>
              <w:t>1.1</w:t>
            </w:r>
          </w:p>
        </w:tc>
        <w:tc>
          <w:tcPr>
            <w:tcW w:w="3885" w:type="dxa"/>
          </w:tcPr>
          <w:p>
            <w:pPr>
              <w:pStyle w:val="TableParagraph"/>
              <w:spacing w:line="266" w:lineRule="exact"/>
              <w:ind w:left="52"/>
              <w:rPr>
                <w:b/>
                <w:sz w:val="24"/>
              </w:rPr>
            </w:pPr>
            <w:hyperlink w:history="true" w:anchor="_bookmark0">
              <w:r>
                <w:rPr>
                  <w:b/>
                  <w:color w:val="231F20"/>
                  <w:sz w:val="24"/>
                </w:rPr>
                <w:t>Money</w:t>
              </w:r>
            </w:hyperlink>
          </w:p>
        </w:tc>
        <w:tc>
          <w:tcPr>
            <w:tcW w:w="560" w:type="dxa"/>
          </w:tcPr>
          <w:p>
            <w:pPr>
              <w:pStyle w:val="TableParagraph"/>
              <w:spacing w:line="266" w:lineRule="exact"/>
              <w:ind w:right="51"/>
              <w:jc w:val="right"/>
              <w:rPr>
                <w:sz w:val="24"/>
              </w:rPr>
            </w:pPr>
            <w:r>
              <w:rPr>
                <w:color w:val="231F20"/>
                <w:sz w:val="24"/>
              </w:rPr>
              <w:t>3</w:t>
            </w:r>
          </w:p>
        </w:tc>
      </w:tr>
      <w:tr>
        <w:trPr>
          <w:trHeight w:val="319" w:hRule="atLeast"/>
        </w:trPr>
        <w:tc>
          <w:tcPr>
            <w:tcW w:w="557" w:type="dxa"/>
          </w:tcPr>
          <w:p>
            <w:pPr>
              <w:pStyle w:val="TableParagraph"/>
              <w:rPr>
                <w:sz w:val="24"/>
              </w:rPr>
            </w:pPr>
          </w:p>
        </w:tc>
        <w:tc>
          <w:tcPr>
            <w:tcW w:w="3885" w:type="dxa"/>
          </w:tcPr>
          <w:p>
            <w:pPr>
              <w:pStyle w:val="TableParagraph"/>
              <w:spacing w:before="17"/>
              <w:ind w:left="353"/>
              <w:rPr>
                <w:sz w:val="24"/>
              </w:rPr>
            </w:pPr>
            <w:hyperlink w:history="true" w:anchor="_bookmark1">
              <w:r>
                <w:rPr>
                  <w:color w:val="231F20"/>
                  <w:sz w:val="24"/>
                </w:rPr>
                <w:t>Other financial corporations</w:t>
              </w:r>
            </w:hyperlink>
          </w:p>
        </w:tc>
        <w:tc>
          <w:tcPr>
            <w:tcW w:w="560" w:type="dxa"/>
          </w:tcPr>
          <w:p>
            <w:pPr>
              <w:pStyle w:val="TableParagraph"/>
              <w:spacing w:before="17"/>
              <w:ind w:right="49"/>
              <w:jc w:val="right"/>
              <w:rPr>
                <w:sz w:val="24"/>
              </w:rPr>
            </w:pPr>
            <w:r>
              <w:rPr>
                <w:color w:val="231F20"/>
                <w:sz w:val="24"/>
              </w:rPr>
              <w:t>4</w:t>
            </w:r>
          </w:p>
        </w:tc>
      </w:tr>
      <w:tr>
        <w:trPr>
          <w:trHeight w:val="319" w:hRule="atLeast"/>
        </w:trPr>
        <w:tc>
          <w:tcPr>
            <w:tcW w:w="557" w:type="dxa"/>
          </w:tcPr>
          <w:p>
            <w:pPr>
              <w:pStyle w:val="TableParagraph"/>
              <w:rPr>
                <w:sz w:val="24"/>
              </w:rPr>
            </w:pPr>
          </w:p>
        </w:tc>
        <w:tc>
          <w:tcPr>
            <w:tcW w:w="3885" w:type="dxa"/>
          </w:tcPr>
          <w:p>
            <w:pPr>
              <w:pStyle w:val="TableParagraph"/>
              <w:spacing w:before="17"/>
              <w:ind w:left="353"/>
              <w:rPr>
                <w:sz w:val="24"/>
              </w:rPr>
            </w:pPr>
            <w:hyperlink w:history="true" w:anchor="_bookmark1">
              <w:r>
                <w:rPr>
                  <w:color w:val="231F20"/>
                  <w:sz w:val="24"/>
                </w:rPr>
                <w:t>Household sector</w:t>
              </w:r>
            </w:hyperlink>
          </w:p>
        </w:tc>
        <w:tc>
          <w:tcPr>
            <w:tcW w:w="560" w:type="dxa"/>
          </w:tcPr>
          <w:p>
            <w:pPr>
              <w:pStyle w:val="TableParagraph"/>
              <w:spacing w:before="17"/>
              <w:ind w:right="49"/>
              <w:jc w:val="right"/>
              <w:rPr>
                <w:sz w:val="24"/>
              </w:rPr>
            </w:pPr>
            <w:r>
              <w:rPr>
                <w:color w:val="231F20"/>
                <w:sz w:val="24"/>
              </w:rPr>
              <w:t>4</w:t>
            </w:r>
          </w:p>
        </w:tc>
      </w:tr>
      <w:tr>
        <w:trPr>
          <w:trHeight w:val="319" w:hRule="atLeast"/>
        </w:trPr>
        <w:tc>
          <w:tcPr>
            <w:tcW w:w="557" w:type="dxa"/>
          </w:tcPr>
          <w:p>
            <w:pPr>
              <w:pStyle w:val="TableParagraph"/>
              <w:rPr>
                <w:sz w:val="24"/>
              </w:rPr>
            </w:pPr>
          </w:p>
        </w:tc>
        <w:tc>
          <w:tcPr>
            <w:tcW w:w="3885" w:type="dxa"/>
          </w:tcPr>
          <w:p>
            <w:pPr>
              <w:pStyle w:val="TableParagraph"/>
              <w:spacing w:before="17"/>
              <w:ind w:right="268"/>
              <w:jc w:val="right"/>
              <w:rPr>
                <w:sz w:val="24"/>
              </w:rPr>
            </w:pPr>
            <w:hyperlink w:history="true" w:anchor="_bookmark2">
              <w:r>
                <w:rPr>
                  <w:color w:val="231F20"/>
                  <w:sz w:val="24"/>
                </w:rPr>
                <w:t>Private non-financial corporations</w:t>
              </w:r>
            </w:hyperlink>
          </w:p>
        </w:tc>
        <w:tc>
          <w:tcPr>
            <w:tcW w:w="560" w:type="dxa"/>
          </w:tcPr>
          <w:p>
            <w:pPr>
              <w:pStyle w:val="TableParagraph"/>
              <w:spacing w:before="17"/>
              <w:ind w:right="49"/>
              <w:jc w:val="right"/>
              <w:rPr>
                <w:sz w:val="24"/>
              </w:rPr>
            </w:pPr>
            <w:r>
              <w:rPr>
                <w:color w:val="231F20"/>
                <w:sz w:val="24"/>
              </w:rPr>
              <w:t>5</w:t>
            </w:r>
          </w:p>
        </w:tc>
      </w:tr>
      <w:tr>
        <w:trPr>
          <w:trHeight w:val="319" w:hRule="atLeast"/>
        </w:trPr>
        <w:tc>
          <w:tcPr>
            <w:tcW w:w="557" w:type="dxa"/>
          </w:tcPr>
          <w:p>
            <w:pPr>
              <w:pStyle w:val="TableParagraph"/>
              <w:spacing w:before="17"/>
              <w:ind w:left="50"/>
              <w:rPr>
                <w:b/>
                <w:sz w:val="24"/>
              </w:rPr>
            </w:pPr>
            <w:r>
              <w:rPr>
                <w:b/>
                <w:color w:val="231F20"/>
                <w:sz w:val="24"/>
              </w:rPr>
              <w:t>1.2</w:t>
            </w:r>
          </w:p>
        </w:tc>
        <w:tc>
          <w:tcPr>
            <w:tcW w:w="3885" w:type="dxa"/>
          </w:tcPr>
          <w:p>
            <w:pPr>
              <w:pStyle w:val="TableParagraph"/>
              <w:spacing w:before="17"/>
              <w:ind w:left="52"/>
              <w:rPr>
                <w:b/>
                <w:sz w:val="24"/>
              </w:rPr>
            </w:pPr>
            <w:hyperlink w:history="true" w:anchor="_bookmark2">
              <w:r>
                <w:rPr>
                  <w:b/>
                  <w:color w:val="231F20"/>
                  <w:sz w:val="24"/>
                </w:rPr>
                <w:t>Credit</w:t>
              </w:r>
            </w:hyperlink>
          </w:p>
        </w:tc>
        <w:tc>
          <w:tcPr>
            <w:tcW w:w="560" w:type="dxa"/>
          </w:tcPr>
          <w:p>
            <w:pPr>
              <w:pStyle w:val="TableParagraph"/>
              <w:spacing w:before="17"/>
              <w:ind w:right="49"/>
              <w:jc w:val="right"/>
              <w:rPr>
                <w:sz w:val="24"/>
              </w:rPr>
            </w:pPr>
            <w:r>
              <w:rPr>
                <w:color w:val="231F20"/>
                <w:sz w:val="24"/>
              </w:rPr>
              <w:t>5</w:t>
            </w:r>
          </w:p>
        </w:tc>
      </w:tr>
      <w:tr>
        <w:trPr>
          <w:trHeight w:val="319" w:hRule="atLeast"/>
        </w:trPr>
        <w:tc>
          <w:tcPr>
            <w:tcW w:w="557" w:type="dxa"/>
          </w:tcPr>
          <w:p>
            <w:pPr>
              <w:pStyle w:val="TableParagraph"/>
              <w:rPr>
                <w:sz w:val="24"/>
              </w:rPr>
            </w:pPr>
          </w:p>
        </w:tc>
        <w:tc>
          <w:tcPr>
            <w:tcW w:w="3885" w:type="dxa"/>
          </w:tcPr>
          <w:p>
            <w:pPr>
              <w:pStyle w:val="TableParagraph"/>
              <w:spacing w:before="17"/>
              <w:ind w:right="268"/>
              <w:jc w:val="right"/>
              <w:rPr>
                <w:sz w:val="24"/>
              </w:rPr>
            </w:pPr>
            <w:hyperlink w:history="true" w:anchor="_bookmark2">
              <w:r>
                <w:rPr>
                  <w:color w:val="231F20"/>
                  <w:sz w:val="24"/>
                </w:rPr>
                <w:t>Private non-financial corporations</w:t>
              </w:r>
            </w:hyperlink>
          </w:p>
        </w:tc>
        <w:tc>
          <w:tcPr>
            <w:tcW w:w="560" w:type="dxa"/>
          </w:tcPr>
          <w:p>
            <w:pPr>
              <w:pStyle w:val="TableParagraph"/>
              <w:spacing w:before="17"/>
              <w:ind w:right="49"/>
              <w:jc w:val="right"/>
              <w:rPr>
                <w:sz w:val="24"/>
              </w:rPr>
            </w:pPr>
            <w:r>
              <w:rPr>
                <w:color w:val="231F20"/>
                <w:sz w:val="24"/>
              </w:rPr>
              <w:t>5</w:t>
            </w:r>
          </w:p>
        </w:tc>
      </w:tr>
      <w:tr>
        <w:trPr>
          <w:trHeight w:val="319" w:hRule="atLeast"/>
        </w:trPr>
        <w:tc>
          <w:tcPr>
            <w:tcW w:w="557" w:type="dxa"/>
          </w:tcPr>
          <w:p>
            <w:pPr>
              <w:pStyle w:val="TableParagraph"/>
              <w:rPr>
                <w:sz w:val="24"/>
              </w:rPr>
            </w:pPr>
          </w:p>
        </w:tc>
        <w:tc>
          <w:tcPr>
            <w:tcW w:w="3885" w:type="dxa"/>
          </w:tcPr>
          <w:p>
            <w:pPr>
              <w:pStyle w:val="TableParagraph"/>
              <w:spacing w:before="17"/>
              <w:ind w:left="353"/>
              <w:rPr>
                <w:sz w:val="24"/>
              </w:rPr>
            </w:pPr>
            <w:hyperlink w:history="true" w:anchor="_bookmark3">
              <w:r>
                <w:rPr>
                  <w:color w:val="231F20"/>
                  <w:sz w:val="24"/>
                </w:rPr>
                <w:t>Household sector</w:t>
              </w:r>
            </w:hyperlink>
          </w:p>
        </w:tc>
        <w:tc>
          <w:tcPr>
            <w:tcW w:w="560" w:type="dxa"/>
          </w:tcPr>
          <w:p>
            <w:pPr>
              <w:pStyle w:val="TableParagraph"/>
              <w:spacing w:before="17"/>
              <w:ind w:right="49"/>
              <w:jc w:val="right"/>
              <w:rPr>
                <w:sz w:val="24"/>
              </w:rPr>
            </w:pPr>
            <w:r>
              <w:rPr>
                <w:color w:val="231F20"/>
                <w:sz w:val="24"/>
              </w:rPr>
              <w:t>6</w:t>
            </w:r>
          </w:p>
        </w:tc>
      </w:tr>
      <w:tr>
        <w:trPr>
          <w:trHeight w:val="319" w:hRule="atLeast"/>
        </w:trPr>
        <w:tc>
          <w:tcPr>
            <w:tcW w:w="557" w:type="dxa"/>
          </w:tcPr>
          <w:p>
            <w:pPr>
              <w:pStyle w:val="TableParagraph"/>
              <w:rPr>
                <w:sz w:val="24"/>
              </w:rPr>
            </w:pPr>
          </w:p>
        </w:tc>
        <w:tc>
          <w:tcPr>
            <w:tcW w:w="3885" w:type="dxa"/>
          </w:tcPr>
          <w:p>
            <w:pPr>
              <w:pStyle w:val="TableParagraph"/>
              <w:spacing w:before="17"/>
              <w:ind w:left="353"/>
              <w:rPr>
                <w:sz w:val="24"/>
              </w:rPr>
            </w:pPr>
            <w:hyperlink w:history="true" w:anchor="_bookmark4">
              <w:r>
                <w:rPr>
                  <w:color w:val="231F20"/>
                  <w:sz w:val="24"/>
                </w:rPr>
                <w:t>Other financial corporations</w:t>
              </w:r>
            </w:hyperlink>
          </w:p>
        </w:tc>
        <w:tc>
          <w:tcPr>
            <w:tcW w:w="560" w:type="dxa"/>
          </w:tcPr>
          <w:p>
            <w:pPr>
              <w:pStyle w:val="TableParagraph"/>
              <w:spacing w:before="17"/>
              <w:ind w:right="49"/>
              <w:jc w:val="right"/>
              <w:rPr>
                <w:sz w:val="24"/>
              </w:rPr>
            </w:pPr>
            <w:r>
              <w:rPr>
                <w:color w:val="231F20"/>
                <w:sz w:val="24"/>
              </w:rPr>
              <w:t>7</w:t>
            </w:r>
          </w:p>
        </w:tc>
      </w:tr>
      <w:tr>
        <w:trPr>
          <w:trHeight w:val="319" w:hRule="atLeast"/>
        </w:trPr>
        <w:tc>
          <w:tcPr>
            <w:tcW w:w="557" w:type="dxa"/>
          </w:tcPr>
          <w:p>
            <w:pPr>
              <w:pStyle w:val="TableParagraph"/>
              <w:spacing w:before="17"/>
              <w:ind w:left="50"/>
              <w:rPr>
                <w:b/>
                <w:sz w:val="24"/>
              </w:rPr>
            </w:pPr>
            <w:r>
              <w:rPr>
                <w:b/>
                <w:color w:val="231F20"/>
                <w:sz w:val="24"/>
              </w:rPr>
              <w:t>1.3</w:t>
            </w:r>
          </w:p>
        </w:tc>
        <w:tc>
          <w:tcPr>
            <w:tcW w:w="3885" w:type="dxa"/>
          </w:tcPr>
          <w:p>
            <w:pPr>
              <w:pStyle w:val="TableParagraph"/>
              <w:spacing w:before="17"/>
              <w:ind w:left="52"/>
              <w:rPr>
                <w:b/>
                <w:sz w:val="24"/>
              </w:rPr>
            </w:pPr>
            <w:hyperlink w:history="true" w:anchor="_bookmark4">
              <w:r>
                <w:rPr>
                  <w:b/>
                  <w:color w:val="231F20"/>
                  <w:sz w:val="24"/>
                </w:rPr>
                <w:t>Interest rates and asset prices</w:t>
              </w:r>
            </w:hyperlink>
          </w:p>
        </w:tc>
        <w:tc>
          <w:tcPr>
            <w:tcW w:w="560" w:type="dxa"/>
          </w:tcPr>
          <w:p>
            <w:pPr>
              <w:pStyle w:val="TableParagraph"/>
              <w:spacing w:before="17"/>
              <w:ind w:right="49"/>
              <w:jc w:val="right"/>
              <w:rPr>
                <w:sz w:val="24"/>
              </w:rPr>
            </w:pPr>
            <w:r>
              <w:rPr>
                <w:color w:val="231F20"/>
                <w:sz w:val="24"/>
              </w:rPr>
              <w:t>7</w:t>
            </w:r>
          </w:p>
        </w:tc>
      </w:tr>
      <w:tr>
        <w:trPr>
          <w:trHeight w:val="319" w:hRule="atLeast"/>
        </w:trPr>
        <w:tc>
          <w:tcPr>
            <w:tcW w:w="557" w:type="dxa"/>
          </w:tcPr>
          <w:p>
            <w:pPr>
              <w:pStyle w:val="TableParagraph"/>
              <w:rPr>
                <w:sz w:val="24"/>
              </w:rPr>
            </w:pPr>
          </w:p>
        </w:tc>
        <w:tc>
          <w:tcPr>
            <w:tcW w:w="3885" w:type="dxa"/>
          </w:tcPr>
          <w:p>
            <w:pPr>
              <w:pStyle w:val="TableParagraph"/>
              <w:spacing w:before="17"/>
              <w:ind w:left="353"/>
              <w:rPr>
                <w:sz w:val="24"/>
              </w:rPr>
            </w:pPr>
            <w:hyperlink w:history="true" w:anchor="_bookmark4">
              <w:r>
                <w:rPr>
                  <w:color w:val="231F20"/>
                  <w:sz w:val="24"/>
                </w:rPr>
                <w:t>Short-term interest rates</w:t>
              </w:r>
            </w:hyperlink>
          </w:p>
        </w:tc>
        <w:tc>
          <w:tcPr>
            <w:tcW w:w="560" w:type="dxa"/>
          </w:tcPr>
          <w:p>
            <w:pPr>
              <w:pStyle w:val="TableParagraph"/>
              <w:spacing w:before="17"/>
              <w:ind w:right="49"/>
              <w:jc w:val="right"/>
              <w:rPr>
                <w:sz w:val="24"/>
              </w:rPr>
            </w:pPr>
            <w:r>
              <w:rPr>
                <w:color w:val="231F20"/>
                <w:sz w:val="24"/>
              </w:rPr>
              <w:t>7</w:t>
            </w:r>
          </w:p>
        </w:tc>
      </w:tr>
      <w:tr>
        <w:trPr>
          <w:trHeight w:val="319" w:hRule="atLeast"/>
        </w:trPr>
        <w:tc>
          <w:tcPr>
            <w:tcW w:w="557" w:type="dxa"/>
          </w:tcPr>
          <w:p>
            <w:pPr>
              <w:pStyle w:val="TableParagraph"/>
              <w:rPr>
                <w:sz w:val="24"/>
              </w:rPr>
            </w:pPr>
          </w:p>
        </w:tc>
        <w:tc>
          <w:tcPr>
            <w:tcW w:w="3885" w:type="dxa"/>
          </w:tcPr>
          <w:p>
            <w:pPr>
              <w:pStyle w:val="TableParagraph"/>
              <w:spacing w:before="17"/>
              <w:ind w:left="353"/>
              <w:rPr>
                <w:sz w:val="24"/>
              </w:rPr>
            </w:pPr>
            <w:hyperlink w:history="true" w:anchor="_bookmark5">
              <w:r>
                <w:rPr>
                  <w:color w:val="231F20"/>
                  <w:sz w:val="24"/>
                </w:rPr>
                <w:t>Long-term interest rates</w:t>
              </w:r>
            </w:hyperlink>
          </w:p>
        </w:tc>
        <w:tc>
          <w:tcPr>
            <w:tcW w:w="560" w:type="dxa"/>
          </w:tcPr>
          <w:p>
            <w:pPr>
              <w:pStyle w:val="TableParagraph"/>
              <w:spacing w:before="17"/>
              <w:ind w:right="49"/>
              <w:jc w:val="right"/>
              <w:rPr>
                <w:sz w:val="24"/>
              </w:rPr>
            </w:pPr>
            <w:r>
              <w:rPr>
                <w:color w:val="231F20"/>
                <w:sz w:val="24"/>
              </w:rPr>
              <w:t>8</w:t>
            </w:r>
          </w:p>
        </w:tc>
      </w:tr>
      <w:tr>
        <w:trPr>
          <w:trHeight w:val="319" w:hRule="atLeast"/>
        </w:trPr>
        <w:tc>
          <w:tcPr>
            <w:tcW w:w="557" w:type="dxa"/>
          </w:tcPr>
          <w:p>
            <w:pPr>
              <w:pStyle w:val="TableParagraph"/>
              <w:rPr>
                <w:sz w:val="24"/>
              </w:rPr>
            </w:pPr>
          </w:p>
        </w:tc>
        <w:tc>
          <w:tcPr>
            <w:tcW w:w="3885" w:type="dxa"/>
          </w:tcPr>
          <w:p>
            <w:pPr>
              <w:pStyle w:val="TableParagraph"/>
              <w:spacing w:before="17"/>
              <w:ind w:left="353"/>
              <w:rPr>
                <w:sz w:val="24"/>
              </w:rPr>
            </w:pPr>
            <w:hyperlink w:history="true" w:anchor="_bookmark5">
              <w:r>
                <w:rPr>
                  <w:color w:val="231F20"/>
                  <w:sz w:val="24"/>
                </w:rPr>
                <w:t>Equity prices</w:t>
              </w:r>
            </w:hyperlink>
          </w:p>
        </w:tc>
        <w:tc>
          <w:tcPr>
            <w:tcW w:w="560" w:type="dxa"/>
          </w:tcPr>
          <w:p>
            <w:pPr>
              <w:pStyle w:val="TableParagraph"/>
              <w:spacing w:before="17"/>
              <w:ind w:right="49"/>
              <w:jc w:val="right"/>
              <w:rPr>
                <w:sz w:val="24"/>
              </w:rPr>
            </w:pPr>
            <w:r>
              <w:rPr>
                <w:color w:val="231F20"/>
                <w:sz w:val="24"/>
              </w:rPr>
              <w:t>8</w:t>
            </w:r>
          </w:p>
        </w:tc>
      </w:tr>
      <w:tr>
        <w:trPr>
          <w:trHeight w:val="319" w:hRule="atLeast"/>
        </w:trPr>
        <w:tc>
          <w:tcPr>
            <w:tcW w:w="557" w:type="dxa"/>
          </w:tcPr>
          <w:p>
            <w:pPr>
              <w:pStyle w:val="TableParagraph"/>
              <w:rPr>
                <w:sz w:val="24"/>
              </w:rPr>
            </w:pPr>
          </w:p>
        </w:tc>
        <w:tc>
          <w:tcPr>
            <w:tcW w:w="3885" w:type="dxa"/>
          </w:tcPr>
          <w:p>
            <w:pPr>
              <w:pStyle w:val="TableParagraph"/>
              <w:spacing w:before="17"/>
              <w:ind w:left="353"/>
              <w:rPr>
                <w:sz w:val="24"/>
              </w:rPr>
            </w:pPr>
            <w:hyperlink w:history="true" w:anchor="_bookmark6">
              <w:r>
                <w:rPr>
                  <w:color w:val="231F20"/>
                  <w:sz w:val="24"/>
                </w:rPr>
                <w:t>Property prices</w:t>
              </w:r>
            </w:hyperlink>
          </w:p>
        </w:tc>
        <w:tc>
          <w:tcPr>
            <w:tcW w:w="560" w:type="dxa"/>
          </w:tcPr>
          <w:p>
            <w:pPr>
              <w:pStyle w:val="TableParagraph"/>
              <w:spacing w:before="17"/>
              <w:ind w:right="49"/>
              <w:jc w:val="right"/>
              <w:rPr>
                <w:sz w:val="24"/>
              </w:rPr>
            </w:pPr>
            <w:r>
              <w:rPr>
                <w:color w:val="231F20"/>
                <w:sz w:val="24"/>
              </w:rPr>
              <w:t>9</w:t>
            </w:r>
          </w:p>
        </w:tc>
      </w:tr>
      <w:tr>
        <w:trPr>
          <w:trHeight w:val="319" w:hRule="atLeast"/>
        </w:trPr>
        <w:tc>
          <w:tcPr>
            <w:tcW w:w="557" w:type="dxa"/>
          </w:tcPr>
          <w:p>
            <w:pPr>
              <w:pStyle w:val="TableParagraph"/>
              <w:spacing w:before="17"/>
              <w:ind w:left="50"/>
              <w:rPr>
                <w:b/>
                <w:sz w:val="24"/>
              </w:rPr>
            </w:pPr>
            <w:r>
              <w:rPr>
                <w:b/>
                <w:color w:val="231F20"/>
                <w:sz w:val="24"/>
              </w:rPr>
              <w:t>1.4</w:t>
            </w:r>
          </w:p>
        </w:tc>
        <w:tc>
          <w:tcPr>
            <w:tcW w:w="3885" w:type="dxa"/>
          </w:tcPr>
          <w:p>
            <w:pPr>
              <w:pStyle w:val="TableParagraph"/>
              <w:spacing w:before="17"/>
              <w:ind w:left="52"/>
              <w:rPr>
                <w:b/>
                <w:sz w:val="24"/>
              </w:rPr>
            </w:pPr>
            <w:hyperlink w:history="true" w:anchor="_bookmark6">
              <w:r>
                <w:rPr>
                  <w:b/>
                  <w:color w:val="231F20"/>
                  <w:sz w:val="24"/>
                </w:rPr>
                <w:t>Exchange rates</w:t>
              </w:r>
            </w:hyperlink>
          </w:p>
        </w:tc>
        <w:tc>
          <w:tcPr>
            <w:tcW w:w="560" w:type="dxa"/>
          </w:tcPr>
          <w:p>
            <w:pPr>
              <w:pStyle w:val="TableParagraph"/>
              <w:spacing w:before="17"/>
              <w:ind w:right="49"/>
              <w:jc w:val="right"/>
              <w:rPr>
                <w:sz w:val="24"/>
              </w:rPr>
            </w:pPr>
            <w:r>
              <w:rPr>
                <w:color w:val="231F20"/>
                <w:sz w:val="24"/>
              </w:rPr>
              <w:t>9</w:t>
            </w:r>
          </w:p>
        </w:tc>
      </w:tr>
      <w:tr>
        <w:trPr>
          <w:trHeight w:val="309" w:hRule="atLeast"/>
        </w:trPr>
        <w:tc>
          <w:tcPr>
            <w:tcW w:w="557" w:type="dxa"/>
          </w:tcPr>
          <w:p>
            <w:pPr>
              <w:pStyle w:val="TableParagraph"/>
              <w:spacing w:line="273" w:lineRule="exact" w:before="17"/>
              <w:ind w:left="50"/>
              <w:rPr>
                <w:b/>
                <w:sz w:val="24"/>
              </w:rPr>
            </w:pPr>
            <w:r>
              <w:rPr>
                <w:b/>
                <w:color w:val="231F20"/>
                <w:sz w:val="24"/>
              </w:rPr>
              <w:t>1.5</w:t>
            </w:r>
          </w:p>
        </w:tc>
        <w:tc>
          <w:tcPr>
            <w:tcW w:w="3885" w:type="dxa"/>
          </w:tcPr>
          <w:p>
            <w:pPr>
              <w:pStyle w:val="TableParagraph"/>
              <w:spacing w:line="273" w:lineRule="exact" w:before="17"/>
              <w:ind w:left="52"/>
              <w:rPr>
                <w:b/>
                <w:sz w:val="24"/>
              </w:rPr>
            </w:pPr>
            <w:hyperlink w:history="true" w:anchor="_bookmark7">
              <w:r>
                <w:rPr>
                  <w:b/>
                  <w:color w:val="231F20"/>
                  <w:sz w:val="24"/>
                </w:rPr>
                <w:t>Summary</w:t>
              </w:r>
            </w:hyperlink>
          </w:p>
        </w:tc>
        <w:tc>
          <w:tcPr>
            <w:tcW w:w="560" w:type="dxa"/>
          </w:tcPr>
          <w:p>
            <w:pPr>
              <w:pStyle w:val="TableParagraph"/>
              <w:spacing w:line="273" w:lineRule="exact" w:before="17"/>
              <w:ind w:right="49"/>
              <w:jc w:val="right"/>
              <w:rPr>
                <w:sz w:val="24"/>
              </w:rPr>
            </w:pPr>
            <w:r>
              <w:rPr>
                <w:color w:val="231F20"/>
                <w:sz w:val="24"/>
              </w:rPr>
              <w:t>11</w:t>
            </w:r>
          </w:p>
        </w:tc>
      </w:tr>
      <w:tr>
        <w:trPr>
          <w:trHeight w:val="282" w:hRule="atLeast"/>
        </w:trPr>
        <w:tc>
          <w:tcPr>
            <w:tcW w:w="557" w:type="dxa"/>
          </w:tcPr>
          <w:p>
            <w:pPr>
              <w:pStyle w:val="TableParagraph"/>
              <w:spacing w:line="256" w:lineRule="exact" w:before="7"/>
              <w:ind w:left="50"/>
              <w:rPr>
                <w:i/>
                <w:sz w:val="24"/>
              </w:rPr>
            </w:pPr>
            <w:r>
              <w:rPr>
                <w:i/>
                <w:color w:val="231F20"/>
                <w:sz w:val="24"/>
              </w:rPr>
              <w:t>Box:</w:t>
            </w:r>
          </w:p>
        </w:tc>
        <w:tc>
          <w:tcPr>
            <w:tcW w:w="3885" w:type="dxa"/>
          </w:tcPr>
          <w:p>
            <w:pPr>
              <w:pStyle w:val="TableParagraph"/>
              <w:spacing w:line="256" w:lineRule="exact" w:before="7"/>
              <w:ind w:left="353"/>
              <w:rPr>
                <w:i/>
                <w:sz w:val="24"/>
              </w:rPr>
            </w:pPr>
            <w:hyperlink w:history="true" w:anchor="_bookmark3">
              <w:r>
                <w:rPr>
                  <w:i/>
                  <w:color w:val="231F20"/>
                  <w:sz w:val="24"/>
                </w:rPr>
                <w:t>What is a credit crunch?</w:t>
              </w:r>
            </w:hyperlink>
          </w:p>
        </w:tc>
        <w:tc>
          <w:tcPr>
            <w:tcW w:w="560" w:type="dxa"/>
          </w:tcPr>
          <w:p>
            <w:pPr>
              <w:pStyle w:val="TableParagraph"/>
              <w:spacing w:line="256" w:lineRule="exact" w:before="7"/>
              <w:ind w:right="49"/>
              <w:jc w:val="right"/>
              <w:rPr>
                <w:sz w:val="24"/>
              </w:rPr>
            </w:pPr>
            <w:r>
              <w:rPr>
                <w:color w:val="231F20"/>
                <w:sz w:val="24"/>
              </w:rPr>
              <w:t>6</w:t>
            </w:r>
          </w:p>
        </w:tc>
      </w:tr>
    </w:tbl>
    <w:p>
      <w:pPr>
        <w:pStyle w:val="BodyText"/>
        <w:spacing w:before="7"/>
        <w:rPr>
          <w:sz w:val="31"/>
        </w:rPr>
      </w:pPr>
    </w:p>
    <w:p>
      <w:pPr>
        <w:pStyle w:val="ListParagraph"/>
        <w:numPr>
          <w:ilvl w:val="0"/>
          <w:numId w:val="1"/>
        </w:numPr>
        <w:tabs>
          <w:tab w:pos="5389" w:val="left" w:leader="none"/>
          <w:tab w:pos="5390" w:val="left" w:leader="none"/>
          <w:tab w:pos="10049" w:val="left" w:leader="none"/>
        </w:tabs>
        <w:spacing w:line="240" w:lineRule="auto" w:before="0" w:after="0"/>
        <w:ind w:left="5389" w:right="0" w:hanging="381"/>
        <w:jc w:val="left"/>
        <w:rPr>
          <w:sz w:val="24"/>
        </w:rPr>
      </w:pPr>
      <w:hyperlink w:history="true" w:anchor="_bookmark8">
        <w:r>
          <w:rPr>
            <w:b/>
            <w:color w:val="0093C1"/>
            <w:sz w:val="24"/>
          </w:rPr>
          <w:t>Demand and output</w:t>
        </w:r>
      </w:hyperlink>
      <w:r>
        <w:rPr>
          <w:b/>
          <w:color w:val="0093C1"/>
          <w:sz w:val="24"/>
        </w:rPr>
        <w:tab/>
      </w:r>
      <w:r>
        <w:rPr>
          <w:color w:val="231F20"/>
          <w:sz w:val="24"/>
        </w:rPr>
        <w:t>12</w:t>
      </w:r>
    </w:p>
    <w:sdt>
      <w:sdtPr>
        <w:docPartObj>
          <w:docPartGallery w:val="Table of Contents"/>
          <w:docPartUnique/>
        </w:docPartObj>
      </w:sdtPr>
      <w:sdtEndPr/>
      <w:sdtContent>
        <w:p>
          <w:pPr>
            <w:pStyle w:val="TOC2"/>
            <w:numPr>
              <w:ilvl w:val="1"/>
              <w:numId w:val="1"/>
            </w:numPr>
            <w:tabs>
              <w:tab w:pos="5949" w:val="left" w:leader="none"/>
              <w:tab w:pos="5950" w:val="left" w:leader="none"/>
              <w:tab w:pos="10289" w:val="right" w:leader="none"/>
            </w:tabs>
            <w:spacing w:line="240" w:lineRule="auto" w:before="44" w:after="0"/>
            <w:ind w:left="5949" w:right="0" w:hanging="561"/>
            <w:jc w:val="left"/>
            <w:rPr>
              <w:b w:val="0"/>
            </w:rPr>
          </w:pPr>
          <w:hyperlink w:history="true" w:anchor="_bookmark8">
            <w:r>
              <w:rPr>
                <w:color w:val="231F20"/>
              </w:rPr>
              <w:t>External</w:t>
            </w:r>
            <w:r>
              <w:rPr>
                <w:color w:val="231F20"/>
                <w:spacing w:val="-1"/>
              </w:rPr>
              <w:t> </w:t>
            </w:r>
            <w:r>
              <w:rPr>
                <w:color w:val="231F20"/>
              </w:rPr>
              <w:t>demand</w:t>
            </w:r>
          </w:hyperlink>
          <w:r>
            <w:rPr>
              <w:color w:val="231F20"/>
            </w:rPr>
            <w:tab/>
          </w:r>
          <w:r>
            <w:rPr>
              <w:b w:val="0"/>
              <w:color w:val="231F20"/>
            </w:rPr>
            <w:t>12</w:t>
          </w:r>
        </w:p>
        <w:p>
          <w:pPr>
            <w:pStyle w:val="TOC5"/>
            <w:tabs>
              <w:tab w:pos="10289" w:val="right" w:leader="none"/>
            </w:tabs>
          </w:pPr>
          <w:hyperlink w:history="true" w:anchor="_bookmark9">
            <w:r>
              <w:rPr>
                <w:color w:val="231F20"/>
              </w:rPr>
              <w:t>UK trade</w:t>
            </w:r>
          </w:hyperlink>
          <w:r>
            <w:rPr>
              <w:color w:val="231F20"/>
            </w:rPr>
            <w:tab/>
            <w:t>13</w:t>
          </w:r>
        </w:p>
        <w:p>
          <w:pPr>
            <w:pStyle w:val="TOC2"/>
            <w:numPr>
              <w:ilvl w:val="1"/>
              <w:numId w:val="1"/>
            </w:numPr>
            <w:tabs>
              <w:tab w:pos="5949" w:val="left" w:leader="none"/>
              <w:tab w:pos="5950" w:val="left" w:leader="none"/>
              <w:tab w:pos="10289" w:val="right" w:leader="none"/>
            </w:tabs>
            <w:spacing w:line="240" w:lineRule="auto" w:before="44" w:after="0"/>
            <w:ind w:left="5949" w:right="0" w:hanging="561"/>
            <w:jc w:val="left"/>
            <w:rPr>
              <w:b w:val="0"/>
            </w:rPr>
          </w:pPr>
          <w:hyperlink w:history="true" w:anchor="_bookmark11">
            <w:r>
              <w:rPr>
                <w:color w:val="231F20"/>
              </w:rPr>
              <w:t>Domestic demand</w:t>
            </w:r>
          </w:hyperlink>
          <w:r>
            <w:rPr>
              <w:color w:val="231F20"/>
            </w:rPr>
            <w:tab/>
          </w:r>
          <w:r>
            <w:rPr>
              <w:b w:val="0"/>
              <w:color w:val="231F20"/>
            </w:rPr>
            <w:t>16</w:t>
          </w:r>
        </w:p>
        <w:p>
          <w:pPr>
            <w:pStyle w:val="TOC5"/>
            <w:tabs>
              <w:tab w:pos="10289" w:val="right" w:leader="none"/>
            </w:tabs>
          </w:pPr>
          <w:hyperlink w:history="true" w:anchor="_bookmark11">
            <w:r>
              <w:rPr>
                <w:color w:val="231F20"/>
              </w:rPr>
              <w:t>Consumption</w:t>
            </w:r>
          </w:hyperlink>
          <w:r>
            <w:rPr>
              <w:color w:val="231F20"/>
            </w:rPr>
            <w:tab/>
            <w:t>16</w:t>
          </w:r>
        </w:p>
        <w:p>
          <w:pPr>
            <w:pStyle w:val="TOC5"/>
            <w:tabs>
              <w:tab w:pos="10289" w:val="right" w:leader="none"/>
            </w:tabs>
          </w:pPr>
          <w:hyperlink w:history="true" w:anchor="_bookmark12">
            <w:r>
              <w:rPr>
                <w:color w:val="231F20"/>
              </w:rPr>
              <w:t>Investment</w:t>
            </w:r>
            <w:r>
              <w:rPr>
                <w:color w:val="231F20"/>
                <w:spacing w:val="-1"/>
              </w:rPr>
              <w:t> </w:t>
            </w:r>
            <w:r>
              <w:rPr>
                <w:color w:val="231F20"/>
              </w:rPr>
              <w:t>demand</w:t>
            </w:r>
          </w:hyperlink>
          <w:r>
            <w:rPr>
              <w:color w:val="231F20"/>
            </w:rPr>
            <w:tab/>
            <w:t>18</w:t>
          </w:r>
        </w:p>
        <w:p>
          <w:pPr>
            <w:pStyle w:val="TOC5"/>
            <w:tabs>
              <w:tab w:pos="10289" w:val="right" w:leader="none"/>
            </w:tabs>
          </w:pPr>
          <w:hyperlink w:history="true" w:anchor="_bookmark13">
            <w:r>
              <w:rPr>
                <w:color w:val="231F20"/>
              </w:rPr>
              <w:t>Inventory</w:t>
            </w:r>
            <w:r>
              <w:rPr>
                <w:color w:val="231F20"/>
                <w:spacing w:val="-1"/>
              </w:rPr>
              <w:t> </w:t>
            </w:r>
            <w:r>
              <w:rPr>
                <w:color w:val="231F20"/>
              </w:rPr>
              <w:t>investment</w:t>
            </w:r>
          </w:hyperlink>
          <w:r>
            <w:rPr>
              <w:color w:val="231F20"/>
            </w:rPr>
            <w:tab/>
            <w:t>19</w:t>
          </w:r>
        </w:p>
        <w:p>
          <w:pPr>
            <w:pStyle w:val="TOC5"/>
            <w:tabs>
              <w:tab w:pos="10289" w:val="right" w:leader="none"/>
            </w:tabs>
          </w:pPr>
          <w:hyperlink w:history="true" w:anchor="_bookmark15">
            <w:r>
              <w:rPr>
                <w:color w:val="231F20"/>
              </w:rPr>
              <w:t>Public sector demand</w:t>
            </w:r>
          </w:hyperlink>
          <w:r>
            <w:rPr>
              <w:color w:val="231F20"/>
            </w:rPr>
            <w:tab/>
            <w:t>21</w:t>
          </w:r>
        </w:p>
        <w:p>
          <w:pPr>
            <w:pStyle w:val="TOC4"/>
            <w:numPr>
              <w:ilvl w:val="1"/>
              <w:numId w:val="1"/>
            </w:numPr>
            <w:tabs>
              <w:tab w:pos="5949" w:val="left" w:leader="none"/>
              <w:tab w:pos="5950" w:val="left" w:leader="none"/>
              <w:tab w:pos="10289" w:val="right" w:leader="none"/>
            </w:tabs>
            <w:spacing w:line="240" w:lineRule="auto" w:before="24" w:after="0"/>
            <w:ind w:left="5949" w:right="0" w:hanging="561"/>
            <w:jc w:val="left"/>
            <w:rPr>
              <w:b w:val="0"/>
              <w:i w:val="0"/>
              <w:sz w:val="24"/>
            </w:rPr>
          </w:pPr>
          <w:hyperlink w:history="true" w:anchor="_bookmark15">
            <w:r>
              <w:rPr>
                <w:i w:val="0"/>
                <w:color w:val="231F20"/>
                <w:sz w:val="24"/>
              </w:rPr>
              <w:t>Output</w:t>
            </w:r>
          </w:hyperlink>
          <w:r>
            <w:rPr>
              <w:i w:val="0"/>
              <w:color w:val="231F20"/>
              <w:sz w:val="24"/>
            </w:rPr>
            <w:tab/>
          </w:r>
          <w:r>
            <w:rPr>
              <w:b w:val="0"/>
              <w:i w:val="0"/>
              <w:color w:val="231F20"/>
              <w:sz w:val="24"/>
            </w:rPr>
            <w:t>21</w:t>
          </w:r>
        </w:p>
        <w:p>
          <w:pPr>
            <w:pStyle w:val="TOC2"/>
            <w:numPr>
              <w:ilvl w:val="1"/>
              <w:numId w:val="1"/>
            </w:numPr>
            <w:tabs>
              <w:tab w:pos="5949" w:val="left" w:leader="none"/>
              <w:tab w:pos="5950" w:val="left" w:leader="none"/>
              <w:tab w:pos="10289" w:val="right" w:leader="none"/>
            </w:tabs>
            <w:spacing w:line="240" w:lineRule="auto" w:before="24" w:after="0"/>
            <w:ind w:left="5949" w:right="0" w:hanging="561"/>
            <w:jc w:val="left"/>
            <w:rPr>
              <w:b w:val="0"/>
            </w:rPr>
          </w:pPr>
          <w:hyperlink w:history="true" w:anchor="_bookmark16">
            <w:r>
              <w:rPr>
                <w:color w:val="231F20"/>
              </w:rPr>
              <w:t>Summary</w:t>
            </w:r>
          </w:hyperlink>
          <w:r>
            <w:rPr>
              <w:color w:val="231F20"/>
            </w:rPr>
            <w:tab/>
          </w:r>
          <w:r>
            <w:rPr>
              <w:b w:val="0"/>
              <w:color w:val="231F20"/>
            </w:rPr>
            <w:t>23</w:t>
          </w:r>
        </w:p>
        <w:p>
          <w:pPr>
            <w:pStyle w:val="TOC3"/>
            <w:tabs>
              <w:tab w:pos="6249" w:val="left" w:leader="none"/>
              <w:tab w:pos="10289" w:val="right" w:leader="none"/>
            </w:tabs>
            <w:rPr>
              <w:i w:val="0"/>
            </w:rPr>
          </w:pPr>
          <w:r>
            <w:rPr>
              <w:i/>
              <w:color w:val="231F20"/>
            </w:rPr>
            <w:t>Boxes:</w:t>
            <w:tab/>
          </w:r>
          <w:hyperlink w:history="true" w:anchor="_bookmark10">
            <w:r>
              <w:rPr>
                <w:i/>
                <w:color w:val="231F20"/>
              </w:rPr>
              <w:t>Revisions to the</w:t>
            </w:r>
            <w:r>
              <w:rPr>
                <w:i/>
                <w:color w:val="231F20"/>
                <w:spacing w:val="-2"/>
              </w:rPr>
              <w:t> </w:t>
            </w:r>
            <w:r>
              <w:rPr>
                <w:i/>
                <w:color w:val="231F20"/>
              </w:rPr>
              <w:t>National Accounts</w:t>
            </w:r>
          </w:hyperlink>
          <w:r>
            <w:rPr>
              <w:i/>
              <w:color w:val="231F20"/>
            </w:rPr>
            <w:tab/>
          </w:r>
          <w:r>
            <w:rPr>
              <w:i w:val="0"/>
              <w:color w:val="231F20"/>
            </w:rPr>
            <w:t>14</w:t>
          </w:r>
        </w:p>
        <w:p>
          <w:pPr>
            <w:pStyle w:val="TOC6"/>
            <w:tabs>
              <w:tab w:pos="10289" w:val="right" w:leader="none"/>
            </w:tabs>
            <w:rPr>
              <w:i w:val="0"/>
            </w:rPr>
          </w:pPr>
          <w:hyperlink w:history="true" w:anchor="_bookmark14">
            <w:r>
              <w:rPr>
                <w:i/>
                <w:color w:val="231F20"/>
              </w:rPr>
              <w:t>The Millennium</w:t>
            </w:r>
          </w:hyperlink>
          <w:r>
            <w:rPr>
              <w:i/>
              <w:color w:val="231F20"/>
            </w:rPr>
            <w:tab/>
          </w:r>
          <w:r>
            <w:rPr>
              <w:i w:val="0"/>
              <w:color w:val="231F20"/>
            </w:rPr>
            <w:t>20</w:t>
          </w:r>
        </w:p>
        <w:p>
          <w:pPr>
            <w:pStyle w:val="TOC1"/>
            <w:numPr>
              <w:ilvl w:val="0"/>
              <w:numId w:val="1"/>
            </w:numPr>
            <w:tabs>
              <w:tab w:pos="5389" w:val="left" w:leader="none"/>
              <w:tab w:pos="5390" w:val="left" w:leader="none"/>
              <w:tab w:pos="10289" w:val="right" w:leader="none"/>
            </w:tabs>
            <w:spacing w:line="240" w:lineRule="auto" w:before="324" w:after="55"/>
            <w:ind w:left="5389" w:right="0" w:hanging="381"/>
            <w:jc w:val="left"/>
            <w:rPr>
              <w:b w:val="0"/>
            </w:rPr>
          </w:pPr>
          <w:hyperlink w:history="true" w:anchor="_bookmark17">
            <w:r>
              <w:rPr>
                <w:color w:val="0093C1"/>
              </w:rPr>
              <w:t>The</w:t>
            </w:r>
            <w:r>
              <w:rPr>
                <w:color w:val="0093C1"/>
                <w:spacing w:val="-1"/>
              </w:rPr>
              <w:t> </w:t>
            </w:r>
            <w:r>
              <w:rPr>
                <w:color w:val="0093C1"/>
              </w:rPr>
              <w:t>labour market</w:t>
            </w:r>
          </w:hyperlink>
          <w:r>
            <w:rPr>
              <w:color w:val="0093C1"/>
            </w:rPr>
            <w:tab/>
          </w:r>
          <w:r>
            <w:rPr>
              <w:b w:val="0"/>
              <w:color w:val="231F20"/>
            </w:rPr>
            <w:t>24</w:t>
          </w:r>
        </w:p>
      </w:sdtContent>
    </w:sdt>
    <w:tbl>
      <w:tblPr>
        <w:tblW w:w="0" w:type="auto"/>
        <w:jc w:val="left"/>
        <w:tblInd w:w="53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6"/>
        <w:gridCol w:w="3776"/>
        <w:gridCol w:w="666"/>
      </w:tblGrid>
      <w:tr>
        <w:trPr>
          <w:trHeight w:val="292" w:hRule="atLeast"/>
        </w:trPr>
        <w:tc>
          <w:tcPr>
            <w:tcW w:w="556" w:type="dxa"/>
          </w:tcPr>
          <w:p>
            <w:pPr>
              <w:pStyle w:val="TableParagraph"/>
              <w:spacing w:line="266" w:lineRule="exact"/>
              <w:ind w:left="50"/>
              <w:rPr>
                <w:b/>
                <w:sz w:val="24"/>
              </w:rPr>
            </w:pPr>
            <w:r>
              <w:rPr>
                <w:b/>
                <w:color w:val="231F20"/>
                <w:sz w:val="24"/>
              </w:rPr>
              <w:t>3.1</w:t>
            </w:r>
          </w:p>
        </w:tc>
        <w:tc>
          <w:tcPr>
            <w:tcW w:w="3776" w:type="dxa"/>
          </w:tcPr>
          <w:p>
            <w:pPr>
              <w:pStyle w:val="TableParagraph"/>
              <w:spacing w:line="266" w:lineRule="exact"/>
              <w:ind w:left="53"/>
              <w:rPr>
                <w:b/>
                <w:sz w:val="24"/>
              </w:rPr>
            </w:pPr>
            <w:hyperlink w:history="true" w:anchor="_bookmark17">
              <w:r>
                <w:rPr>
                  <w:b/>
                  <w:color w:val="231F20"/>
                  <w:sz w:val="24"/>
                </w:rPr>
                <w:t>Earnings</w:t>
              </w:r>
            </w:hyperlink>
          </w:p>
        </w:tc>
        <w:tc>
          <w:tcPr>
            <w:tcW w:w="666" w:type="dxa"/>
          </w:tcPr>
          <w:p>
            <w:pPr>
              <w:pStyle w:val="TableParagraph"/>
              <w:spacing w:line="266" w:lineRule="exact"/>
              <w:ind w:right="47"/>
              <w:jc w:val="right"/>
              <w:rPr>
                <w:sz w:val="24"/>
              </w:rPr>
            </w:pPr>
            <w:r>
              <w:rPr>
                <w:color w:val="231F20"/>
                <w:sz w:val="24"/>
              </w:rPr>
              <w:t>24</w:t>
            </w:r>
          </w:p>
        </w:tc>
      </w:tr>
      <w:tr>
        <w:trPr>
          <w:trHeight w:val="319" w:hRule="atLeast"/>
        </w:trPr>
        <w:tc>
          <w:tcPr>
            <w:tcW w:w="556" w:type="dxa"/>
          </w:tcPr>
          <w:p>
            <w:pPr>
              <w:pStyle w:val="TableParagraph"/>
              <w:spacing w:before="17"/>
              <w:ind w:left="50"/>
              <w:rPr>
                <w:b/>
                <w:sz w:val="24"/>
              </w:rPr>
            </w:pPr>
            <w:r>
              <w:rPr>
                <w:b/>
                <w:color w:val="231F20"/>
                <w:sz w:val="24"/>
              </w:rPr>
              <w:t>3.2</w:t>
            </w:r>
          </w:p>
        </w:tc>
        <w:tc>
          <w:tcPr>
            <w:tcW w:w="3776" w:type="dxa"/>
          </w:tcPr>
          <w:p>
            <w:pPr>
              <w:pStyle w:val="TableParagraph"/>
              <w:spacing w:before="17"/>
              <w:ind w:left="53"/>
              <w:rPr>
                <w:b/>
                <w:sz w:val="24"/>
              </w:rPr>
            </w:pPr>
            <w:hyperlink w:history="true" w:anchor="_bookmark18">
              <w:r>
                <w:rPr>
                  <w:b/>
                  <w:color w:val="231F20"/>
                  <w:sz w:val="24"/>
                </w:rPr>
                <w:t>Unemployment and employment</w:t>
              </w:r>
            </w:hyperlink>
          </w:p>
        </w:tc>
        <w:tc>
          <w:tcPr>
            <w:tcW w:w="666" w:type="dxa"/>
          </w:tcPr>
          <w:p>
            <w:pPr>
              <w:pStyle w:val="TableParagraph"/>
              <w:spacing w:before="17"/>
              <w:ind w:right="47"/>
              <w:jc w:val="right"/>
              <w:rPr>
                <w:sz w:val="24"/>
              </w:rPr>
            </w:pPr>
            <w:r>
              <w:rPr>
                <w:color w:val="231F20"/>
                <w:sz w:val="24"/>
              </w:rPr>
              <w:t>27</w:t>
            </w:r>
          </w:p>
        </w:tc>
      </w:tr>
      <w:tr>
        <w:trPr>
          <w:trHeight w:val="319" w:hRule="atLeast"/>
        </w:trPr>
        <w:tc>
          <w:tcPr>
            <w:tcW w:w="556" w:type="dxa"/>
          </w:tcPr>
          <w:p>
            <w:pPr>
              <w:pStyle w:val="TableParagraph"/>
              <w:spacing w:before="17"/>
              <w:ind w:left="50"/>
              <w:rPr>
                <w:b/>
                <w:sz w:val="24"/>
              </w:rPr>
            </w:pPr>
            <w:r>
              <w:rPr>
                <w:b/>
                <w:color w:val="231F20"/>
                <w:sz w:val="24"/>
              </w:rPr>
              <w:t>3.3</w:t>
            </w:r>
          </w:p>
        </w:tc>
        <w:tc>
          <w:tcPr>
            <w:tcW w:w="3776" w:type="dxa"/>
          </w:tcPr>
          <w:p>
            <w:pPr>
              <w:pStyle w:val="TableParagraph"/>
              <w:spacing w:before="17"/>
              <w:ind w:left="53"/>
              <w:rPr>
                <w:b/>
                <w:sz w:val="24"/>
              </w:rPr>
            </w:pPr>
            <w:hyperlink w:history="true" w:anchor="_bookmark19">
              <w:r>
                <w:rPr>
                  <w:b/>
                  <w:color w:val="231F20"/>
                  <w:sz w:val="24"/>
                </w:rPr>
                <w:t>Unemployment and inflation</w:t>
              </w:r>
            </w:hyperlink>
          </w:p>
        </w:tc>
        <w:tc>
          <w:tcPr>
            <w:tcW w:w="666" w:type="dxa"/>
          </w:tcPr>
          <w:p>
            <w:pPr>
              <w:pStyle w:val="TableParagraph"/>
              <w:spacing w:before="17"/>
              <w:ind w:right="47"/>
              <w:jc w:val="right"/>
              <w:rPr>
                <w:sz w:val="24"/>
              </w:rPr>
            </w:pPr>
            <w:r>
              <w:rPr>
                <w:color w:val="231F20"/>
                <w:sz w:val="24"/>
              </w:rPr>
              <w:t>29</w:t>
            </w:r>
          </w:p>
        </w:tc>
      </w:tr>
      <w:tr>
        <w:trPr>
          <w:trHeight w:val="309" w:hRule="atLeast"/>
        </w:trPr>
        <w:tc>
          <w:tcPr>
            <w:tcW w:w="556" w:type="dxa"/>
          </w:tcPr>
          <w:p>
            <w:pPr>
              <w:pStyle w:val="TableParagraph"/>
              <w:spacing w:line="273" w:lineRule="exact" w:before="17"/>
              <w:ind w:left="50"/>
              <w:rPr>
                <w:b/>
                <w:sz w:val="24"/>
              </w:rPr>
            </w:pPr>
            <w:r>
              <w:rPr>
                <w:b/>
                <w:color w:val="231F20"/>
                <w:sz w:val="24"/>
              </w:rPr>
              <w:t>3.4</w:t>
            </w:r>
          </w:p>
        </w:tc>
        <w:tc>
          <w:tcPr>
            <w:tcW w:w="3776" w:type="dxa"/>
          </w:tcPr>
          <w:p>
            <w:pPr>
              <w:pStyle w:val="TableParagraph"/>
              <w:spacing w:line="273" w:lineRule="exact" w:before="17"/>
              <w:ind w:left="53"/>
              <w:rPr>
                <w:b/>
                <w:sz w:val="24"/>
              </w:rPr>
            </w:pPr>
            <w:hyperlink w:history="true" w:anchor="_bookmark21">
              <w:r>
                <w:rPr>
                  <w:b/>
                  <w:color w:val="231F20"/>
                  <w:sz w:val="24"/>
                </w:rPr>
                <w:t>Summary</w:t>
              </w:r>
            </w:hyperlink>
          </w:p>
        </w:tc>
        <w:tc>
          <w:tcPr>
            <w:tcW w:w="666" w:type="dxa"/>
          </w:tcPr>
          <w:p>
            <w:pPr>
              <w:pStyle w:val="TableParagraph"/>
              <w:spacing w:line="273" w:lineRule="exact" w:before="17"/>
              <w:ind w:right="47"/>
              <w:jc w:val="right"/>
              <w:rPr>
                <w:sz w:val="24"/>
              </w:rPr>
            </w:pPr>
            <w:r>
              <w:rPr>
                <w:color w:val="231F20"/>
                <w:sz w:val="24"/>
              </w:rPr>
              <w:t>31</w:t>
            </w:r>
          </w:p>
        </w:tc>
      </w:tr>
      <w:tr>
        <w:trPr>
          <w:trHeight w:val="282" w:hRule="atLeast"/>
        </w:trPr>
        <w:tc>
          <w:tcPr>
            <w:tcW w:w="556" w:type="dxa"/>
          </w:tcPr>
          <w:p>
            <w:pPr>
              <w:pStyle w:val="TableParagraph"/>
              <w:spacing w:line="256" w:lineRule="exact" w:before="7"/>
              <w:ind w:left="50"/>
              <w:rPr>
                <w:i/>
                <w:sz w:val="24"/>
              </w:rPr>
            </w:pPr>
            <w:r>
              <w:rPr>
                <w:i/>
                <w:color w:val="231F20"/>
                <w:sz w:val="24"/>
              </w:rPr>
              <w:t>Box:</w:t>
            </w:r>
          </w:p>
        </w:tc>
        <w:tc>
          <w:tcPr>
            <w:tcW w:w="3776" w:type="dxa"/>
          </w:tcPr>
          <w:p>
            <w:pPr>
              <w:pStyle w:val="TableParagraph"/>
              <w:spacing w:line="256" w:lineRule="exact" w:before="7"/>
              <w:ind w:left="354"/>
              <w:rPr>
                <w:i/>
                <w:sz w:val="24"/>
              </w:rPr>
            </w:pPr>
            <w:hyperlink w:history="true" w:anchor="_bookmark20">
              <w:r>
                <w:rPr>
                  <w:i/>
                  <w:color w:val="231F20"/>
                  <w:sz w:val="24"/>
                </w:rPr>
                <w:t>The Working Time Directive</w:t>
              </w:r>
            </w:hyperlink>
          </w:p>
        </w:tc>
        <w:tc>
          <w:tcPr>
            <w:tcW w:w="666" w:type="dxa"/>
          </w:tcPr>
          <w:p>
            <w:pPr>
              <w:pStyle w:val="TableParagraph"/>
              <w:spacing w:line="256" w:lineRule="exact" w:before="7"/>
              <w:ind w:right="47"/>
              <w:jc w:val="right"/>
              <w:rPr>
                <w:sz w:val="24"/>
              </w:rPr>
            </w:pPr>
            <w:r>
              <w:rPr>
                <w:color w:val="231F20"/>
                <w:sz w:val="24"/>
              </w:rPr>
              <w:t>30</w:t>
            </w:r>
          </w:p>
        </w:tc>
      </w:tr>
    </w:tbl>
    <w:p>
      <w:pPr>
        <w:spacing w:after="0" w:line="256" w:lineRule="exact"/>
        <w:jc w:val="right"/>
        <w:rPr>
          <w:sz w:val="24"/>
        </w:rPr>
        <w:sectPr>
          <w:footerReference w:type="default" r:id="rId10"/>
          <w:pgSz w:w="11900" w:h="16840"/>
          <w:pgMar w:footer="0" w:header="0" w:top="1200" w:bottom="280" w:left="620" w:right="520"/>
        </w:sectPr>
      </w:pPr>
    </w:p>
    <w:p>
      <w:pPr>
        <w:pStyle w:val="Heading3"/>
        <w:numPr>
          <w:ilvl w:val="0"/>
          <w:numId w:val="1"/>
        </w:numPr>
        <w:tabs>
          <w:tab w:pos="5379" w:val="left" w:leader="none"/>
          <w:tab w:pos="5380" w:val="left" w:leader="none"/>
          <w:tab w:pos="10279" w:val="right" w:leader="none"/>
        </w:tabs>
        <w:spacing w:line="240" w:lineRule="auto" w:before="73" w:after="0"/>
        <w:ind w:left="5379" w:right="0" w:hanging="380"/>
        <w:jc w:val="left"/>
        <w:rPr>
          <w:b w:val="0"/>
        </w:rPr>
      </w:pPr>
      <w:hyperlink w:history="true" w:anchor="_bookmark22">
        <w:r>
          <w:rPr>
            <w:color w:val="0093C1"/>
          </w:rPr>
          <w:t>Costs and prices</w:t>
        </w:r>
      </w:hyperlink>
      <w:r>
        <w:rPr>
          <w:color w:val="0093C1"/>
        </w:rPr>
        <w:tab/>
      </w:r>
      <w:r>
        <w:rPr>
          <w:b w:val="0"/>
          <w:color w:val="231F20"/>
        </w:rPr>
        <w:t>32</w:t>
      </w:r>
    </w:p>
    <w:p>
      <w:pPr>
        <w:pStyle w:val="Heading3"/>
        <w:numPr>
          <w:ilvl w:val="1"/>
          <w:numId w:val="1"/>
        </w:numPr>
        <w:tabs>
          <w:tab w:pos="5939" w:val="left" w:leader="none"/>
          <w:tab w:pos="5940" w:val="left" w:leader="none"/>
          <w:tab w:pos="10279" w:val="right" w:leader="none"/>
        </w:tabs>
        <w:spacing w:line="240" w:lineRule="auto" w:before="44" w:after="0"/>
        <w:ind w:left="5939" w:right="0" w:hanging="561"/>
        <w:jc w:val="left"/>
        <w:rPr>
          <w:b w:val="0"/>
        </w:rPr>
      </w:pPr>
      <w:hyperlink w:history="true" w:anchor="_bookmark22">
        <w:r>
          <w:rPr>
            <w:color w:val="231F20"/>
          </w:rPr>
          <w:t>Raw material and commodity prices</w:t>
        </w:r>
      </w:hyperlink>
      <w:r>
        <w:rPr>
          <w:color w:val="231F20"/>
        </w:rPr>
        <w:tab/>
      </w:r>
      <w:r>
        <w:rPr>
          <w:b w:val="0"/>
          <w:color w:val="231F20"/>
        </w:rPr>
        <w:t>32</w:t>
      </w:r>
    </w:p>
    <w:p>
      <w:pPr>
        <w:pStyle w:val="Heading3"/>
        <w:numPr>
          <w:ilvl w:val="1"/>
          <w:numId w:val="1"/>
        </w:numPr>
        <w:tabs>
          <w:tab w:pos="5939" w:val="left" w:leader="none"/>
          <w:tab w:pos="5940" w:val="left" w:leader="none"/>
          <w:tab w:pos="10279" w:val="right" w:leader="none"/>
        </w:tabs>
        <w:spacing w:line="240" w:lineRule="auto" w:before="44" w:after="0"/>
        <w:ind w:left="5939" w:right="0" w:hanging="561"/>
        <w:jc w:val="left"/>
        <w:rPr>
          <w:b w:val="0"/>
        </w:rPr>
      </w:pPr>
      <w:hyperlink w:history="true" w:anchor="_bookmark23">
        <w:r>
          <w:rPr>
            <w:color w:val="231F20"/>
          </w:rPr>
          <w:t>Import prices and the exchange rate</w:t>
        </w:r>
      </w:hyperlink>
      <w:r>
        <w:rPr>
          <w:color w:val="231F20"/>
        </w:rPr>
        <w:tab/>
      </w:r>
      <w:r>
        <w:rPr>
          <w:b w:val="0"/>
          <w:color w:val="231F20"/>
        </w:rPr>
        <w:t>33</w:t>
      </w:r>
    </w:p>
    <w:p>
      <w:pPr>
        <w:pStyle w:val="Heading3"/>
        <w:numPr>
          <w:ilvl w:val="1"/>
          <w:numId w:val="1"/>
        </w:numPr>
        <w:tabs>
          <w:tab w:pos="5939" w:val="left" w:leader="none"/>
          <w:tab w:pos="5940" w:val="left" w:leader="none"/>
          <w:tab w:pos="10279" w:val="right" w:leader="none"/>
        </w:tabs>
        <w:spacing w:line="240" w:lineRule="auto" w:before="44" w:after="0"/>
        <w:ind w:left="5939" w:right="0" w:hanging="561"/>
        <w:jc w:val="left"/>
        <w:rPr>
          <w:b w:val="0"/>
        </w:rPr>
      </w:pPr>
      <w:hyperlink w:history="true" w:anchor="_bookmark24">
        <w:r>
          <w:rPr>
            <w:color w:val="231F20"/>
          </w:rPr>
          <w:t>Costs and prices in the</w:t>
        </w:r>
        <w:r>
          <w:rPr>
            <w:color w:val="231F20"/>
            <w:spacing w:val="-2"/>
          </w:rPr>
          <w:t> </w:t>
        </w:r>
        <w:r>
          <w:rPr>
            <w:color w:val="231F20"/>
          </w:rPr>
          <w:t>service sector</w:t>
        </w:r>
      </w:hyperlink>
      <w:r>
        <w:rPr>
          <w:color w:val="231F20"/>
        </w:rPr>
        <w:tab/>
      </w:r>
      <w:r>
        <w:rPr>
          <w:b w:val="0"/>
          <w:color w:val="231F20"/>
        </w:rPr>
        <w:t>34</w:t>
      </w:r>
    </w:p>
    <w:p>
      <w:pPr>
        <w:pStyle w:val="Heading3"/>
        <w:numPr>
          <w:ilvl w:val="1"/>
          <w:numId w:val="1"/>
        </w:numPr>
        <w:tabs>
          <w:tab w:pos="5939" w:val="left" w:leader="none"/>
          <w:tab w:pos="5940" w:val="left" w:leader="none"/>
          <w:tab w:pos="10279" w:val="right" w:leader="none"/>
        </w:tabs>
        <w:spacing w:line="240" w:lineRule="auto" w:before="44" w:after="0"/>
        <w:ind w:left="5939" w:right="0" w:hanging="561"/>
        <w:jc w:val="left"/>
        <w:rPr>
          <w:b w:val="0"/>
        </w:rPr>
      </w:pPr>
      <w:hyperlink w:history="true" w:anchor="_bookmark25">
        <w:r>
          <w:rPr>
            <w:color w:val="231F20"/>
          </w:rPr>
          <w:t>Costs and prices in manufacturing</w:t>
        </w:r>
      </w:hyperlink>
      <w:r>
        <w:rPr>
          <w:color w:val="231F20"/>
        </w:rPr>
        <w:tab/>
      </w:r>
      <w:r>
        <w:rPr>
          <w:b w:val="0"/>
          <w:color w:val="231F20"/>
        </w:rPr>
        <w:t>35</w:t>
      </w:r>
    </w:p>
    <w:p>
      <w:pPr>
        <w:pStyle w:val="Heading3"/>
        <w:numPr>
          <w:ilvl w:val="1"/>
          <w:numId w:val="1"/>
        </w:numPr>
        <w:tabs>
          <w:tab w:pos="5939" w:val="left" w:leader="none"/>
          <w:tab w:pos="5940" w:val="left" w:leader="none"/>
          <w:tab w:pos="10279" w:val="right" w:leader="none"/>
        </w:tabs>
        <w:spacing w:line="240" w:lineRule="auto" w:before="45" w:after="0"/>
        <w:ind w:left="5939" w:right="0" w:hanging="561"/>
        <w:jc w:val="left"/>
        <w:rPr>
          <w:b w:val="0"/>
        </w:rPr>
      </w:pPr>
      <w:hyperlink w:history="true" w:anchor="_bookmark25">
        <w:r>
          <w:rPr>
            <w:color w:val="231F20"/>
          </w:rPr>
          <w:t>Retail prices</w:t>
        </w:r>
      </w:hyperlink>
      <w:r>
        <w:rPr>
          <w:color w:val="231F20"/>
        </w:rPr>
        <w:tab/>
      </w:r>
      <w:r>
        <w:rPr>
          <w:b w:val="0"/>
          <w:color w:val="231F20"/>
        </w:rPr>
        <w:t>35</w:t>
      </w:r>
    </w:p>
    <w:p>
      <w:pPr>
        <w:pStyle w:val="Heading3"/>
        <w:numPr>
          <w:ilvl w:val="1"/>
          <w:numId w:val="1"/>
        </w:numPr>
        <w:tabs>
          <w:tab w:pos="5939" w:val="left" w:leader="none"/>
          <w:tab w:pos="5940" w:val="left" w:leader="none"/>
          <w:tab w:pos="10279" w:val="right" w:leader="none"/>
        </w:tabs>
        <w:spacing w:line="240" w:lineRule="auto" w:before="44" w:after="0"/>
        <w:ind w:left="5939" w:right="0" w:hanging="561"/>
        <w:jc w:val="left"/>
        <w:rPr>
          <w:b w:val="0"/>
        </w:rPr>
      </w:pPr>
      <w:hyperlink w:history="true" w:anchor="_bookmark26">
        <w:r>
          <w:rPr>
            <w:color w:val="231F20"/>
          </w:rPr>
          <w:t>Other price indices</w:t>
        </w:r>
      </w:hyperlink>
      <w:r>
        <w:rPr>
          <w:color w:val="231F20"/>
        </w:rPr>
        <w:tab/>
      </w:r>
      <w:r>
        <w:rPr>
          <w:b w:val="0"/>
          <w:color w:val="231F20"/>
        </w:rPr>
        <w:t>36</w:t>
      </w:r>
    </w:p>
    <w:p>
      <w:pPr>
        <w:pStyle w:val="Heading3"/>
        <w:numPr>
          <w:ilvl w:val="1"/>
          <w:numId w:val="1"/>
        </w:numPr>
        <w:tabs>
          <w:tab w:pos="5939" w:val="left" w:leader="none"/>
          <w:tab w:pos="5940" w:val="left" w:leader="none"/>
          <w:tab w:pos="10279" w:val="right" w:leader="none"/>
        </w:tabs>
        <w:spacing w:line="240" w:lineRule="auto" w:before="44" w:after="0"/>
        <w:ind w:left="5939" w:right="0" w:hanging="561"/>
        <w:jc w:val="left"/>
        <w:rPr>
          <w:b w:val="0"/>
        </w:rPr>
      </w:pPr>
      <w:hyperlink w:history="true" w:anchor="_bookmark26">
        <w:r>
          <w:rPr>
            <w:color w:val="231F20"/>
          </w:rPr>
          <w:t>Summary</w:t>
        </w:r>
      </w:hyperlink>
      <w:r>
        <w:rPr>
          <w:color w:val="231F20"/>
        </w:rPr>
        <w:tab/>
      </w:r>
      <w:r>
        <w:rPr>
          <w:b w:val="0"/>
          <w:color w:val="231F20"/>
        </w:rPr>
        <w:t>36</w:t>
      </w:r>
    </w:p>
    <w:p>
      <w:pPr>
        <w:pStyle w:val="ListParagraph"/>
        <w:numPr>
          <w:ilvl w:val="0"/>
          <w:numId w:val="1"/>
        </w:numPr>
        <w:tabs>
          <w:tab w:pos="5379" w:val="left" w:leader="none"/>
          <w:tab w:pos="5380" w:val="left" w:leader="none"/>
          <w:tab w:pos="10279" w:val="right" w:leader="none"/>
        </w:tabs>
        <w:spacing w:line="240" w:lineRule="auto" w:before="364" w:after="0"/>
        <w:ind w:left="5379" w:right="0" w:hanging="380"/>
        <w:jc w:val="left"/>
        <w:rPr>
          <w:sz w:val="24"/>
        </w:rPr>
      </w:pPr>
      <w:hyperlink w:history="true" w:anchor="_bookmark27">
        <w:r>
          <w:rPr>
            <w:b/>
            <w:color w:val="0093C1"/>
            <w:sz w:val="24"/>
          </w:rPr>
          <w:t>Monetary policy since the</w:t>
        </w:r>
        <w:r>
          <w:rPr>
            <w:b/>
            <w:color w:val="0093C1"/>
            <w:spacing w:val="-4"/>
            <w:sz w:val="24"/>
          </w:rPr>
          <w:t> </w:t>
        </w:r>
        <w:r>
          <w:rPr>
            <w:b/>
            <w:color w:val="0093C1"/>
            <w:sz w:val="24"/>
          </w:rPr>
          <w:t>August</w:t>
        </w:r>
        <w:r>
          <w:rPr>
            <w:b/>
            <w:color w:val="0093C1"/>
            <w:spacing w:val="-2"/>
            <w:sz w:val="24"/>
          </w:rPr>
          <w:t> </w:t>
        </w:r>
        <w:r>
          <w:rPr>
            <w:b/>
            <w:i/>
            <w:color w:val="0093C1"/>
            <w:sz w:val="24"/>
          </w:rPr>
          <w:t>Report</w:t>
        </w:r>
      </w:hyperlink>
      <w:r>
        <w:rPr>
          <w:b/>
          <w:i/>
          <w:color w:val="0093C1"/>
          <w:sz w:val="24"/>
        </w:rPr>
        <w:tab/>
      </w:r>
      <w:r>
        <w:rPr>
          <w:color w:val="231F20"/>
          <w:sz w:val="24"/>
        </w:rPr>
        <w:t>38</w:t>
      </w:r>
    </w:p>
    <w:p>
      <w:pPr>
        <w:pStyle w:val="Heading3"/>
        <w:numPr>
          <w:ilvl w:val="0"/>
          <w:numId w:val="1"/>
        </w:numPr>
        <w:tabs>
          <w:tab w:pos="5379" w:val="left" w:leader="none"/>
          <w:tab w:pos="5380" w:val="left" w:leader="none"/>
          <w:tab w:pos="10279" w:val="right" w:leader="none"/>
        </w:tabs>
        <w:spacing w:line="240" w:lineRule="auto" w:before="364" w:after="54"/>
        <w:ind w:left="5379" w:right="0" w:hanging="380"/>
        <w:jc w:val="left"/>
        <w:rPr>
          <w:b w:val="0"/>
        </w:rPr>
      </w:pPr>
      <w:hyperlink w:history="true" w:anchor="_bookmark28">
        <w:r>
          <w:rPr>
            <w:color w:val="0093C1"/>
          </w:rPr>
          <w:t>Prospects</w:t>
        </w:r>
        <w:r>
          <w:rPr>
            <w:color w:val="0093C1"/>
            <w:spacing w:val="-1"/>
          </w:rPr>
          <w:t> </w:t>
        </w:r>
        <w:r>
          <w:rPr>
            <w:color w:val="0093C1"/>
          </w:rPr>
          <w:t>for inflation</w:t>
        </w:r>
      </w:hyperlink>
      <w:r>
        <w:rPr>
          <w:color w:val="0093C1"/>
        </w:rPr>
        <w:tab/>
      </w:r>
      <w:r>
        <w:rPr>
          <w:b w:val="0"/>
          <w:color w:val="231F20"/>
        </w:rPr>
        <w:t>41</w:t>
      </w:r>
    </w:p>
    <w:tbl>
      <w:tblPr>
        <w:tblW w:w="0" w:type="auto"/>
        <w:jc w:val="left"/>
        <w:tblInd w:w="49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7"/>
        <w:gridCol w:w="4138"/>
        <w:gridCol w:w="386"/>
      </w:tblGrid>
      <w:tr>
        <w:trPr>
          <w:trHeight w:val="292" w:hRule="atLeast"/>
        </w:trPr>
        <w:tc>
          <w:tcPr>
            <w:tcW w:w="857" w:type="dxa"/>
          </w:tcPr>
          <w:p>
            <w:pPr>
              <w:pStyle w:val="TableParagraph"/>
              <w:spacing w:line="266" w:lineRule="exact"/>
              <w:ind w:right="125"/>
              <w:jc w:val="right"/>
              <w:rPr>
                <w:b/>
                <w:sz w:val="24"/>
              </w:rPr>
            </w:pPr>
            <w:r>
              <w:rPr>
                <w:b/>
                <w:color w:val="231F20"/>
                <w:sz w:val="24"/>
              </w:rPr>
              <w:t>6.1</w:t>
            </w:r>
          </w:p>
        </w:tc>
        <w:tc>
          <w:tcPr>
            <w:tcW w:w="4138" w:type="dxa"/>
          </w:tcPr>
          <w:p>
            <w:pPr>
              <w:pStyle w:val="TableParagraph"/>
              <w:spacing w:line="266" w:lineRule="exact"/>
              <w:ind w:left="132"/>
              <w:rPr>
                <w:b/>
                <w:sz w:val="24"/>
              </w:rPr>
            </w:pPr>
            <w:hyperlink w:history="true" w:anchor="_bookmark28">
              <w:r>
                <w:rPr>
                  <w:b/>
                  <w:color w:val="231F20"/>
                  <w:sz w:val="24"/>
                </w:rPr>
                <w:t>The inflation projection assumptions</w:t>
              </w:r>
            </w:hyperlink>
          </w:p>
        </w:tc>
        <w:tc>
          <w:tcPr>
            <w:tcW w:w="386" w:type="dxa"/>
          </w:tcPr>
          <w:p>
            <w:pPr>
              <w:pStyle w:val="TableParagraph"/>
              <w:spacing w:line="266" w:lineRule="exact"/>
              <w:ind w:left="75" w:right="31"/>
              <w:jc w:val="center"/>
              <w:rPr>
                <w:sz w:val="24"/>
              </w:rPr>
            </w:pPr>
            <w:r>
              <w:rPr>
                <w:color w:val="231F20"/>
                <w:sz w:val="24"/>
              </w:rPr>
              <w:t>41</w:t>
            </w:r>
          </w:p>
        </w:tc>
      </w:tr>
      <w:tr>
        <w:trPr>
          <w:trHeight w:val="319" w:hRule="atLeast"/>
        </w:trPr>
        <w:tc>
          <w:tcPr>
            <w:tcW w:w="857" w:type="dxa"/>
          </w:tcPr>
          <w:p>
            <w:pPr>
              <w:pStyle w:val="TableParagraph"/>
              <w:spacing w:before="17"/>
              <w:ind w:right="125"/>
              <w:jc w:val="right"/>
              <w:rPr>
                <w:b/>
                <w:sz w:val="24"/>
              </w:rPr>
            </w:pPr>
            <w:r>
              <w:rPr>
                <w:b/>
                <w:color w:val="231F20"/>
                <w:sz w:val="24"/>
              </w:rPr>
              <w:t>6.2</w:t>
            </w:r>
          </w:p>
        </w:tc>
        <w:tc>
          <w:tcPr>
            <w:tcW w:w="4138" w:type="dxa"/>
          </w:tcPr>
          <w:p>
            <w:pPr>
              <w:pStyle w:val="TableParagraph"/>
              <w:spacing w:before="17"/>
              <w:ind w:left="132"/>
              <w:rPr>
                <w:b/>
                <w:sz w:val="24"/>
              </w:rPr>
            </w:pPr>
            <w:hyperlink w:history="true" w:anchor="_bookmark29">
              <w:r>
                <w:rPr>
                  <w:b/>
                  <w:color w:val="231F20"/>
                  <w:sz w:val="24"/>
                </w:rPr>
                <w:t>The medium-term inflation projection</w:t>
              </w:r>
            </w:hyperlink>
          </w:p>
        </w:tc>
        <w:tc>
          <w:tcPr>
            <w:tcW w:w="386" w:type="dxa"/>
          </w:tcPr>
          <w:p>
            <w:pPr>
              <w:pStyle w:val="TableParagraph"/>
              <w:spacing w:before="17"/>
              <w:ind w:left="75" w:right="31"/>
              <w:jc w:val="center"/>
              <w:rPr>
                <w:sz w:val="24"/>
              </w:rPr>
            </w:pPr>
            <w:r>
              <w:rPr>
                <w:color w:val="231F20"/>
                <w:sz w:val="24"/>
              </w:rPr>
              <w:t>44</w:t>
            </w:r>
          </w:p>
        </w:tc>
      </w:tr>
      <w:tr>
        <w:trPr>
          <w:trHeight w:val="480" w:hRule="atLeast"/>
        </w:trPr>
        <w:tc>
          <w:tcPr>
            <w:tcW w:w="857" w:type="dxa"/>
          </w:tcPr>
          <w:p>
            <w:pPr>
              <w:pStyle w:val="TableParagraph"/>
              <w:spacing w:before="17"/>
              <w:ind w:right="125"/>
              <w:jc w:val="right"/>
              <w:rPr>
                <w:b/>
                <w:sz w:val="24"/>
              </w:rPr>
            </w:pPr>
            <w:r>
              <w:rPr>
                <w:b/>
                <w:color w:val="231F20"/>
                <w:sz w:val="24"/>
              </w:rPr>
              <w:t>6.3</w:t>
            </w:r>
          </w:p>
        </w:tc>
        <w:tc>
          <w:tcPr>
            <w:tcW w:w="4138" w:type="dxa"/>
          </w:tcPr>
          <w:p>
            <w:pPr>
              <w:pStyle w:val="TableParagraph"/>
              <w:spacing w:before="17"/>
              <w:ind w:left="132"/>
              <w:rPr>
                <w:b/>
                <w:sz w:val="24"/>
              </w:rPr>
            </w:pPr>
            <w:hyperlink w:history="true" w:anchor="_bookmark30">
              <w:r>
                <w:rPr>
                  <w:b/>
                  <w:color w:val="231F20"/>
                  <w:sz w:val="24"/>
                </w:rPr>
                <w:t>Other forecasts</w:t>
              </w:r>
            </w:hyperlink>
          </w:p>
        </w:tc>
        <w:tc>
          <w:tcPr>
            <w:tcW w:w="386" w:type="dxa"/>
          </w:tcPr>
          <w:p>
            <w:pPr>
              <w:pStyle w:val="TableParagraph"/>
              <w:spacing w:before="17"/>
              <w:ind w:left="75" w:right="31"/>
              <w:jc w:val="center"/>
              <w:rPr>
                <w:sz w:val="24"/>
              </w:rPr>
            </w:pPr>
            <w:r>
              <w:rPr>
                <w:color w:val="231F20"/>
                <w:sz w:val="24"/>
              </w:rPr>
              <w:t>50</w:t>
            </w:r>
          </w:p>
        </w:tc>
      </w:tr>
      <w:tr>
        <w:trPr>
          <w:trHeight w:val="799" w:hRule="atLeast"/>
        </w:trPr>
        <w:tc>
          <w:tcPr>
            <w:tcW w:w="857" w:type="dxa"/>
          </w:tcPr>
          <w:p>
            <w:pPr>
              <w:pStyle w:val="TableParagraph"/>
              <w:spacing w:before="177"/>
              <w:ind w:right="58"/>
              <w:jc w:val="right"/>
              <w:rPr>
                <w:b/>
                <w:sz w:val="24"/>
              </w:rPr>
            </w:pPr>
            <w:r>
              <w:rPr>
                <w:b/>
                <w:color w:val="0093C1"/>
                <w:sz w:val="24"/>
              </w:rPr>
              <w:t>Annex:</w:t>
            </w:r>
          </w:p>
        </w:tc>
        <w:tc>
          <w:tcPr>
            <w:tcW w:w="4138" w:type="dxa"/>
          </w:tcPr>
          <w:p>
            <w:pPr>
              <w:pStyle w:val="TableParagraph"/>
              <w:spacing w:line="320" w:lineRule="atLeast" w:before="133"/>
              <w:ind w:left="172" w:hanging="114"/>
              <w:rPr>
                <w:b/>
                <w:sz w:val="24"/>
              </w:rPr>
            </w:pPr>
            <w:hyperlink w:history="true" w:anchor="_bookmark31">
              <w:r>
                <w:rPr>
                  <w:b/>
                  <w:color w:val="0093C1"/>
                  <w:sz w:val="24"/>
                </w:rPr>
                <w:t>Minutes of the Monetary Policy Committee</w:t>
              </w:r>
            </w:hyperlink>
          </w:p>
        </w:tc>
        <w:tc>
          <w:tcPr>
            <w:tcW w:w="386" w:type="dxa"/>
          </w:tcPr>
          <w:p>
            <w:pPr>
              <w:pStyle w:val="TableParagraph"/>
              <w:rPr>
                <w:sz w:val="26"/>
              </w:rPr>
            </w:pPr>
          </w:p>
          <w:p>
            <w:pPr>
              <w:pStyle w:val="TableParagraph"/>
              <w:spacing w:before="198"/>
              <w:ind w:left="75" w:right="31"/>
              <w:jc w:val="center"/>
              <w:rPr>
                <w:sz w:val="24"/>
              </w:rPr>
            </w:pPr>
            <w:r>
              <w:rPr>
                <w:color w:val="231F20"/>
                <w:sz w:val="24"/>
              </w:rPr>
              <w:t>51</w:t>
            </w:r>
          </w:p>
        </w:tc>
      </w:tr>
      <w:tr>
        <w:trPr>
          <w:trHeight w:val="319" w:hRule="atLeast"/>
        </w:trPr>
        <w:tc>
          <w:tcPr>
            <w:tcW w:w="857" w:type="dxa"/>
          </w:tcPr>
          <w:p>
            <w:pPr>
              <w:pStyle w:val="TableParagraph"/>
              <w:rPr>
                <w:sz w:val="24"/>
              </w:rPr>
            </w:pPr>
          </w:p>
        </w:tc>
        <w:tc>
          <w:tcPr>
            <w:tcW w:w="4138" w:type="dxa"/>
          </w:tcPr>
          <w:p>
            <w:pPr>
              <w:pStyle w:val="TableParagraph"/>
              <w:spacing w:before="17"/>
              <w:ind w:left="133"/>
              <w:rPr>
                <w:b/>
                <w:sz w:val="24"/>
              </w:rPr>
            </w:pPr>
            <w:hyperlink w:history="true" w:anchor="_bookmark32">
              <w:r>
                <w:rPr>
                  <w:b/>
                  <w:color w:val="231F20"/>
                  <w:sz w:val="24"/>
                </w:rPr>
                <w:t>August meeting</w:t>
              </w:r>
            </w:hyperlink>
          </w:p>
        </w:tc>
        <w:tc>
          <w:tcPr>
            <w:tcW w:w="386" w:type="dxa"/>
          </w:tcPr>
          <w:p>
            <w:pPr>
              <w:pStyle w:val="TableParagraph"/>
              <w:spacing w:before="17"/>
              <w:ind w:left="75" w:right="31"/>
              <w:jc w:val="center"/>
              <w:rPr>
                <w:sz w:val="24"/>
              </w:rPr>
            </w:pPr>
            <w:r>
              <w:rPr>
                <w:color w:val="231F20"/>
                <w:sz w:val="24"/>
              </w:rPr>
              <w:t>53</w:t>
            </w:r>
          </w:p>
        </w:tc>
      </w:tr>
      <w:tr>
        <w:trPr>
          <w:trHeight w:val="319" w:hRule="atLeast"/>
        </w:trPr>
        <w:tc>
          <w:tcPr>
            <w:tcW w:w="857" w:type="dxa"/>
          </w:tcPr>
          <w:p>
            <w:pPr>
              <w:pStyle w:val="TableParagraph"/>
              <w:rPr>
                <w:sz w:val="24"/>
              </w:rPr>
            </w:pPr>
          </w:p>
        </w:tc>
        <w:tc>
          <w:tcPr>
            <w:tcW w:w="4138" w:type="dxa"/>
          </w:tcPr>
          <w:p>
            <w:pPr>
              <w:pStyle w:val="TableParagraph"/>
              <w:spacing w:before="17"/>
              <w:ind w:left="133"/>
              <w:rPr>
                <w:b/>
                <w:sz w:val="24"/>
              </w:rPr>
            </w:pPr>
            <w:hyperlink w:history="true" w:anchor="_bookmark33">
              <w:r>
                <w:rPr>
                  <w:b/>
                  <w:color w:val="231F20"/>
                  <w:sz w:val="24"/>
                </w:rPr>
                <w:t>September meeting</w:t>
              </w:r>
            </w:hyperlink>
          </w:p>
        </w:tc>
        <w:tc>
          <w:tcPr>
            <w:tcW w:w="386" w:type="dxa"/>
          </w:tcPr>
          <w:p>
            <w:pPr>
              <w:pStyle w:val="TableParagraph"/>
              <w:spacing w:before="17"/>
              <w:ind w:left="75" w:right="31"/>
              <w:jc w:val="center"/>
              <w:rPr>
                <w:sz w:val="24"/>
              </w:rPr>
            </w:pPr>
            <w:r>
              <w:rPr>
                <w:color w:val="231F20"/>
                <w:sz w:val="24"/>
              </w:rPr>
              <w:t>62</w:t>
            </w:r>
          </w:p>
        </w:tc>
      </w:tr>
      <w:tr>
        <w:trPr>
          <w:trHeight w:val="319" w:hRule="atLeast"/>
        </w:trPr>
        <w:tc>
          <w:tcPr>
            <w:tcW w:w="857" w:type="dxa"/>
          </w:tcPr>
          <w:p>
            <w:pPr>
              <w:pStyle w:val="TableParagraph"/>
              <w:rPr>
                <w:sz w:val="24"/>
              </w:rPr>
            </w:pPr>
          </w:p>
        </w:tc>
        <w:tc>
          <w:tcPr>
            <w:tcW w:w="4138" w:type="dxa"/>
          </w:tcPr>
          <w:p>
            <w:pPr>
              <w:pStyle w:val="TableParagraph"/>
              <w:spacing w:before="17"/>
              <w:ind w:left="133"/>
              <w:rPr>
                <w:b/>
                <w:sz w:val="24"/>
              </w:rPr>
            </w:pPr>
            <w:hyperlink w:history="true" w:anchor="_bookmark34">
              <w:r>
                <w:rPr>
                  <w:b/>
                  <w:color w:val="231F20"/>
                  <w:sz w:val="24"/>
                </w:rPr>
                <w:t>September Press Notice</w:t>
              </w:r>
            </w:hyperlink>
          </w:p>
        </w:tc>
        <w:tc>
          <w:tcPr>
            <w:tcW w:w="386" w:type="dxa"/>
          </w:tcPr>
          <w:p>
            <w:pPr>
              <w:pStyle w:val="TableParagraph"/>
              <w:spacing w:before="17"/>
              <w:ind w:left="75" w:right="31"/>
              <w:jc w:val="center"/>
              <w:rPr>
                <w:sz w:val="24"/>
              </w:rPr>
            </w:pPr>
            <w:r>
              <w:rPr>
                <w:color w:val="231F20"/>
                <w:sz w:val="24"/>
              </w:rPr>
              <w:t>69</w:t>
            </w:r>
          </w:p>
        </w:tc>
      </w:tr>
      <w:tr>
        <w:trPr>
          <w:trHeight w:val="319" w:hRule="atLeast"/>
        </w:trPr>
        <w:tc>
          <w:tcPr>
            <w:tcW w:w="857" w:type="dxa"/>
          </w:tcPr>
          <w:p>
            <w:pPr>
              <w:pStyle w:val="TableParagraph"/>
              <w:rPr>
                <w:sz w:val="24"/>
              </w:rPr>
            </w:pPr>
          </w:p>
        </w:tc>
        <w:tc>
          <w:tcPr>
            <w:tcW w:w="4138" w:type="dxa"/>
          </w:tcPr>
          <w:p>
            <w:pPr>
              <w:pStyle w:val="TableParagraph"/>
              <w:spacing w:before="17"/>
              <w:ind w:left="133"/>
              <w:rPr>
                <w:b/>
                <w:sz w:val="24"/>
              </w:rPr>
            </w:pPr>
            <w:hyperlink w:history="true" w:anchor="_bookmark35">
              <w:r>
                <w:rPr>
                  <w:b/>
                  <w:color w:val="231F20"/>
                  <w:sz w:val="24"/>
                </w:rPr>
                <w:t>October meeting</w:t>
              </w:r>
            </w:hyperlink>
          </w:p>
        </w:tc>
        <w:tc>
          <w:tcPr>
            <w:tcW w:w="386" w:type="dxa"/>
          </w:tcPr>
          <w:p>
            <w:pPr>
              <w:pStyle w:val="TableParagraph"/>
              <w:spacing w:before="17"/>
              <w:ind w:left="75" w:right="31"/>
              <w:jc w:val="center"/>
              <w:rPr>
                <w:sz w:val="24"/>
              </w:rPr>
            </w:pPr>
            <w:r>
              <w:rPr>
                <w:color w:val="231F20"/>
                <w:sz w:val="24"/>
              </w:rPr>
              <w:t>70</w:t>
            </w:r>
          </w:p>
        </w:tc>
      </w:tr>
      <w:tr>
        <w:trPr>
          <w:trHeight w:val="319" w:hRule="atLeast"/>
        </w:trPr>
        <w:tc>
          <w:tcPr>
            <w:tcW w:w="857" w:type="dxa"/>
          </w:tcPr>
          <w:p>
            <w:pPr>
              <w:pStyle w:val="TableParagraph"/>
              <w:rPr>
                <w:sz w:val="24"/>
              </w:rPr>
            </w:pPr>
          </w:p>
        </w:tc>
        <w:tc>
          <w:tcPr>
            <w:tcW w:w="4138" w:type="dxa"/>
          </w:tcPr>
          <w:p>
            <w:pPr>
              <w:pStyle w:val="TableParagraph"/>
              <w:spacing w:before="17"/>
              <w:ind w:left="133"/>
              <w:rPr>
                <w:b/>
                <w:sz w:val="24"/>
              </w:rPr>
            </w:pPr>
            <w:hyperlink w:history="true" w:anchor="_bookmark36">
              <w:r>
                <w:rPr>
                  <w:b/>
                  <w:color w:val="231F20"/>
                  <w:sz w:val="24"/>
                </w:rPr>
                <w:t>October Press Notice</w:t>
              </w:r>
            </w:hyperlink>
          </w:p>
        </w:tc>
        <w:tc>
          <w:tcPr>
            <w:tcW w:w="386" w:type="dxa"/>
          </w:tcPr>
          <w:p>
            <w:pPr>
              <w:pStyle w:val="TableParagraph"/>
              <w:spacing w:before="17"/>
              <w:ind w:left="75" w:right="31"/>
              <w:jc w:val="center"/>
              <w:rPr>
                <w:sz w:val="24"/>
              </w:rPr>
            </w:pPr>
            <w:r>
              <w:rPr>
                <w:color w:val="231F20"/>
                <w:sz w:val="24"/>
              </w:rPr>
              <w:t>78</w:t>
            </w:r>
          </w:p>
        </w:tc>
      </w:tr>
      <w:tr>
        <w:trPr>
          <w:trHeight w:val="292" w:hRule="atLeast"/>
        </w:trPr>
        <w:tc>
          <w:tcPr>
            <w:tcW w:w="857" w:type="dxa"/>
          </w:tcPr>
          <w:p>
            <w:pPr>
              <w:pStyle w:val="TableParagraph"/>
              <w:rPr>
                <w:sz w:val="22"/>
              </w:rPr>
            </w:pPr>
          </w:p>
        </w:tc>
        <w:tc>
          <w:tcPr>
            <w:tcW w:w="4138" w:type="dxa"/>
          </w:tcPr>
          <w:p>
            <w:pPr>
              <w:pStyle w:val="TableParagraph"/>
              <w:spacing w:line="256" w:lineRule="exact" w:before="17"/>
              <w:ind w:left="133"/>
              <w:rPr>
                <w:b/>
                <w:sz w:val="24"/>
              </w:rPr>
            </w:pPr>
            <w:hyperlink w:history="true" w:anchor="_bookmark37">
              <w:r>
                <w:rPr>
                  <w:b/>
                  <w:color w:val="231F20"/>
                  <w:sz w:val="24"/>
                </w:rPr>
                <w:t>November Press Notice</w:t>
              </w:r>
            </w:hyperlink>
          </w:p>
        </w:tc>
        <w:tc>
          <w:tcPr>
            <w:tcW w:w="386" w:type="dxa"/>
          </w:tcPr>
          <w:p>
            <w:pPr>
              <w:pStyle w:val="TableParagraph"/>
              <w:spacing w:line="256" w:lineRule="exact" w:before="17"/>
              <w:ind w:left="75" w:right="31"/>
              <w:jc w:val="center"/>
              <w:rPr>
                <w:sz w:val="24"/>
              </w:rPr>
            </w:pPr>
            <w:r>
              <w:rPr>
                <w:color w:val="231F20"/>
                <w:sz w:val="24"/>
              </w:rPr>
              <w:t>79</w:t>
            </w:r>
          </w:p>
        </w:tc>
      </w:tr>
    </w:tbl>
    <w:p>
      <w:pPr>
        <w:pStyle w:val="BodyText"/>
        <w:spacing w:before="7"/>
        <w:rPr>
          <w:sz w:val="31"/>
        </w:rPr>
      </w:pPr>
    </w:p>
    <w:p>
      <w:pPr>
        <w:tabs>
          <w:tab w:pos="10039" w:val="left" w:leader="none"/>
        </w:tabs>
        <w:spacing w:before="0"/>
        <w:ind w:left="5000" w:right="0" w:firstLine="0"/>
        <w:jc w:val="left"/>
        <w:rPr>
          <w:sz w:val="24"/>
        </w:rPr>
      </w:pPr>
      <w:hyperlink w:history="true" w:anchor="_bookmark38">
        <w:r>
          <w:rPr>
            <w:b/>
            <w:color w:val="0093C1"/>
            <w:sz w:val="24"/>
          </w:rPr>
          <w:t>Glossary and</w:t>
        </w:r>
        <w:r>
          <w:rPr>
            <w:b/>
            <w:color w:val="0093C1"/>
            <w:spacing w:val="-3"/>
            <w:sz w:val="24"/>
          </w:rPr>
          <w:t> </w:t>
        </w:r>
        <w:r>
          <w:rPr>
            <w:b/>
            <w:color w:val="0093C1"/>
            <w:sz w:val="24"/>
          </w:rPr>
          <w:t>other</w:t>
        </w:r>
        <w:r>
          <w:rPr>
            <w:b/>
            <w:color w:val="0093C1"/>
            <w:spacing w:val="-1"/>
            <w:sz w:val="24"/>
          </w:rPr>
          <w:t> </w:t>
        </w:r>
        <w:r>
          <w:rPr>
            <w:b/>
            <w:color w:val="0093C1"/>
            <w:sz w:val="24"/>
          </w:rPr>
          <w:t>information</w:t>
        </w:r>
      </w:hyperlink>
      <w:r>
        <w:rPr>
          <w:b/>
          <w:color w:val="0093C1"/>
          <w:sz w:val="24"/>
        </w:rPr>
        <w:tab/>
      </w:r>
      <w:r>
        <w:rPr>
          <w:color w:val="231F20"/>
          <w:sz w:val="24"/>
        </w:rPr>
        <w:t>80</w:t>
      </w:r>
    </w:p>
    <w:p>
      <w:pPr>
        <w:spacing w:after="0"/>
        <w:jc w:val="left"/>
        <w:rPr>
          <w:sz w:val="24"/>
        </w:rPr>
        <w:sectPr>
          <w:footerReference w:type="even" r:id="rId11"/>
          <w:pgSz w:w="11900" w:h="16840"/>
          <w:pgMar w:footer="0" w:header="0" w:top="980" w:bottom="280" w:left="620" w:right="520"/>
        </w:sectPr>
      </w:pPr>
    </w:p>
    <w:p>
      <w:pPr>
        <w:pStyle w:val="BodyText"/>
        <w:spacing w:line="20" w:lineRule="exact"/>
        <w:ind w:left="158"/>
        <w:rPr>
          <w:sz w:val="2"/>
        </w:rPr>
      </w:pPr>
      <w:r>
        <w:rPr>
          <w:sz w:val="2"/>
        </w:rPr>
        <w:pict>
          <v:group style="width:517pt;height:.15pt;mso-position-horizontal-relative:char;mso-position-vertical-relative:line" coordorigin="0,0" coordsize="10340,3">
            <v:line style="position:absolute" from="0,1" to="10340,1" stroked="true" strokeweight=".125pt" strokecolor="#000000">
              <v:stroke dashstyle="solid"/>
            </v:line>
          </v:group>
        </w:pict>
      </w:r>
      <w:r>
        <w:rPr>
          <w:sz w:val="2"/>
        </w:rPr>
      </w:r>
    </w:p>
    <w:p>
      <w:pPr>
        <w:pStyle w:val="BodyText"/>
        <w:rPr>
          <w:sz w:val="20"/>
        </w:rPr>
      </w:pPr>
    </w:p>
    <w:p>
      <w:pPr>
        <w:pStyle w:val="BodyText"/>
        <w:spacing w:before="10"/>
        <w:rPr>
          <w:sz w:val="17"/>
        </w:rPr>
      </w:pPr>
      <w:r>
        <w:rPr/>
        <w:pict>
          <v:shape style="position:absolute;margin-left:40.090pt;margin-top:11.500977pt;width:516pt;height:48pt;mso-position-horizontal-relative:page;mso-position-vertical-relative:paragraph;z-index:-15711232;mso-wrap-distance-left:0;mso-wrap-distance-right:0" type="#_x0000_t202" filled="true" fillcolor="#b5dad6" stroked="false">
            <v:textbox inset="0,0,0,0">
              <w:txbxContent>
                <w:p>
                  <w:pPr>
                    <w:tabs>
                      <w:tab w:pos="10099" w:val="right" w:leader="none"/>
                    </w:tabs>
                    <w:spacing w:before="51"/>
                    <w:ind w:left="260" w:right="0" w:firstLine="0"/>
                    <w:jc w:val="left"/>
                    <w:rPr>
                      <w:b/>
                      <w:sz w:val="72"/>
                    </w:rPr>
                  </w:pPr>
                  <w:bookmarkStart w:name="Money and financial markets" w:id="4"/>
                  <w:bookmarkEnd w:id="4"/>
                  <w:r>
                    <w:rPr/>
                  </w:r>
                  <w:bookmarkStart w:name="Money" w:id="5"/>
                  <w:bookmarkEnd w:id="5"/>
                  <w:r>
                    <w:rPr/>
                  </w:r>
                  <w:bookmarkStart w:name="_bookmark0" w:id="6"/>
                  <w:bookmarkEnd w:id="6"/>
                  <w:r>
                    <w:rPr/>
                  </w:r>
                  <w:r>
                    <w:rPr>
                      <w:b/>
                      <w:color w:val="009483"/>
                      <w:sz w:val="48"/>
                    </w:rPr>
                    <w:t>Money and</w:t>
                  </w:r>
                  <w:r>
                    <w:rPr>
                      <w:b/>
                      <w:color w:val="009483"/>
                      <w:spacing w:val="-2"/>
                      <w:sz w:val="48"/>
                    </w:rPr>
                    <w:t> </w:t>
                  </w:r>
                  <w:r>
                    <w:rPr>
                      <w:b/>
                      <w:color w:val="009483"/>
                      <w:sz w:val="48"/>
                    </w:rPr>
                    <w:t>financial markets</w:t>
                    <w:tab/>
                  </w:r>
                  <w:r>
                    <w:rPr>
                      <w:b/>
                      <w:color w:val="009483"/>
                      <w:sz w:val="72"/>
                    </w:rPr>
                    <w:t>1</w:t>
                  </w:r>
                </w:p>
              </w:txbxContent>
            </v:textbox>
            <v:fill type="solid"/>
            <w10:wrap type="topAndBottom"/>
          </v:shape>
        </w:pict>
      </w:r>
    </w:p>
    <w:p>
      <w:pPr>
        <w:pStyle w:val="BodyText"/>
        <w:rPr>
          <w:sz w:val="20"/>
        </w:rPr>
      </w:pPr>
    </w:p>
    <w:p>
      <w:pPr>
        <w:pStyle w:val="BodyText"/>
        <w:rPr>
          <w:sz w:val="20"/>
        </w:rPr>
      </w:pPr>
    </w:p>
    <w:p>
      <w:pPr>
        <w:spacing w:line="242" w:lineRule="auto" w:before="208"/>
        <w:ind w:left="4980" w:right="314" w:firstLine="0"/>
        <w:jc w:val="left"/>
        <w:rPr>
          <w:sz w:val="24"/>
        </w:rPr>
      </w:pPr>
      <w:r>
        <w:rPr>
          <w:sz w:val="24"/>
        </w:rPr>
        <w:t>Prices in world financial markets have moved sharply over the past three months. Equity prices fell to well below their July peaks, before recovering somewhat. Bond prices rose strongly in August and September, though prices of government bonds rose by more than those of corporate debt, reflecting a widening spread between their respective yields. There have been concerns in some countries about the possibility of a contraction in the supply of credit. There has also been substantial volatility in foreign exchange markets.</w:t>
      </w:r>
    </w:p>
    <w:p>
      <w:pPr>
        <w:spacing w:line="242" w:lineRule="auto" w:before="13"/>
        <w:ind w:left="4980" w:right="174" w:firstLine="0"/>
        <w:jc w:val="left"/>
        <w:rPr>
          <w:sz w:val="24"/>
        </w:rPr>
      </w:pPr>
      <w:r>
        <w:rPr>
          <w:sz w:val="24"/>
        </w:rPr>
        <w:t>Events in Russia triggered these developments, but the turbulence also reflected wider concerns about the financial position of emerging market economies, and the consequences for financial institutions, ranging from banks to hedge funds.</w:t>
      </w:r>
    </w:p>
    <w:p>
      <w:pPr>
        <w:pStyle w:val="BodyText"/>
        <w:spacing w:before="4"/>
        <w:rPr>
          <w:sz w:val="15"/>
        </w:rPr>
      </w:pPr>
    </w:p>
    <w:p>
      <w:pPr>
        <w:spacing w:after="0"/>
        <w:rPr>
          <w:sz w:val="15"/>
        </w:rPr>
        <w:sectPr>
          <w:footerReference w:type="default" r:id="rId12"/>
          <w:footerReference w:type="even" r:id="rId13"/>
          <w:pgSz w:w="11900" w:h="16840"/>
          <w:pgMar w:footer="617" w:header="0" w:top="780" w:bottom="800" w:left="620" w:right="520"/>
          <w:pgNumType w:start="3"/>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7"/>
        <w:spacing w:line="249" w:lineRule="auto" w:before="145"/>
        <w:ind w:right="20"/>
      </w:pPr>
      <w:r>
        <w:rPr>
          <w:color w:val="0093C1"/>
        </w:rPr>
        <w:t>Chart 1.1 Growth of M4</w:t>
      </w:r>
    </w:p>
    <w:p>
      <w:pPr>
        <w:pStyle w:val="BodyText"/>
        <w:spacing w:before="10" w:after="39"/>
        <w:rPr>
          <w:b/>
          <w:sz w:val="16"/>
        </w:rPr>
      </w:pPr>
    </w:p>
    <w:p>
      <w:pPr>
        <w:pStyle w:val="BodyText"/>
        <w:spacing w:line="20" w:lineRule="exact"/>
        <w:ind w:left="185"/>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4"/>
        <w:rPr>
          <w:b/>
          <w:sz w:val="11"/>
        </w:rPr>
      </w:pPr>
      <w:r>
        <w:rPr/>
        <w:pict>
          <v:shape style="position:absolute;margin-left:40.5pt;margin-top:8.760742pt;width:5pt;height:.1pt;mso-position-horizontal-relative:page;mso-position-vertical-relative:paragraph;z-index:-15710208;mso-wrap-distance-left:0;mso-wrap-distance-right:0" coordorigin="810,175" coordsize="100,0" path="m910,175l810,175e" filled="false" stroked="true" strokeweight=".5pt" strokecolor="#000000">
            <v:path arrowok="t"/>
            <v:stroke dashstyle="solid"/>
            <w10:wrap type="topAndBottom"/>
          </v:shape>
        </w:pict>
      </w:r>
    </w:p>
    <w:p>
      <w:pPr>
        <w:pStyle w:val="BodyText"/>
        <w:rPr>
          <w:b/>
          <w:sz w:val="20"/>
        </w:rPr>
      </w:pPr>
      <w:r>
        <w:rPr/>
        <w:br w:type="column"/>
      </w:r>
      <w:r>
        <w:rPr>
          <w:b/>
          <w:sz w:val="20"/>
        </w:rPr>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spacing w:before="125"/>
        <w:ind w:left="200" w:right="0" w:firstLine="0"/>
        <w:jc w:val="left"/>
        <w:rPr>
          <w:sz w:val="12"/>
        </w:rPr>
      </w:pPr>
      <w:r>
        <w:rPr>
          <w:sz w:val="12"/>
        </w:rPr>
        <w:t>Percentage changes on a year earlier</w:t>
      </w:r>
      <w:r>
        <w:rPr>
          <w:spacing w:val="-5"/>
          <w:sz w:val="12"/>
        </w:rPr>
        <w:t> </w:t>
      </w:r>
      <w:r>
        <w:rPr>
          <w:position w:val="-7"/>
          <w:sz w:val="12"/>
        </w:rPr>
        <w:t>20</w:t>
      </w:r>
    </w:p>
    <w:p>
      <w:pPr>
        <w:spacing w:before="162"/>
        <w:ind w:left="0" w:right="38" w:firstLine="0"/>
        <w:jc w:val="right"/>
        <w:rPr>
          <w:sz w:val="12"/>
        </w:rPr>
      </w:pPr>
      <w:r>
        <w:rPr/>
        <w:pict>
          <v:group style="position:absolute;margin-left:40.5pt;margin-top:10.701761pt;width:165pt;height:115pt;mso-position-horizontal-relative:page;mso-position-vertical-relative:paragraph;z-index:15747584" coordorigin="810,214" coordsize="3300,2300">
            <v:shape style="position:absolute;left:970;top:224;width:3020;height:2280" coordorigin="970,224" coordsize="3020,2280" path="m970,224l990,244,1030,304,1050,344,1090,364,1110,424,1130,524,1170,644,1190,764,1230,864,1250,864,1290,1164,1310,1304,1350,1404,1370,1524,1410,1564,1430,1644,1450,1824,1490,1864,1510,1924,1550,1964,1570,2064,1610,2164,1630,2044,1710,2124,1750,2144,1770,2204,1810,2184,1830,2144,1870,2184,1890,2224,1930,2144,1950,2284,1970,2404,2030,2464,2070,2464,2090,2484,2130,2444,2150,2504,2190,2484,2210,2484,2250,2464,2270,2424,2290,2304,2330,2264,2350,2184,2390,2144,2410,2104,2450,2104,2470,2164,2510,2144,2530,2224,2550,2244,2590,2184,2610,2304,2670,2244,2710,2264,2730,2244,2770,2124,2790,2084,2810,1984,2850,1924,2870,1724,2910,1684,2930,1704,2970,1584,2990,1564,3030,1464,3050,1364,3090,1464,3110,1484,3130,1444,3170,1484,3190,1464,3230,1604,3250,1504,3290,1444,3310,1364,3350,1324,3370,1504,3390,1444,3430,1284,3450,1284,3490,1384,3510,1244,3570,1184,3610,1204,3630,1224,3650,1324,3690,1364,3710,1204,3750,1344,3770,1384,3810,1504,3830,1384,3870,1564,3890,1604,3930,1464,3950,1644,3990,1604e" filled="false" stroked="true" strokeweight="1pt" strokecolor="#ed1b2d">
              <v:path arrowok="t"/>
              <v:stroke dashstyle="solid"/>
            </v:shape>
            <v:shape style="position:absolute;left:810;top:244;width:3300;height:2120" coordorigin="810,244" coordsize="3300,2120" path="m910,2364l810,2364m910,2044l810,2044m910,1764l810,1764m910,1444l810,1444m910,1144l810,1144m910,844l810,844m910,544l810,544m910,244l810,244m4110,2364l4030,2364m4110,2044l4030,2044m4110,1764l4030,1764m4110,1444l4030,1444m4110,1144l4030,1144m4110,844l4030,844m4110,544l4030,544m4110,244l4030,244e" filled="false" stroked="true" strokeweight=".5pt" strokecolor="#000000">
              <v:path arrowok="t"/>
              <v:stroke dashstyle="solid"/>
            </v:shape>
            <w10:wrap type="none"/>
          </v:group>
        </w:pict>
      </w:r>
      <w:r>
        <w:rPr/>
        <w:pict>
          <v:line style="position:absolute;mso-position-horizontal-relative:page;mso-position-vertical-relative:paragraph;z-index:-21739520" from="205.5pt,-2.798239pt" to="201.5pt,-2.798239pt" stroked="true" strokeweight=".5pt" strokecolor="#000000">
            <v:stroke dashstyle="solid"/>
            <w10:wrap type="none"/>
          </v:line>
        </w:pict>
      </w:r>
      <w:r>
        <w:rPr>
          <w:sz w:val="12"/>
        </w:rPr>
        <w:t>18</w:t>
      </w:r>
    </w:p>
    <w:p>
      <w:pPr>
        <w:pStyle w:val="BodyText"/>
        <w:rPr>
          <w:sz w:val="14"/>
        </w:rPr>
      </w:pPr>
    </w:p>
    <w:p>
      <w:pPr>
        <w:spacing w:before="1"/>
        <w:ind w:left="0" w:right="38" w:firstLine="0"/>
        <w:jc w:val="right"/>
        <w:rPr>
          <w:sz w:val="12"/>
        </w:rPr>
      </w:pPr>
      <w:r>
        <w:rPr>
          <w:sz w:val="12"/>
        </w:rPr>
        <w:t>16</w:t>
      </w:r>
    </w:p>
    <w:p>
      <w:pPr>
        <w:pStyle w:val="BodyText"/>
        <w:rPr>
          <w:sz w:val="14"/>
        </w:rPr>
      </w:pPr>
    </w:p>
    <w:p>
      <w:pPr>
        <w:spacing w:before="1"/>
        <w:ind w:left="0" w:right="38" w:firstLine="0"/>
        <w:jc w:val="right"/>
        <w:rPr>
          <w:sz w:val="12"/>
        </w:rPr>
      </w:pPr>
      <w:r>
        <w:rPr>
          <w:sz w:val="12"/>
        </w:rPr>
        <w:t>14</w:t>
      </w:r>
    </w:p>
    <w:p>
      <w:pPr>
        <w:pStyle w:val="BodyText"/>
        <w:rPr>
          <w:sz w:val="14"/>
        </w:rPr>
      </w:pPr>
    </w:p>
    <w:p>
      <w:pPr>
        <w:spacing w:before="1"/>
        <w:ind w:left="0" w:right="38" w:firstLine="0"/>
        <w:jc w:val="right"/>
        <w:rPr>
          <w:sz w:val="12"/>
        </w:rPr>
      </w:pPr>
      <w:r>
        <w:rPr>
          <w:sz w:val="12"/>
        </w:rPr>
        <w:t>12</w:t>
      </w:r>
    </w:p>
    <w:p>
      <w:pPr>
        <w:pStyle w:val="BodyText"/>
        <w:rPr>
          <w:sz w:val="14"/>
        </w:rPr>
      </w:pPr>
    </w:p>
    <w:p>
      <w:pPr>
        <w:spacing w:before="1"/>
        <w:ind w:left="0" w:right="38" w:firstLine="0"/>
        <w:jc w:val="right"/>
        <w:rPr>
          <w:sz w:val="12"/>
        </w:rPr>
      </w:pPr>
      <w:r>
        <w:rPr>
          <w:sz w:val="12"/>
        </w:rPr>
        <w:t>10</w:t>
      </w:r>
    </w:p>
    <w:p>
      <w:pPr>
        <w:pStyle w:val="BodyText"/>
        <w:spacing w:before="9"/>
        <w:rPr>
          <w:sz w:val="15"/>
        </w:rPr>
      </w:pPr>
    </w:p>
    <w:p>
      <w:pPr>
        <w:spacing w:before="0"/>
        <w:ind w:left="0" w:right="38" w:firstLine="0"/>
        <w:jc w:val="right"/>
        <w:rPr>
          <w:sz w:val="12"/>
        </w:rPr>
      </w:pPr>
      <w:r>
        <w:rPr>
          <w:sz w:val="12"/>
        </w:rPr>
        <w:t>8</w:t>
      </w:r>
    </w:p>
    <w:p>
      <w:pPr>
        <w:pStyle w:val="BodyText"/>
        <w:spacing w:before="4"/>
        <w:rPr>
          <w:sz w:val="12"/>
        </w:rPr>
      </w:pPr>
    </w:p>
    <w:p>
      <w:pPr>
        <w:spacing w:before="0"/>
        <w:ind w:left="0" w:right="38" w:firstLine="0"/>
        <w:jc w:val="right"/>
        <w:rPr>
          <w:sz w:val="12"/>
        </w:rPr>
      </w:pPr>
      <w:r>
        <w:rPr>
          <w:sz w:val="12"/>
        </w:rPr>
        <w:t>6</w:t>
      </w:r>
    </w:p>
    <w:p>
      <w:pPr>
        <w:pStyle w:val="BodyText"/>
        <w:spacing w:before="10"/>
        <w:rPr>
          <w:sz w:val="15"/>
        </w:rPr>
      </w:pPr>
    </w:p>
    <w:p>
      <w:pPr>
        <w:spacing w:before="0"/>
        <w:ind w:left="0" w:right="38" w:firstLine="0"/>
        <w:jc w:val="right"/>
        <w:rPr>
          <w:sz w:val="12"/>
        </w:rPr>
      </w:pPr>
      <w:r>
        <w:rPr>
          <w:sz w:val="12"/>
        </w:rPr>
        <w:t>4</w:t>
      </w:r>
    </w:p>
    <w:p>
      <w:pPr>
        <w:pStyle w:val="BodyText"/>
        <w:spacing w:before="1"/>
        <w:rPr>
          <w:sz w:val="14"/>
        </w:rPr>
      </w:pPr>
    </w:p>
    <w:p>
      <w:pPr>
        <w:spacing w:before="0"/>
        <w:ind w:left="0" w:right="38" w:firstLine="0"/>
        <w:jc w:val="right"/>
        <w:rPr>
          <w:sz w:val="12"/>
        </w:rPr>
      </w:pPr>
      <w:r>
        <w:rPr/>
        <w:pict>
          <v:line style="position:absolute;mso-position-horizontal-relative:page;mso-position-vertical-relative:paragraph;z-index:15748608" from="205.5pt,4.101563pt" to="201.5pt,4.101563pt" stroked="true" strokeweight=".5pt" strokecolor="#000000">
            <v:stroke dashstyle="solid"/>
            <w10:wrap type="none"/>
          </v:line>
        </w:pict>
      </w:r>
      <w:r>
        <w:rPr>
          <w:sz w:val="12"/>
        </w:rPr>
        <w:t>2</w:t>
      </w:r>
    </w:p>
    <w:p>
      <w:pPr>
        <w:pStyle w:val="BodyText"/>
        <w:spacing w:before="1"/>
        <w:rPr>
          <w:sz w:val="14"/>
        </w:rPr>
      </w:pPr>
    </w:p>
    <w:p>
      <w:pPr>
        <w:spacing w:line="105" w:lineRule="exact" w:before="0"/>
        <w:ind w:left="0" w:right="38" w:firstLine="0"/>
        <w:jc w:val="right"/>
        <w:rPr>
          <w:sz w:val="12"/>
        </w:rPr>
      </w:pPr>
      <w:r>
        <w:rPr/>
        <w:pict>
          <v:shape style="position:absolute;margin-left:40.5pt;margin-top:-.898438pt;width:165pt;height:5pt;mso-position-horizontal-relative:page;mso-position-vertical-relative:paragraph;z-index:15748096" coordorigin="810,-18" coordsize="3300,100" path="m910,82l810,82m4110,82l4030,82m970,82l3970,82m970,82l970,22m1050,82l1050,22m1130,82l1130,22m1230,82l1230,22m1310,82l1310,22m1410,82l1410,22m1490,82l1490,22m1570,82l1570,22m1670,82l1670,22m1750,82l1750,22m1830,82l1830,22m1930,82l1930,22m2010,82l2010,22m2090,82l2090,22m2190,82l2190,22m2270,82l2270,22m2350,82l2350,22m2450,82l2450,22m2530,82l2530,22m2610,82l2610,22m2710,82l2710,22m2790,82l2790,22m2870,82l2870,22m2970,82l2970,22m3050,82l3050,22m3130,82l3130,22m3230,82l3230,22m3310,82l3310,22m3390,82l3390,22m3490,82l3490,22m3570,82l3570,22m3650,82l3650,22m3750,82l3750,22m3830,82l3830,22m3930,82l3930,22m970,82l970,-18m1310,82l1310,-18m1670,82l1670,-18m2010,82l2010,-18m2350,82l2350,-18m2710,82l2710,-18m3050,82l3050,-18m3390,82l3390,-18m3750,82l3750,-18e" filled="false" stroked="true" strokeweight=".5pt" strokecolor="#000000">
            <v:path arrowok="t"/>
            <v:stroke dashstyle="solid"/>
            <w10:wrap type="none"/>
          </v:shape>
        </w:pict>
      </w:r>
      <w:r>
        <w:rPr>
          <w:sz w:val="12"/>
        </w:rPr>
        <w:t>0</w:t>
      </w:r>
    </w:p>
    <w:p>
      <w:pPr>
        <w:pStyle w:val="Heading4"/>
        <w:spacing w:line="242" w:lineRule="auto" w:before="90"/>
        <w:ind w:right="273"/>
      </w:pPr>
      <w:r>
        <w:rPr/>
        <w:br w:type="column"/>
      </w:r>
      <w:r>
        <w:rPr/>
        <w:t>In the United Kingdom, equity prices fell sharply by around 25% between their July peak and early October. But they </w:t>
      </w:r>
      <w:r>
        <w:rPr>
          <w:spacing w:val="-3"/>
        </w:rPr>
        <w:t>have </w:t>
      </w:r>
      <w:r>
        <w:rPr/>
        <w:t>since recovered strongly. While equity prices fell, gilt prices rose: the ten-year redemption </w:t>
      </w:r>
      <w:r>
        <w:rPr>
          <w:spacing w:val="-4"/>
        </w:rPr>
        <w:t>yield </w:t>
      </w:r>
      <w:r>
        <w:rPr/>
        <w:t>on gilts fell to 4.5% on 5 October, before rebounding to 5.2% on 12 October. It subsequently fell slightly, and was 5.0% on 4 </w:t>
      </w:r>
      <w:r>
        <w:rPr>
          <w:spacing w:val="-3"/>
        </w:rPr>
        <w:t>November. Yield </w:t>
      </w:r>
      <w:r>
        <w:rPr/>
        <w:t>spreads on corporate sector debt over gilts rose sharply from August. After peaking in early October, they now appear to be falling, though on 4 November they were still higher than when concerns about the effects of the Asian crisis were at their height last </w:t>
      </w:r>
      <w:r>
        <w:rPr>
          <w:spacing w:val="-3"/>
        </w:rPr>
        <w:t>year. </w:t>
      </w:r>
      <w:r>
        <w:rPr/>
        <w:t>Nevertheless, data for September suggested that credit, notably to the UK corporate sector, continued to grow </w:t>
      </w:r>
      <w:r>
        <w:rPr>
          <w:spacing w:val="-3"/>
        </w:rPr>
        <w:t>robustly.</w:t>
      </w:r>
    </w:p>
    <w:p>
      <w:pPr>
        <w:pStyle w:val="BodyText"/>
        <w:spacing w:before="2"/>
        <w:rPr>
          <w:sz w:val="24"/>
        </w:rPr>
      </w:pPr>
    </w:p>
    <w:p>
      <w:pPr>
        <w:spacing w:line="242" w:lineRule="auto" w:before="0"/>
        <w:ind w:left="200" w:right="221" w:firstLine="0"/>
        <w:jc w:val="left"/>
        <w:rPr>
          <w:sz w:val="24"/>
        </w:rPr>
      </w:pPr>
      <w:r>
        <w:rPr>
          <w:sz w:val="24"/>
        </w:rPr>
        <w:t>The MPC decided to cut the Bank of England’s official </w:t>
      </w:r>
      <w:hyperlink w:history="true" w:anchor="_bookmark35">
        <w:r>
          <w:rPr>
            <w:sz w:val="24"/>
          </w:rPr>
          <w:t>repo rate by 0.25% at its October meeting.</w:t>
        </w:r>
      </w:hyperlink>
      <w:r>
        <w:rPr>
          <w:sz w:val="24"/>
        </w:rPr>
        <w:t> And at its November meeting, the MPC voted to reduce the Bank’s repo rate by 0.50% to 6.75%.</w:t>
      </w:r>
    </w:p>
    <w:p>
      <w:pPr>
        <w:pStyle w:val="BodyText"/>
        <w:spacing w:before="5"/>
        <w:rPr>
          <w:sz w:val="28"/>
        </w:rPr>
      </w:pPr>
    </w:p>
    <w:p>
      <w:pPr>
        <w:pStyle w:val="ListParagraph"/>
        <w:numPr>
          <w:ilvl w:val="1"/>
          <w:numId w:val="2"/>
        </w:numPr>
        <w:tabs>
          <w:tab w:pos="4655" w:val="left" w:leader="none"/>
          <w:tab w:pos="4656" w:val="left" w:leader="none"/>
          <w:tab w:pos="5719" w:val="left" w:leader="none"/>
        </w:tabs>
        <w:spacing w:line="240" w:lineRule="auto" w:before="0" w:after="0"/>
        <w:ind w:left="4655" w:right="0" w:hanging="4456"/>
        <w:jc w:val="left"/>
        <w:rPr>
          <w:b/>
          <w:sz w:val="28"/>
        </w:rPr>
      </w:pPr>
      <w:r>
        <w:rPr>
          <w:b/>
          <w:color w:val="009483"/>
          <w:sz w:val="28"/>
          <w:u w:val="thick" w:color="0093C1"/>
        </w:rPr>
        <w:t>Money</w:t>
        <w:tab/>
      </w:r>
    </w:p>
    <w:p>
      <w:pPr>
        <w:pStyle w:val="BodyText"/>
        <w:rPr>
          <w:b/>
          <w:sz w:val="24"/>
        </w:rPr>
      </w:pPr>
    </w:p>
    <w:p>
      <w:pPr>
        <w:spacing w:line="242" w:lineRule="auto" w:before="0"/>
        <w:ind w:left="200" w:right="221" w:firstLine="0"/>
        <w:jc w:val="left"/>
        <w:rPr>
          <w:sz w:val="24"/>
        </w:rPr>
      </w:pPr>
      <w:r>
        <w:rPr>
          <w:sz w:val="24"/>
        </w:rPr>
        <w:t>Year-on-year broad money growth has continued to moderate (see Chart 1.1). Nevertheless, it still grew by 9.0% in September on a year earlier, compared with the annual growth in nominal demand of 5.4% in Q2. Broad money has been growing considerably faster than</w:t>
      </w:r>
    </w:p>
    <w:p>
      <w:pPr>
        <w:spacing w:after="0" w:line="242" w:lineRule="auto"/>
        <w:jc w:val="left"/>
        <w:rPr>
          <w:sz w:val="24"/>
        </w:rPr>
        <w:sectPr>
          <w:type w:val="continuous"/>
          <w:pgSz w:w="11900" w:h="16840"/>
          <w:pgMar w:top="1220" w:bottom="280" w:left="620" w:right="520"/>
          <w:cols w:num="3" w:equalWidth="0">
            <w:col w:w="1462" w:space="83"/>
            <w:col w:w="2135" w:space="1100"/>
            <w:col w:w="5980"/>
          </w:cols>
        </w:sectPr>
      </w:pPr>
    </w:p>
    <w:p>
      <w:pPr>
        <w:tabs>
          <w:tab w:pos="803" w:val="left" w:leader="none"/>
          <w:tab w:pos="1143" w:val="left" w:leader="none"/>
          <w:tab w:pos="1483" w:val="left" w:leader="none"/>
          <w:tab w:pos="1843" w:val="left" w:leader="none"/>
          <w:tab w:pos="2183" w:val="left" w:leader="none"/>
          <w:tab w:pos="2523" w:val="left" w:leader="none"/>
          <w:tab w:pos="2883" w:val="left" w:leader="none"/>
        </w:tabs>
        <w:spacing w:line="129" w:lineRule="exact" w:before="0"/>
        <w:ind w:left="353" w:right="0" w:firstLine="0"/>
        <w:jc w:val="left"/>
        <w:rPr>
          <w:sz w:val="12"/>
        </w:rPr>
      </w:pPr>
      <w:r>
        <w:rPr>
          <w:sz w:val="12"/>
        </w:rPr>
        <w:t>1990</w:t>
        <w:tab/>
        <w:t>91</w:t>
        <w:tab/>
        <w:t>92</w:t>
        <w:tab/>
        <w:t>93</w:t>
        <w:tab/>
        <w:t>94</w:t>
        <w:tab/>
        <w:t>95</w:t>
        <w:tab/>
        <w:t>96</w:t>
        <w:tab/>
        <w:t>97</w:t>
      </w:r>
      <w:r>
        <w:rPr>
          <w:spacing w:val="13"/>
          <w:sz w:val="12"/>
        </w:rPr>
        <w:t> </w:t>
      </w:r>
      <w:r>
        <w:rPr>
          <w:sz w:val="12"/>
        </w:rPr>
        <w:t>98</w:t>
      </w:r>
    </w:p>
    <w:p>
      <w:pPr>
        <w:pStyle w:val="BodyText"/>
        <w:spacing w:before="10"/>
        <w:rPr>
          <w:sz w:val="10"/>
        </w:rPr>
      </w:pPr>
    </w:p>
    <w:p>
      <w:pPr>
        <w:spacing w:before="1"/>
        <w:ind w:left="200" w:right="0" w:firstLine="0"/>
        <w:jc w:val="left"/>
        <w:rPr>
          <w:sz w:val="12"/>
        </w:rPr>
      </w:pPr>
      <w:r>
        <w:rPr>
          <w:sz w:val="12"/>
        </w:rPr>
        <w:t>Source: Bank of England.</w:t>
      </w:r>
    </w:p>
    <w:p>
      <w:pPr>
        <w:pStyle w:val="Heading4"/>
        <w:spacing w:line="242" w:lineRule="auto" w:before="6"/>
        <w:ind w:right="221"/>
      </w:pPr>
      <w:r>
        <w:rPr/>
        <w:br w:type="column"/>
      </w:r>
      <w:r>
        <w:rPr/>
        <w:t>nominal expenditure for much of the period since 1980, suggesting that portfolio motives have played an</w:t>
      </w:r>
    </w:p>
    <w:p>
      <w:pPr>
        <w:spacing w:after="0" w:line="242" w:lineRule="auto"/>
        <w:sectPr>
          <w:type w:val="continuous"/>
          <w:pgSz w:w="11900" w:h="16840"/>
          <w:pgMar w:top="1220" w:bottom="280" w:left="620" w:right="520"/>
          <w:cols w:num="2" w:equalWidth="0">
            <w:col w:w="3357" w:space="1423"/>
            <w:col w:w="5980"/>
          </w:cols>
        </w:sectPr>
      </w:pPr>
    </w:p>
    <w:p>
      <w:pPr>
        <w:pStyle w:val="BodyText"/>
        <w:rPr>
          <w:sz w:val="20"/>
        </w:rPr>
      </w:pPr>
    </w:p>
    <w:p>
      <w:pPr>
        <w:spacing w:after="0"/>
        <w:rPr>
          <w:sz w:val="20"/>
        </w:rPr>
        <w:sectPr>
          <w:headerReference w:type="even" r:id="rId14"/>
          <w:headerReference w:type="default" r:id="rId15"/>
          <w:pgSz w:w="11900" w:h="16840"/>
          <w:pgMar w:header="586" w:footer="597" w:top="780" w:bottom="780" w:left="620" w:right="520"/>
        </w:sectPr>
      </w:pPr>
    </w:p>
    <w:p>
      <w:pPr>
        <w:pStyle w:val="BodyText"/>
        <w:spacing w:before="3"/>
        <w:rPr>
          <w:sz w:val="22"/>
        </w:rPr>
      </w:pPr>
    </w:p>
    <w:p>
      <w:pPr>
        <w:pStyle w:val="Heading7"/>
        <w:spacing w:before="0"/>
        <w:ind w:left="214"/>
      </w:pPr>
      <w:bookmarkStart w:name="Other financial corporations" w:id="7"/>
      <w:bookmarkEnd w:id="7"/>
      <w:r>
        <w:rPr>
          <w:b w:val="0"/>
        </w:rPr>
      </w:r>
      <w:bookmarkStart w:name="Household sector" w:id="8"/>
      <w:bookmarkEnd w:id="8"/>
      <w:r>
        <w:rPr>
          <w:b w:val="0"/>
        </w:rPr>
      </w:r>
      <w:bookmarkStart w:name="_bookmark1" w:id="9"/>
      <w:bookmarkEnd w:id="9"/>
      <w:r>
        <w:rPr>
          <w:b w:val="0"/>
        </w:rPr>
      </w:r>
      <w:r>
        <w:rPr>
          <w:color w:val="0093C1"/>
        </w:rPr>
        <w:t>Chart 1.2</w:t>
      </w:r>
    </w:p>
    <w:p>
      <w:pPr>
        <w:spacing w:line="249" w:lineRule="auto" w:before="10"/>
        <w:ind w:left="214" w:right="40" w:firstLine="0"/>
        <w:jc w:val="left"/>
        <w:rPr>
          <w:b/>
          <w:sz w:val="20"/>
        </w:rPr>
      </w:pPr>
      <w:r>
        <w:rPr>
          <w:b/>
          <w:color w:val="0093C1"/>
          <w:sz w:val="20"/>
        </w:rPr>
        <w:t>Contributions to annual growth in OFCs’ M4 deposits</w:t>
      </w:r>
    </w:p>
    <w:p>
      <w:pPr>
        <w:spacing w:before="124"/>
        <w:ind w:left="2122" w:right="0" w:firstLine="0"/>
        <w:jc w:val="left"/>
        <w:rPr>
          <w:sz w:val="12"/>
        </w:rPr>
      </w:pPr>
      <w:r>
        <w:rPr/>
        <w:pict>
          <v:line style="position:absolute;mso-position-horizontal-relative:page;mso-position-vertical-relative:paragraph;z-index:15751168" from="46.887001pt,14.301555pt" to="41.887001pt,14.301555pt" stroked="true" strokeweight=".5pt" strokecolor="#000000">
            <v:stroke dashstyle="solid"/>
            <w10:wrap type="none"/>
          </v:line>
        </w:pict>
      </w:r>
      <w:r>
        <w:rPr/>
        <w:pict>
          <v:line style="position:absolute;mso-position-horizontal-relative:page;mso-position-vertical-relative:paragraph;z-index:-21736960" from="207.886993pt,14.301555pt" to="202.886993pt,14.301555pt" stroked="true" strokeweight=".5pt" strokecolor="#000000">
            <v:stroke dashstyle="solid"/>
            <w10:wrap type="none"/>
          </v:line>
        </w:pict>
      </w:r>
      <w:r>
        <w:rPr>
          <w:sz w:val="12"/>
        </w:rPr>
        <w:t>Percentage point contribution</w:t>
      </w:r>
      <w:r>
        <w:rPr>
          <w:spacing w:val="1"/>
          <w:sz w:val="12"/>
        </w:rPr>
        <w:t> </w:t>
      </w:r>
      <w:r>
        <w:rPr>
          <w:position w:val="-8"/>
          <w:sz w:val="12"/>
        </w:rPr>
        <w:t>20.0</w:t>
      </w:r>
    </w:p>
    <w:p>
      <w:pPr>
        <w:spacing w:before="138"/>
        <w:ind w:left="0" w:right="38" w:firstLine="0"/>
        <w:jc w:val="right"/>
        <w:rPr>
          <w:sz w:val="12"/>
        </w:rPr>
      </w:pPr>
      <w:r>
        <w:rPr/>
        <w:pict>
          <v:group style="position:absolute;margin-left:41.887001pt;margin-top:10.416777pt;width:166pt;height:137.5pt;mso-position-horizontal-relative:page;mso-position-vertical-relative:paragraph;z-index:-21737984" coordorigin="838,208" coordsize="3320,2750">
            <v:line style="position:absolute" from="998,2133" to="3998,2133" stroked="true" strokeweight=".5pt" strokecolor="#000000">
              <v:stroke dashstyle="solid"/>
            </v:line>
            <v:shape style="position:absolute;left:997;top:353;width:3020;height:2120" coordorigin="998,353" coordsize="3020,2120" path="m998,1193l1118,1313,1238,1753,1358,2473,1478,1793,1598,1553,1718,1753,1838,913,1958,1413,2078,1113,2198,1493,2318,1653,2438,1453,2558,1533,2678,1033,2798,693,2918,773,3038,1293,3178,1753,3298,1593,3398,473,3518,353,3658,513,3778,933,3898,813,4018,593e" filled="false" stroked="true" strokeweight="1pt" strokecolor="#ac6e90">
              <v:path arrowok="t"/>
              <v:stroke dashstyle="solid"/>
            </v:shape>
            <v:shape style="position:absolute;left:997;top:293;width:3020;height:2540" coordorigin="998,293" coordsize="3020,2540" path="m998,2833l1118,2793,1358,1593,1478,1773,1598,2053,1718,1813,1838,2073,1958,2073,2078,2033,2198,2133,2318,1873,2438,1513,2558,833,2678,673,2798,793,2918,1073,3038,933,3178,293,3298,453,3398,833,3518,973,3658,1693,3778,1653,3898,1793,4018,2113e" filled="false" stroked="true" strokeweight="1pt" strokecolor="#0093c0">
              <v:path arrowok="t"/>
              <v:stroke dashstyle="solid"/>
            </v:shape>
            <v:shape style="position:absolute;left:837;top:213;width:3320;height:2740" coordorigin="838,213" coordsize="3320,2740" path="m938,2413l838,2413m938,2673l838,2673m938,2133l838,2133m938,1853l838,1853m938,1593l838,1593m938,1313l838,1313m938,1033l838,1033m938,773l838,773m938,493l838,493m938,213l838,213m4158,2413l4058,2413m4158,2673l4058,2673m4158,2133l4058,2133m4158,1853l4058,1853m4158,1593l4058,1593m4158,1313l4058,1313m4158,1033l4058,1033m4158,773l4058,773m4158,493l4058,493m4158,213l4058,213m938,2953l838,2953m4158,2953l4058,2953m998,2953l3998,2953m998,2953l998,2913m1118,2953l1118,2913m1238,2953l1238,2913m1358,2953l1358,2913m1478,2953l1478,2913m1598,2953l1598,2913m1718,2953l1718,2913m1838,2953l1838,2913m1958,2953l1958,2913m2078,2953l2078,2913m2198,2953l2198,2913m2318,2953l2318,2913m2438,2953l2438,2913m2558,2953l2558,2913m2678,2953l2678,2913m2798,2953l2798,2913m2918,2953l2918,2913m3038,2953l3038,2913m3158,2953l3158,2913m3278,2953l3278,2913m3398,2953l3398,2913m3518,2953l3518,2913m3638,2953l3638,2913m3758,2953l3758,2913m3898,2953l3898,2913m3998,2953l3998,2913m998,2953l998,2853m1478,2953l1478,2853m1958,2953l1958,2853m2438,2953l2438,2853m2918,2953l2918,2853m3398,2953l3398,2853m3898,2953l3898,2853e" filled="false" stroked="true" strokeweight=".5pt" strokecolor="#000000">
              <v:path arrowok="t"/>
              <v:stroke dashstyle="solid"/>
            </v:shape>
            <w10:wrap type="none"/>
          </v:group>
        </w:pict>
      </w:r>
      <w:r>
        <w:rPr>
          <w:sz w:val="12"/>
        </w:rPr>
        <w:t>17.5</w:t>
      </w:r>
    </w:p>
    <w:p>
      <w:pPr>
        <w:pStyle w:val="Heading4"/>
        <w:spacing w:line="242" w:lineRule="auto" w:before="207"/>
        <w:ind w:left="214" w:right="221"/>
        <w:rPr>
          <w:sz w:val="16"/>
        </w:rPr>
      </w:pPr>
      <w:r>
        <w:rPr/>
        <w:br w:type="column"/>
      </w:r>
      <w:r>
        <w:rPr/>
        <w:t>important role in the demand for money during that time. Over the past two years, the fall in broad money velocity has been predominantly accounted for by the increased money holdings of ‘other financial corporations’ (OFCs).</w:t>
      </w:r>
      <w:r>
        <w:rPr>
          <w:position w:val="5"/>
          <w:sz w:val="16"/>
        </w:rPr>
        <w:t>(1)</w:t>
      </w:r>
    </w:p>
    <w:p>
      <w:pPr>
        <w:spacing w:after="0" w:line="242" w:lineRule="auto"/>
        <w:rPr>
          <w:sz w:val="16"/>
        </w:rPr>
        <w:sectPr>
          <w:type w:val="continuous"/>
          <w:pgSz w:w="11900" w:h="16840"/>
          <w:pgMar w:top="1220" w:bottom="280" w:left="620" w:right="520"/>
          <w:cols w:num="2" w:equalWidth="0">
            <w:col w:w="3825" w:space="955"/>
            <w:col w:w="5980"/>
          </w:cols>
        </w:sectPr>
      </w:pPr>
    </w:p>
    <w:p>
      <w:pPr>
        <w:pStyle w:val="BodyText"/>
        <w:rPr>
          <w:sz w:val="12"/>
        </w:rPr>
      </w:pPr>
    </w:p>
    <w:p>
      <w:pPr>
        <w:pStyle w:val="BodyText"/>
        <w:rPr>
          <w:sz w:val="12"/>
        </w:rPr>
      </w:pPr>
    </w:p>
    <w:p>
      <w:pPr>
        <w:pStyle w:val="BodyText"/>
        <w:rPr>
          <w:sz w:val="12"/>
        </w:rPr>
      </w:pPr>
    </w:p>
    <w:p>
      <w:pPr>
        <w:pStyle w:val="BodyText"/>
        <w:rPr>
          <w:sz w:val="12"/>
        </w:rPr>
      </w:pPr>
    </w:p>
    <w:p>
      <w:pPr>
        <w:spacing w:before="84"/>
        <w:ind w:left="767" w:right="0" w:firstLine="0"/>
        <w:jc w:val="left"/>
        <w:rPr>
          <w:sz w:val="12"/>
        </w:rPr>
      </w:pPr>
      <w:r>
        <w:rPr>
          <w:sz w:val="12"/>
        </w:rPr>
        <w:t>OFIFAs</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8"/>
        <w:rPr>
          <w:sz w:val="13"/>
        </w:rPr>
      </w:pPr>
    </w:p>
    <w:p>
      <w:pPr>
        <w:spacing w:before="0"/>
        <w:ind w:left="486" w:right="0" w:firstLine="0"/>
        <w:jc w:val="left"/>
        <w:rPr>
          <w:sz w:val="12"/>
        </w:rPr>
      </w:pPr>
      <w:r>
        <w:rPr>
          <w:sz w:val="12"/>
        </w:rPr>
        <w:t>ICPFs</w:t>
      </w:r>
    </w:p>
    <w:p>
      <w:pPr>
        <w:pStyle w:val="BodyText"/>
        <w:spacing w:before="4"/>
        <w:rPr>
          <w:sz w:val="12"/>
        </w:rPr>
      </w:pPr>
      <w:r>
        <w:rPr/>
        <w:br w:type="column"/>
      </w:r>
      <w:r>
        <w:rPr>
          <w:sz w:val="12"/>
        </w:rPr>
      </w:r>
    </w:p>
    <w:p>
      <w:pPr>
        <w:spacing w:before="0"/>
        <w:ind w:left="0" w:right="38" w:firstLine="0"/>
        <w:jc w:val="right"/>
        <w:rPr>
          <w:sz w:val="12"/>
        </w:rPr>
      </w:pPr>
      <w:r>
        <w:rPr>
          <w:sz w:val="12"/>
        </w:rPr>
        <w:t>15.0</w:t>
      </w:r>
    </w:p>
    <w:p>
      <w:pPr>
        <w:pStyle w:val="BodyText"/>
        <w:spacing w:before="4"/>
        <w:rPr>
          <w:sz w:val="12"/>
        </w:rPr>
      </w:pPr>
    </w:p>
    <w:p>
      <w:pPr>
        <w:spacing w:before="0"/>
        <w:ind w:left="0" w:right="38" w:firstLine="0"/>
        <w:jc w:val="right"/>
        <w:rPr>
          <w:sz w:val="12"/>
        </w:rPr>
      </w:pPr>
      <w:r>
        <w:rPr>
          <w:sz w:val="12"/>
        </w:rPr>
        <w:t>12.5</w:t>
      </w:r>
    </w:p>
    <w:p>
      <w:pPr>
        <w:pStyle w:val="BodyText"/>
        <w:spacing w:before="7"/>
        <w:rPr>
          <w:sz w:val="10"/>
        </w:rPr>
      </w:pPr>
    </w:p>
    <w:p>
      <w:pPr>
        <w:spacing w:before="0"/>
        <w:ind w:left="0" w:right="38" w:firstLine="0"/>
        <w:jc w:val="right"/>
        <w:rPr>
          <w:sz w:val="12"/>
        </w:rPr>
      </w:pPr>
      <w:r>
        <w:rPr>
          <w:sz w:val="12"/>
        </w:rPr>
        <w:t>10.0</w:t>
      </w:r>
    </w:p>
    <w:p>
      <w:pPr>
        <w:pStyle w:val="BodyText"/>
        <w:spacing w:before="4"/>
        <w:rPr>
          <w:sz w:val="12"/>
        </w:rPr>
      </w:pPr>
    </w:p>
    <w:p>
      <w:pPr>
        <w:spacing w:before="0"/>
        <w:ind w:left="0" w:right="38" w:firstLine="0"/>
        <w:jc w:val="right"/>
        <w:rPr>
          <w:sz w:val="12"/>
        </w:rPr>
      </w:pPr>
      <w:r>
        <w:rPr>
          <w:sz w:val="12"/>
        </w:rPr>
        <w:t>7.5</w:t>
      </w:r>
    </w:p>
    <w:p>
      <w:pPr>
        <w:pStyle w:val="BodyText"/>
        <w:spacing w:before="4"/>
        <w:rPr>
          <w:sz w:val="12"/>
        </w:rPr>
      </w:pPr>
    </w:p>
    <w:p>
      <w:pPr>
        <w:spacing w:before="0"/>
        <w:ind w:left="0" w:right="38" w:firstLine="0"/>
        <w:jc w:val="right"/>
        <w:rPr>
          <w:sz w:val="12"/>
        </w:rPr>
      </w:pPr>
      <w:r>
        <w:rPr>
          <w:sz w:val="12"/>
        </w:rPr>
        <w:t>5.0</w:t>
      </w:r>
    </w:p>
    <w:p>
      <w:pPr>
        <w:pStyle w:val="BodyText"/>
        <w:spacing w:before="7"/>
        <w:rPr>
          <w:sz w:val="10"/>
        </w:rPr>
      </w:pPr>
    </w:p>
    <w:p>
      <w:pPr>
        <w:spacing w:line="120" w:lineRule="exact" w:before="0"/>
        <w:ind w:left="0" w:right="38" w:firstLine="0"/>
        <w:jc w:val="right"/>
        <w:rPr>
          <w:sz w:val="12"/>
        </w:rPr>
      </w:pPr>
      <w:r>
        <w:rPr>
          <w:sz w:val="12"/>
        </w:rPr>
        <w:t>2.5</w:t>
      </w:r>
    </w:p>
    <w:p>
      <w:pPr>
        <w:spacing w:line="163" w:lineRule="exact" w:before="0"/>
        <w:ind w:left="767" w:right="0" w:firstLine="0"/>
        <w:jc w:val="left"/>
        <w:rPr>
          <w:sz w:val="16"/>
        </w:rPr>
      </w:pPr>
      <w:r>
        <w:rPr>
          <w:sz w:val="16"/>
        </w:rPr>
        <w:t>+</w:t>
      </w:r>
    </w:p>
    <w:p>
      <w:pPr>
        <w:spacing w:line="117" w:lineRule="exact" w:before="0"/>
        <w:ind w:left="0" w:right="38" w:firstLine="0"/>
        <w:jc w:val="right"/>
        <w:rPr>
          <w:sz w:val="12"/>
        </w:rPr>
      </w:pPr>
      <w:r>
        <w:rPr>
          <w:sz w:val="12"/>
        </w:rPr>
        <w:t>0.0</w:t>
      </w:r>
    </w:p>
    <w:p>
      <w:pPr>
        <w:spacing w:line="163" w:lineRule="exact" w:before="0"/>
        <w:ind w:left="777" w:right="0" w:firstLine="0"/>
        <w:jc w:val="left"/>
        <w:rPr>
          <w:sz w:val="16"/>
        </w:rPr>
      </w:pPr>
      <w:r>
        <w:rPr>
          <w:sz w:val="16"/>
        </w:rPr>
        <w:t>–</w:t>
      </w:r>
    </w:p>
    <w:p>
      <w:pPr>
        <w:spacing w:line="135" w:lineRule="exact" w:before="0"/>
        <w:ind w:left="0" w:right="38" w:firstLine="0"/>
        <w:jc w:val="right"/>
        <w:rPr>
          <w:sz w:val="12"/>
        </w:rPr>
      </w:pPr>
      <w:r>
        <w:rPr>
          <w:sz w:val="12"/>
        </w:rPr>
        <w:t>2.5</w:t>
      </w:r>
    </w:p>
    <w:p>
      <w:pPr>
        <w:pStyle w:val="BodyText"/>
        <w:spacing w:before="7"/>
        <w:rPr>
          <w:sz w:val="10"/>
        </w:rPr>
      </w:pPr>
    </w:p>
    <w:p>
      <w:pPr>
        <w:spacing w:before="0"/>
        <w:ind w:left="0" w:right="38" w:firstLine="0"/>
        <w:jc w:val="right"/>
        <w:rPr>
          <w:sz w:val="12"/>
        </w:rPr>
      </w:pPr>
      <w:r>
        <w:rPr>
          <w:sz w:val="12"/>
        </w:rPr>
        <w:t>5.0</w:t>
      </w:r>
    </w:p>
    <w:p>
      <w:pPr>
        <w:pStyle w:val="BodyText"/>
        <w:spacing w:before="4"/>
        <w:rPr>
          <w:sz w:val="12"/>
        </w:rPr>
      </w:pPr>
    </w:p>
    <w:p>
      <w:pPr>
        <w:spacing w:line="118" w:lineRule="exact" w:before="1"/>
        <w:ind w:left="0" w:right="38" w:firstLine="0"/>
        <w:jc w:val="right"/>
        <w:rPr>
          <w:sz w:val="12"/>
        </w:rPr>
      </w:pPr>
      <w:r>
        <w:rPr>
          <w:sz w:val="12"/>
        </w:rPr>
        <w:t>7.5</w:t>
      </w:r>
    </w:p>
    <w:p>
      <w:pPr>
        <w:pStyle w:val="BodyText"/>
        <w:spacing w:before="8"/>
        <w:rPr>
          <w:sz w:val="31"/>
        </w:rPr>
      </w:pPr>
      <w:r>
        <w:rPr/>
        <w:br w:type="column"/>
      </w:r>
      <w:r>
        <w:rPr>
          <w:sz w:val="31"/>
        </w:rPr>
      </w:r>
    </w:p>
    <w:p>
      <w:pPr>
        <w:pStyle w:val="Heading5"/>
        <w:ind w:left="767"/>
        <w:rPr>
          <w:i/>
        </w:rPr>
      </w:pPr>
      <w:r>
        <w:rPr>
          <w:i/>
          <w:color w:val="009483"/>
        </w:rPr>
        <w:t>Other financial corporations</w:t>
      </w:r>
    </w:p>
    <w:p>
      <w:pPr>
        <w:spacing w:line="242" w:lineRule="auto" w:before="164"/>
        <w:ind w:left="767" w:right="14" w:firstLine="0"/>
        <w:jc w:val="left"/>
        <w:rPr>
          <w:sz w:val="24"/>
        </w:rPr>
      </w:pPr>
      <w:r>
        <w:rPr>
          <w:sz w:val="24"/>
        </w:rPr>
        <w:t>Within the non-bank financial sector, the Office for National Statistics (ONS) provides data for two main groupings: insurance corporations and pension funds (I</w:t>
      </w:r>
      <w:r>
        <w:rPr>
          <w:sz w:val="20"/>
        </w:rPr>
        <w:t>CPF</w:t>
      </w:r>
      <w:r>
        <w:rPr>
          <w:sz w:val="24"/>
        </w:rPr>
        <w:t>s); and other financial intermediaries and financial auxiliaries (O</w:t>
      </w:r>
      <w:r>
        <w:rPr>
          <w:sz w:val="20"/>
        </w:rPr>
        <w:t>FIFA</w:t>
      </w:r>
      <w:r>
        <w:rPr>
          <w:sz w:val="24"/>
        </w:rPr>
        <w:t>s). Examples of the latter include securities dealers and financial leasing corporations.</w:t>
      </w:r>
    </w:p>
    <w:p>
      <w:pPr>
        <w:spacing w:line="236" w:lineRule="exact" w:before="8"/>
        <w:ind w:left="767" w:right="0" w:firstLine="0"/>
        <w:jc w:val="left"/>
        <w:rPr>
          <w:sz w:val="24"/>
        </w:rPr>
      </w:pPr>
      <w:r>
        <w:rPr>
          <w:sz w:val="24"/>
        </w:rPr>
        <w:t>According to these data, the main contribution to other</w:t>
      </w:r>
    </w:p>
    <w:p>
      <w:pPr>
        <w:spacing w:after="0" w:line="236" w:lineRule="exact"/>
        <w:jc w:val="left"/>
        <w:rPr>
          <w:sz w:val="24"/>
        </w:rPr>
        <w:sectPr>
          <w:type w:val="continuous"/>
          <w:pgSz w:w="11900" w:h="16840"/>
          <w:pgMar w:top="1220" w:bottom="280" w:left="620" w:right="520"/>
          <w:cols w:num="4" w:equalWidth="0">
            <w:col w:w="1162" w:space="40"/>
            <w:col w:w="827" w:space="711"/>
            <w:col w:w="1085" w:space="402"/>
            <w:col w:w="6533"/>
          </w:cols>
        </w:sectPr>
      </w:pPr>
    </w:p>
    <w:p>
      <w:pPr>
        <w:tabs>
          <w:tab w:pos="1017" w:val="left" w:leader="none"/>
          <w:tab w:pos="1497" w:val="left" w:leader="none"/>
          <w:tab w:pos="1997" w:val="left" w:leader="none"/>
          <w:tab w:pos="2477" w:val="left" w:leader="none"/>
          <w:tab w:pos="2977" w:val="left" w:leader="none"/>
          <w:tab w:pos="3317" w:val="left" w:leader="none"/>
        </w:tabs>
        <w:spacing w:line="133" w:lineRule="exact" w:before="0"/>
        <w:ind w:left="481" w:right="0" w:firstLine="0"/>
        <w:jc w:val="left"/>
        <w:rPr>
          <w:sz w:val="12"/>
        </w:rPr>
      </w:pPr>
      <w:r>
        <w:rPr>
          <w:sz w:val="12"/>
        </w:rPr>
        <w:t>1992</w:t>
        <w:tab/>
        <w:t>93</w:t>
        <w:tab/>
        <w:t>94</w:t>
        <w:tab/>
        <w:t>95</w:t>
        <w:tab/>
        <w:t>96</w:t>
        <w:tab/>
        <w:t>97</w:t>
        <w:tab/>
        <w:t>98</w:t>
      </w:r>
    </w:p>
    <w:p>
      <w:pPr>
        <w:pStyle w:val="BodyText"/>
        <w:rPr>
          <w:sz w:val="12"/>
        </w:rPr>
      </w:pPr>
    </w:p>
    <w:p>
      <w:pPr>
        <w:pStyle w:val="BodyText"/>
        <w:rPr>
          <w:sz w:val="12"/>
        </w:rPr>
      </w:pPr>
    </w:p>
    <w:p>
      <w:pPr>
        <w:pStyle w:val="BodyText"/>
        <w:spacing w:before="9"/>
        <w:rPr>
          <w:sz w:val="12"/>
        </w:rPr>
      </w:pPr>
    </w:p>
    <w:p>
      <w:pPr>
        <w:pStyle w:val="Heading7"/>
        <w:spacing w:before="0"/>
        <w:ind w:left="240"/>
      </w:pPr>
      <w:r>
        <w:rPr>
          <w:color w:val="0093C1"/>
        </w:rPr>
        <w:t>Chart 1.3</w:t>
      </w:r>
    </w:p>
    <w:p>
      <w:pPr>
        <w:spacing w:line="249" w:lineRule="auto" w:before="10"/>
        <w:ind w:left="240" w:right="0" w:firstLine="0"/>
        <w:jc w:val="left"/>
        <w:rPr>
          <w:b/>
          <w:sz w:val="20"/>
        </w:rPr>
      </w:pPr>
      <w:r>
        <w:rPr>
          <w:b/>
          <w:color w:val="0093C1"/>
          <w:sz w:val="20"/>
        </w:rPr>
        <w:t>O</w:t>
      </w:r>
      <w:r>
        <w:rPr>
          <w:b/>
          <w:color w:val="0093C1"/>
          <w:sz w:val="16"/>
        </w:rPr>
        <w:t>FIFA</w:t>
      </w:r>
      <w:r>
        <w:rPr>
          <w:b/>
          <w:color w:val="0093C1"/>
          <w:sz w:val="20"/>
        </w:rPr>
        <w:t>s’ M4 deposits as a proportion of </w:t>
      </w:r>
      <w:r>
        <w:rPr>
          <w:b/>
          <w:color w:val="0093C1"/>
          <w:spacing w:val="-4"/>
          <w:sz w:val="20"/>
        </w:rPr>
        <w:t>their </w:t>
      </w:r>
      <w:r>
        <w:rPr>
          <w:b/>
          <w:color w:val="0093C1"/>
          <w:sz w:val="20"/>
        </w:rPr>
        <w:t>financial assets, and the yield curve spread</w:t>
      </w:r>
    </w:p>
    <w:p>
      <w:pPr>
        <w:tabs>
          <w:tab w:pos="3384" w:val="left" w:leader="none"/>
        </w:tabs>
        <w:spacing w:before="97"/>
        <w:ind w:left="220" w:right="0" w:firstLine="0"/>
        <w:jc w:val="left"/>
        <w:rPr>
          <w:sz w:val="12"/>
        </w:rPr>
      </w:pPr>
      <w:r>
        <w:rPr/>
        <w:pict>
          <v:group style="position:absolute;margin-left:60.5pt;margin-top:16.451569pt;width:162.7pt;height:136pt;mso-position-horizontal-relative:page;mso-position-vertical-relative:paragraph;z-index:15756288" coordorigin="1210,329" coordsize="3254,2720">
            <v:shape style="position:absolute;left:1230;top:499;width:2920;height:2520" coordorigin="1230,499" coordsize="2920,2520" path="m1230,1419l1310,1679,1410,819,1490,919,1570,1419,1670,1679,1750,1159,1850,499,1930,819,2010,1019,2110,1099,2190,2079,2290,2399,2370,2779,2470,2919,2550,3019,2630,2699,2730,2139,2810,2299,2910,2099,2990,2119,3070,1819,3170,1999,3270,1999,3350,2119,3430,2679,3530,2959,3610,2719,3710,1959,3870,2599,3970,2379,4050,1479,4150,1179e" filled="false" stroked="true" strokeweight="1pt" strokecolor="#ed1b2d">
              <v:path arrowok="t"/>
              <v:stroke dashstyle="solid"/>
            </v:shape>
            <v:shape style="position:absolute;left:1210;top:619;width:3180;height:2260" coordorigin="1210,619" coordsize="3180,2260" path="m1210,1759l4230,1759m4290,2139l4390,2139m4290,2499l4390,2499m4290,2879l4390,2879m4290,1759l4390,1759m4290,1379l4390,1379m4290,999l4390,999m4290,619l4390,619e" filled="false" stroked="true" strokeweight=".5pt" strokecolor="#000000">
              <v:path arrowok="t"/>
              <v:stroke dashstyle="solid"/>
            </v:shape>
            <v:shape style="position:absolute;left:1230;top:339;width:3000;height:2700" coordorigin="1230,339" coordsize="3000,2700" path="m1230,339l1310,659,1410,679,1490,939,1570,1179,1670,1519,1750,1779,1850,1499,1930,1399,2010,1559,2110,1999,2190,2539,2290,2759,2370,2839,2470,2539,2550,2459,2630,2499,2730,3039,2810,2959,2910,2759,2990,2659,3070,2339,3170,2339,3270,2359,3350,2519,3430,2719,3530,2639,3610,2279,3710,2259,3790,2079,3870,1759,3970,1519,4050,1339,4150,1139,4230,1419e" filled="false" stroked="true" strokeweight="1pt" strokecolor="#00a995">
              <v:path arrowok="t"/>
              <v:stroke dashstyle="solid"/>
            </v:shape>
            <v:shape style="position:absolute;left:1946;top:395;width:1360;height:373" type="#_x0000_t202" filled="false" stroked="false">
              <v:textbox inset="0,0,0,0">
                <w:txbxContent>
                  <w:p>
                    <w:pPr>
                      <w:spacing w:line="208" w:lineRule="auto" w:before="9"/>
                      <w:ind w:left="60" w:right="0" w:hanging="60"/>
                      <w:jc w:val="left"/>
                      <w:rPr>
                        <w:sz w:val="12"/>
                      </w:rPr>
                    </w:pPr>
                    <w:r>
                      <w:rPr>
                        <w:color w:val="231F20"/>
                        <w:sz w:val="12"/>
                      </w:rPr>
                      <w:t>M4 deposits as a proportion of financial assets</w:t>
                    </w:r>
                  </w:p>
                  <w:p>
                    <w:pPr>
                      <w:spacing w:line="123" w:lineRule="exact" w:before="0"/>
                      <w:ind w:left="60" w:right="0" w:firstLine="0"/>
                      <w:jc w:val="left"/>
                      <w:rPr>
                        <w:sz w:val="12"/>
                      </w:rPr>
                    </w:pPr>
                    <w:r>
                      <w:rPr>
                        <w:color w:val="231F20"/>
                        <w:sz w:val="12"/>
                      </w:rPr>
                      <w:t>(left-hand scale)</w:t>
                    </w:r>
                  </w:p>
                </w:txbxContent>
              </v:textbox>
              <w10:wrap type="none"/>
            </v:shape>
            <v:shape style="position:absolute;left:4353;top:1466;width:111;height:558" type="#_x0000_t202" filled="false" stroked="false">
              <v:textbox inset="0,0,0,0">
                <w:txbxContent>
                  <w:p>
                    <w:pPr>
                      <w:spacing w:line="177" w:lineRule="exact" w:before="0"/>
                      <w:ind w:left="0" w:right="0" w:firstLine="0"/>
                      <w:jc w:val="left"/>
                      <w:rPr>
                        <w:sz w:val="16"/>
                      </w:rPr>
                    </w:pPr>
                    <w:r>
                      <w:rPr>
                        <w:sz w:val="16"/>
                      </w:rPr>
                      <w:t>+</w:t>
                    </w:r>
                  </w:p>
                  <w:p>
                    <w:pPr>
                      <w:spacing w:line="240" w:lineRule="auto" w:before="0"/>
                      <w:rPr>
                        <w:sz w:val="17"/>
                      </w:rPr>
                    </w:pPr>
                  </w:p>
                  <w:p>
                    <w:pPr>
                      <w:spacing w:before="0"/>
                      <w:ind w:left="0" w:right="0" w:firstLine="0"/>
                      <w:jc w:val="left"/>
                      <w:rPr>
                        <w:sz w:val="16"/>
                      </w:rPr>
                    </w:pPr>
                    <w:r>
                      <w:rPr>
                        <w:sz w:val="16"/>
                      </w:rPr>
                      <w:t>–</w:t>
                    </w:r>
                  </w:p>
                </w:txbxContent>
              </v:textbox>
              <w10:wrap type="none"/>
            </v:shape>
            <v:shape style="position:absolute;left:1326;top:2422;width:930;height:373" type="#_x0000_t202" filled="false" stroked="false">
              <v:textbox inset="0,0,0,0">
                <w:txbxContent>
                  <w:p>
                    <w:pPr>
                      <w:spacing w:line="208" w:lineRule="auto" w:before="9"/>
                      <w:ind w:left="60" w:right="346" w:hanging="60"/>
                      <w:jc w:val="left"/>
                      <w:rPr>
                        <w:sz w:val="12"/>
                      </w:rPr>
                    </w:pPr>
                    <w:r>
                      <w:rPr>
                        <w:color w:val="231F20"/>
                        <w:sz w:val="12"/>
                      </w:rPr>
                      <w:t>Yield curve spread (a)</w:t>
                    </w:r>
                  </w:p>
                  <w:p>
                    <w:pPr>
                      <w:spacing w:line="123" w:lineRule="exact" w:before="0"/>
                      <w:ind w:left="60" w:right="0" w:firstLine="0"/>
                      <w:jc w:val="left"/>
                      <w:rPr>
                        <w:sz w:val="12"/>
                      </w:rPr>
                    </w:pPr>
                    <w:r>
                      <w:rPr>
                        <w:color w:val="231F20"/>
                        <w:sz w:val="12"/>
                      </w:rPr>
                      <w:t>(right-hand scale)</w:t>
                    </w:r>
                  </w:p>
                </w:txbxContent>
              </v:textbox>
              <w10:wrap type="none"/>
            </v:shape>
            <w10:wrap type="none"/>
          </v:group>
        </w:pict>
      </w:r>
      <w:r>
        <w:rPr>
          <w:position w:val="-8"/>
          <w:sz w:val="12"/>
        </w:rPr>
        <w:t>15 </w:t>
      </w:r>
      <w:r>
        <w:rPr>
          <w:sz w:val="12"/>
        </w:rPr>
        <w:t> </w:t>
      </w:r>
      <w:r>
        <w:rPr>
          <w:sz w:val="12"/>
          <w:u w:val="single"/>
        </w:rPr>
        <w:t>Pe</w:t>
      </w:r>
      <w:r>
        <w:rPr>
          <w:sz w:val="12"/>
        </w:rPr>
        <w:t>r cent</w:t>
        <w:tab/>
        <w:t>Per ce</w:t>
      </w:r>
      <w:r>
        <w:rPr>
          <w:sz w:val="12"/>
          <w:u w:val="single"/>
        </w:rPr>
        <w:t>n</w:t>
      </w:r>
      <w:r>
        <w:rPr>
          <w:sz w:val="12"/>
        </w:rPr>
        <w:t>t</w:t>
      </w:r>
      <w:r>
        <w:rPr>
          <w:spacing w:val="25"/>
          <w:sz w:val="12"/>
        </w:rPr>
        <w:t> </w:t>
      </w:r>
      <w:r>
        <w:rPr>
          <w:position w:val="-5"/>
          <w:sz w:val="12"/>
        </w:rPr>
        <w:t>4</w:t>
      </w:r>
    </w:p>
    <w:p>
      <w:pPr>
        <w:pStyle w:val="BodyText"/>
        <w:spacing w:before="5"/>
      </w:pPr>
    </w:p>
    <w:p>
      <w:pPr>
        <w:spacing w:before="0"/>
        <w:ind w:left="0" w:right="177" w:firstLine="0"/>
        <w:jc w:val="right"/>
        <w:rPr>
          <w:sz w:val="12"/>
        </w:rPr>
      </w:pPr>
      <w:r>
        <w:rPr/>
        <w:pict>
          <v:shape style="position:absolute;margin-left:42pt;margin-top:7.587889pt;width:6pt;height:6.65pt;mso-position-horizontal-relative:page;mso-position-vertical-relative:paragraph;z-index:15759360" type="#_x0000_t202" filled="false" stroked="false">
            <v:textbox inset="0,0,0,0">
              <w:txbxContent>
                <w:p>
                  <w:pPr>
                    <w:spacing w:line="133" w:lineRule="exact" w:before="0"/>
                    <w:ind w:left="0" w:right="0" w:firstLine="0"/>
                    <w:jc w:val="left"/>
                    <w:rPr>
                      <w:sz w:val="12"/>
                    </w:rPr>
                  </w:pPr>
                  <w:r>
                    <w:rPr>
                      <w:sz w:val="12"/>
                    </w:rPr>
                    <w:t>14</w:t>
                  </w:r>
                </w:p>
              </w:txbxContent>
            </v:textbox>
            <w10:wrap type="none"/>
          </v:shape>
        </w:pict>
      </w:r>
      <w:r>
        <w:rPr>
          <w:sz w:val="12"/>
        </w:rPr>
        <w:t>3</w:t>
      </w:r>
    </w:p>
    <w:p>
      <w:pPr>
        <w:pStyle w:val="Heading4"/>
        <w:spacing w:line="242" w:lineRule="auto" w:before="44"/>
        <w:ind w:left="220" w:right="347"/>
      </w:pPr>
      <w:r>
        <w:rPr/>
        <w:br w:type="column"/>
      </w:r>
      <w:r>
        <w:rPr/>
        <w:t>financial corporations’ M4 growth in the second half of 1997 and early 1998 came from deposits of other financial intermediaries and financial auxiliaries</w:t>
      </w:r>
    </w:p>
    <w:p>
      <w:pPr>
        <w:spacing w:line="242" w:lineRule="auto" w:before="3"/>
        <w:ind w:left="220" w:right="347" w:firstLine="0"/>
        <w:jc w:val="left"/>
        <w:rPr>
          <w:sz w:val="24"/>
        </w:rPr>
      </w:pPr>
      <w:r>
        <w:rPr>
          <w:sz w:val="24"/>
        </w:rPr>
        <w:t>(see Chart 1.2). The share of M4 deposits in the financial asset holdings of this group appears to be correlated with the spread between the Treasury bill rate and the ten-year yield on UK government debt (see</w:t>
      </w:r>
    </w:p>
    <w:p>
      <w:pPr>
        <w:spacing w:after="0" w:line="242" w:lineRule="auto"/>
        <w:jc w:val="left"/>
        <w:rPr>
          <w:sz w:val="24"/>
        </w:rPr>
        <w:sectPr>
          <w:type w:val="continuous"/>
          <w:pgSz w:w="11900" w:h="16840"/>
          <w:pgMar w:top="1220" w:bottom="280" w:left="620" w:right="520"/>
          <w:cols w:num="2" w:equalWidth="0">
            <w:col w:w="4070" w:space="704"/>
            <w:col w:w="5986"/>
          </w:cols>
        </w:sectPr>
      </w:pPr>
    </w:p>
    <w:p>
      <w:pPr>
        <w:pStyle w:val="BodyText"/>
        <w:spacing w:before="6"/>
        <w:rPr>
          <w:sz w:val="2"/>
        </w:rPr>
      </w:pPr>
    </w:p>
    <w:p>
      <w:pPr>
        <w:pStyle w:val="BodyText"/>
        <w:spacing w:line="20" w:lineRule="exact"/>
        <w:ind w:left="405"/>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spacing w:before="0"/>
        <w:ind w:left="1995" w:right="1734" w:firstLine="0"/>
        <w:jc w:val="center"/>
        <w:rPr>
          <w:sz w:val="24"/>
        </w:rPr>
      </w:pPr>
      <w:r>
        <w:rPr>
          <w:sz w:val="24"/>
        </w:rPr>
        <w:t>Chart 1.3).</w:t>
      </w:r>
    </w:p>
    <w:p>
      <w:pPr>
        <w:spacing w:after="0"/>
        <w:jc w:val="center"/>
        <w:rPr>
          <w:sz w:val="24"/>
        </w:rPr>
        <w:sectPr>
          <w:type w:val="continuous"/>
          <w:pgSz w:w="11900" w:h="16840"/>
          <w:pgMar w:top="1220" w:bottom="280" w:left="620" w:right="520"/>
        </w:sectPr>
      </w:pPr>
    </w:p>
    <w:p>
      <w:pPr>
        <w:pStyle w:val="BodyText"/>
        <w:spacing w:before="5"/>
        <w:rPr>
          <w:sz w:val="15"/>
        </w:rPr>
      </w:pPr>
    </w:p>
    <w:p>
      <w:pPr>
        <w:spacing w:before="0"/>
        <w:ind w:left="220" w:right="0" w:firstLine="0"/>
        <w:jc w:val="left"/>
        <w:rPr>
          <w:sz w:val="12"/>
        </w:rPr>
      </w:pPr>
      <w:r>
        <w:rPr/>
        <w:pict>
          <v:line style="position:absolute;mso-position-horizontal-relative:page;mso-position-vertical-relative:paragraph;z-index:15754240" from="56.5pt,3.768561pt" to="51.5pt,3.768561pt" stroked="true" strokeweight=".5pt" strokecolor="#000000">
            <v:stroke dashstyle="solid"/>
            <w10:wrap type="none"/>
          </v:line>
        </w:pict>
      </w:r>
      <w:r>
        <w:rPr/>
        <w:pict>
          <v:shape style="position:absolute;margin-left:222.5pt;margin-top:-13.078119pt;width:3pt;height:6.65pt;mso-position-horizontal-relative:page;mso-position-vertical-relative:paragraph;z-index:15759872" type="#_x0000_t202" filled="false" stroked="false">
            <v:textbox inset="0,0,0,0">
              <w:txbxContent>
                <w:p>
                  <w:pPr>
                    <w:spacing w:line="133" w:lineRule="exact" w:before="0"/>
                    <w:ind w:left="0" w:right="0" w:firstLine="0"/>
                    <w:jc w:val="left"/>
                    <w:rPr>
                      <w:sz w:val="12"/>
                    </w:rPr>
                  </w:pPr>
                  <w:r>
                    <w:rPr>
                      <w:sz w:val="12"/>
                    </w:rPr>
                    <w:t>2</w:t>
                  </w:r>
                </w:p>
              </w:txbxContent>
            </v:textbox>
            <w10:wrap type="none"/>
          </v:shape>
        </w:pict>
      </w:r>
      <w:r>
        <w:rPr>
          <w:sz w:val="12"/>
        </w:rPr>
        <w:t>13</w:t>
      </w:r>
    </w:p>
    <w:p>
      <w:pPr>
        <w:pStyle w:val="BodyText"/>
        <w:rPr>
          <w:sz w:val="12"/>
        </w:rPr>
      </w:pPr>
    </w:p>
    <w:p>
      <w:pPr>
        <w:pStyle w:val="BodyText"/>
        <w:rPr>
          <w:sz w:val="12"/>
        </w:rPr>
      </w:pPr>
    </w:p>
    <w:p>
      <w:pPr>
        <w:spacing w:before="86"/>
        <w:ind w:left="220" w:right="0" w:firstLine="0"/>
        <w:jc w:val="left"/>
        <w:rPr>
          <w:sz w:val="12"/>
        </w:rPr>
      </w:pPr>
      <w:r>
        <w:rPr/>
        <w:pict>
          <v:line style="position:absolute;mso-position-horizontal-relative:page;mso-position-vertical-relative:paragraph;z-index:15753728" from="56.5pt,8.068561pt" to="51.5pt,8.068561pt" stroked="true" strokeweight=".5pt" strokecolor="#000000">
            <v:stroke dashstyle="solid"/>
            <w10:wrap type="none"/>
          </v:line>
        </w:pict>
      </w:r>
      <w:r>
        <w:rPr>
          <w:sz w:val="12"/>
        </w:rPr>
        <w:t>12</w:t>
      </w:r>
    </w:p>
    <w:p>
      <w:pPr>
        <w:pStyle w:val="BodyText"/>
        <w:rPr>
          <w:sz w:val="12"/>
        </w:rPr>
      </w:pPr>
    </w:p>
    <w:p>
      <w:pPr>
        <w:pStyle w:val="BodyText"/>
        <w:rPr>
          <w:sz w:val="12"/>
        </w:rPr>
      </w:pPr>
    </w:p>
    <w:p>
      <w:pPr>
        <w:spacing w:before="86"/>
        <w:ind w:left="220" w:right="0" w:firstLine="0"/>
        <w:jc w:val="left"/>
        <w:rPr>
          <w:sz w:val="12"/>
        </w:rPr>
      </w:pPr>
      <w:r>
        <w:rPr/>
        <w:pict>
          <v:line style="position:absolute;mso-position-horizontal-relative:page;mso-position-vertical-relative:paragraph;z-index:15753216" from="56.5pt,8.068561pt" to="51.5pt,8.068561pt" stroked="true" strokeweight=".5pt" strokecolor="#000000">
            <v:stroke dashstyle="solid"/>
            <w10:wrap type="none"/>
          </v:line>
        </w:pict>
      </w:r>
      <w:r>
        <w:rPr>
          <w:sz w:val="12"/>
        </w:rPr>
        <w:t>11</w:t>
      </w:r>
    </w:p>
    <w:p>
      <w:pPr>
        <w:pStyle w:val="BodyText"/>
        <w:rPr>
          <w:sz w:val="12"/>
        </w:rPr>
      </w:pPr>
    </w:p>
    <w:p>
      <w:pPr>
        <w:pStyle w:val="BodyText"/>
        <w:rPr>
          <w:sz w:val="12"/>
        </w:rPr>
      </w:pPr>
    </w:p>
    <w:p>
      <w:pPr>
        <w:spacing w:before="86"/>
        <w:ind w:left="220" w:right="0" w:firstLine="0"/>
        <w:jc w:val="left"/>
        <w:rPr>
          <w:sz w:val="12"/>
        </w:rPr>
      </w:pPr>
      <w:r>
        <w:rPr/>
        <w:pict>
          <v:line style="position:absolute;mso-position-horizontal-relative:page;mso-position-vertical-relative:paragraph;z-index:15752704" from="56.5pt,8.068561pt" to="51.5pt,8.068561pt" stroked="true" strokeweight=".5pt" strokecolor="#000000">
            <v:stroke dashstyle="solid"/>
            <w10:wrap type="none"/>
          </v:line>
        </w:pict>
      </w:r>
      <w:r>
        <w:rPr>
          <w:sz w:val="12"/>
        </w:rPr>
        <w:t>10</w:t>
      </w:r>
    </w:p>
    <w:p>
      <w:pPr>
        <w:pStyle w:val="BodyText"/>
        <w:rPr>
          <w:sz w:val="12"/>
        </w:rPr>
      </w:pPr>
    </w:p>
    <w:p>
      <w:pPr>
        <w:pStyle w:val="BodyText"/>
        <w:rPr>
          <w:sz w:val="12"/>
        </w:rPr>
      </w:pPr>
    </w:p>
    <w:p>
      <w:pPr>
        <w:spacing w:line="119" w:lineRule="exact" w:before="86"/>
        <w:ind w:left="280" w:right="0" w:firstLine="0"/>
        <w:jc w:val="left"/>
        <w:rPr>
          <w:sz w:val="12"/>
        </w:rPr>
      </w:pPr>
      <w:r>
        <w:rPr/>
        <w:pict>
          <v:line style="position:absolute;mso-position-horizontal-relative:page;mso-position-vertical-relative:paragraph;z-index:15752192" from="56.5pt,8.068561pt" to="51.5pt,8.068561pt" stroked="true" strokeweight=".5pt" strokecolor="#000000">
            <v:stroke dashstyle="solid"/>
            <w10:wrap type="none"/>
          </v:line>
        </w:pict>
      </w:r>
      <w:r>
        <w:rPr/>
        <w:pict>
          <v:shape style="position:absolute;margin-left:60.5pt;margin-top:3.068561pt;width:159pt;height:5pt;mso-position-horizontal-relative:page;mso-position-vertical-relative:paragraph;z-index:15756800" coordorigin="1210,61" coordsize="3180,100" path="m4290,161l4390,161m1210,161l4230,161m1210,161l1210,121m1570,161l1570,121m1930,161l1930,121m2270,161l2270,121m2630,161l2630,121m2990,161l2990,121m3350,161l3350,121m3690,161l3690,121m4050,161l4050,121m1210,161l1210,61m2990,161l2990,61m1210,161l4230,161m1210,161l1210,121m1570,161l1570,121m1930,161l1930,121m2270,161l2270,121m2630,161l2630,121m2990,161l2990,121m3350,161l3350,121m3690,161l3690,121m4050,161l4050,121m1210,161l1210,61e" filled="false" stroked="true" strokeweight=".5pt" strokecolor="#000000">
            <v:path arrowok="t"/>
            <v:stroke dashstyle="solid"/>
            <w10:wrap type="none"/>
          </v:shape>
        </w:pict>
      </w:r>
      <w:r>
        <w:rPr>
          <w:sz w:val="12"/>
        </w:rPr>
        <w:t>9</w:t>
      </w:r>
    </w:p>
    <w:p>
      <w:pPr>
        <w:tabs>
          <w:tab w:pos="1399" w:val="left" w:leader="none"/>
        </w:tabs>
        <w:spacing w:line="119" w:lineRule="exact" w:before="0"/>
        <w:ind w:left="620" w:right="0" w:firstLine="0"/>
        <w:jc w:val="left"/>
        <w:rPr>
          <w:sz w:val="12"/>
        </w:rPr>
      </w:pPr>
      <w:r>
        <w:rPr>
          <w:sz w:val="12"/>
        </w:rPr>
        <w:t>1990      91</w:t>
        <w:tab/>
      </w:r>
      <w:r>
        <w:rPr>
          <w:spacing w:val="-10"/>
          <w:sz w:val="12"/>
        </w:rPr>
        <w:t>92</w:t>
      </w:r>
    </w:p>
    <w:p>
      <w:pPr>
        <w:pStyle w:val="BodyText"/>
        <w:rPr>
          <w:sz w:val="12"/>
        </w:rPr>
      </w:pPr>
      <w:r>
        <w:rPr/>
        <w:br w:type="column"/>
      </w:r>
      <w:r>
        <w:rPr>
          <w:sz w:val="12"/>
        </w:rPr>
      </w:r>
    </w:p>
    <w:p>
      <w:pPr>
        <w:pStyle w:val="BodyText"/>
        <w:spacing w:before="3"/>
        <w:rPr>
          <w:sz w:val="13"/>
        </w:rPr>
      </w:pPr>
    </w:p>
    <w:p>
      <w:pPr>
        <w:spacing w:before="0"/>
        <w:ind w:left="0" w:right="38" w:firstLine="0"/>
        <w:jc w:val="right"/>
        <w:rPr>
          <w:sz w:val="12"/>
        </w:rPr>
      </w:pPr>
      <w:r>
        <w:rPr>
          <w:sz w:val="12"/>
        </w:rPr>
        <w:t>1</w:t>
      </w:r>
    </w:p>
    <w:p>
      <w:pPr>
        <w:pStyle w:val="BodyText"/>
        <w:rPr>
          <w:sz w:val="12"/>
        </w:rPr>
      </w:pPr>
    </w:p>
    <w:p>
      <w:pPr>
        <w:spacing w:before="84"/>
        <w:ind w:left="0" w:right="38" w:firstLine="0"/>
        <w:jc w:val="right"/>
        <w:rPr>
          <w:sz w:val="12"/>
        </w:rPr>
      </w:pPr>
      <w:r>
        <w:rPr>
          <w:sz w:val="12"/>
        </w:rPr>
        <w:t>0</w:t>
      </w:r>
    </w:p>
    <w:p>
      <w:pPr>
        <w:pStyle w:val="BodyText"/>
        <w:rPr>
          <w:sz w:val="12"/>
        </w:rPr>
      </w:pPr>
    </w:p>
    <w:p>
      <w:pPr>
        <w:spacing w:before="104"/>
        <w:ind w:left="0" w:right="38" w:firstLine="0"/>
        <w:jc w:val="right"/>
        <w:rPr>
          <w:sz w:val="12"/>
        </w:rPr>
      </w:pPr>
      <w:r>
        <w:rPr>
          <w:sz w:val="12"/>
        </w:rPr>
        <w:t>1</w:t>
      </w:r>
    </w:p>
    <w:p>
      <w:pPr>
        <w:pStyle w:val="BodyText"/>
        <w:rPr>
          <w:sz w:val="12"/>
        </w:rPr>
      </w:pPr>
    </w:p>
    <w:p>
      <w:pPr>
        <w:spacing w:before="104"/>
        <w:ind w:left="0" w:right="38" w:firstLine="0"/>
        <w:jc w:val="right"/>
        <w:rPr>
          <w:sz w:val="12"/>
        </w:rPr>
      </w:pPr>
      <w:r>
        <w:rPr>
          <w:sz w:val="12"/>
        </w:rPr>
        <w:t>2</w:t>
      </w:r>
    </w:p>
    <w:p>
      <w:pPr>
        <w:pStyle w:val="BodyText"/>
        <w:rPr>
          <w:sz w:val="12"/>
        </w:rPr>
      </w:pPr>
    </w:p>
    <w:p>
      <w:pPr>
        <w:spacing w:before="104"/>
        <w:ind w:left="0" w:right="38" w:firstLine="0"/>
        <w:jc w:val="right"/>
        <w:rPr>
          <w:sz w:val="12"/>
        </w:rPr>
      </w:pPr>
      <w:r>
        <w:rPr>
          <w:sz w:val="12"/>
        </w:rPr>
        <w:t>3</w:t>
      </w:r>
    </w:p>
    <w:p>
      <w:pPr>
        <w:pStyle w:val="BodyText"/>
        <w:rPr>
          <w:sz w:val="12"/>
        </w:rPr>
      </w:pPr>
    </w:p>
    <w:p>
      <w:pPr>
        <w:spacing w:line="122" w:lineRule="exact" w:before="105"/>
        <w:ind w:left="2269" w:right="0" w:firstLine="0"/>
        <w:jc w:val="left"/>
        <w:rPr>
          <w:sz w:val="12"/>
        </w:rPr>
      </w:pPr>
      <w:r>
        <w:rPr>
          <w:sz w:val="12"/>
        </w:rPr>
        <w:t>4</w:t>
      </w:r>
    </w:p>
    <w:p>
      <w:pPr>
        <w:tabs>
          <w:tab w:pos="539" w:val="left" w:leader="none"/>
          <w:tab w:pos="899" w:val="left" w:leader="none"/>
          <w:tab w:pos="1259" w:val="left" w:leader="none"/>
          <w:tab w:pos="1619" w:val="left" w:leader="none"/>
        </w:tabs>
        <w:spacing w:line="122" w:lineRule="exact" w:before="0"/>
        <w:ind w:left="200" w:right="0" w:firstLine="0"/>
        <w:jc w:val="left"/>
        <w:rPr>
          <w:sz w:val="12"/>
        </w:rPr>
      </w:pPr>
      <w:r>
        <w:rPr>
          <w:sz w:val="12"/>
        </w:rPr>
        <w:t>93</w:t>
        <w:tab/>
        <w:t>94</w:t>
        <w:tab/>
        <w:t>95</w:t>
        <w:tab/>
        <w:t>96</w:t>
        <w:tab/>
        <w:t>97</w:t>
      </w:r>
      <w:r>
        <w:rPr>
          <w:spacing w:val="20"/>
          <w:sz w:val="12"/>
        </w:rPr>
        <w:t> </w:t>
      </w:r>
      <w:r>
        <w:rPr>
          <w:sz w:val="12"/>
        </w:rPr>
        <w:t>98</w:t>
      </w:r>
    </w:p>
    <w:p>
      <w:pPr>
        <w:pStyle w:val="BodyText"/>
        <w:spacing w:before="8"/>
        <w:rPr>
          <w:sz w:val="24"/>
        </w:rPr>
      </w:pPr>
      <w:r>
        <w:rPr/>
        <w:br w:type="column"/>
      </w:r>
      <w:r>
        <w:rPr>
          <w:sz w:val="24"/>
        </w:rPr>
      </w:r>
    </w:p>
    <w:p>
      <w:pPr>
        <w:pStyle w:val="Heading4"/>
        <w:spacing w:line="242" w:lineRule="auto"/>
        <w:ind w:left="220" w:right="235"/>
      </w:pPr>
      <w:r>
        <w:rPr/>
        <w:t>Growth in the money holdings of insurance corporations and pension funds was negligible in the four quarters to 1998 Q2 (see Chart 1.2). Chart 1.4 suggests that the strength of insurance corporations and pension funds’ money holdings over the past two years could be more than accounted for by the desire to hold money as part of a balanced portfolio when the rest of the portfolio was increasing strongly in value.</w:t>
      </w:r>
    </w:p>
    <w:p>
      <w:pPr>
        <w:spacing w:after="0" w:line="242" w:lineRule="auto"/>
        <w:sectPr>
          <w:type w:val="continuous"/>
          <w:pgSz w:w="11900" w:h="16840"/>
          <w:pgMar w:top="1220" w:bottom="280" w:left="620" w:right="520"/>
          <w:cols w:num="3" w:equalWidth="0">
            <w:col w:w="1521" w:space="40"/>
            <w:col w:w="2370" w:space="843"/>
            <w:col w:w="5986"/>
          </w:cols>
        </w:sectPr>
      </w:pPr>
    </w:p>
    <w:p>
      <w:pPr>
        <w:spacing w:before="41"/>
        <w:ind w:left="220" w:right="0" w:firstLine="0"/>
        <w:jc w:val="left"/>
        <w:rPr>
          <w:sz w:val="12"/>
        </w:rPr>
      </w:pPr>
      <w:r>
        <w:rPr>
          <w:sz w:val="12"/>
        </w:rPr>
        <w:t>Sources: ONS and Bank of England.</w:t>
      </w:r>
    </w:p>
    <w:p>
      <w:pPr>
        <w:pStyle w:val="BodyText"/>
        <w:spacing w:before="1"/>
        <w:rPr>
          <w:sz w:val="10"/>
        </w:rPr>
      </w:pPr>
    </w:p>
    <w:p>
      <w:pPr>
        <w:spacing w:line="208" w:lineRule="auto" w:before="1"/>
        <w:ind w:left="460" w:right="38" w:hanging="240"/>
        <w:jc w:val="both"/>
        <w:rPr>
          <w:sz w:val="12"/>
        </w:rPr>
      </w:pPr>
      <w:r>
        <w:rPr>
          <w:sz w:val="12"/>
        </w:rPr>
        <w:t>(a) The yield curve spread is defined as the UK Treasury bill rate minus the nominal zero coupon ten-year yield on UK government debt. A positive value indicates a negatively sloping yield curve.</w:t>
      </w:r>
    </w:p>
    <w:p>
      <w:pPr>
        <w:pStyle w:val="BodyText"/>
        <w:rPr>
          <w:sz w:val="12"/>
        </w:rPr>
      </w:pPr>
    </w:p>
    <w:p>
      <w:pPr>
        <w:pStyle w:val="BodyText"/>
        <w:spacing w:before="5"/>
        <w:rPr>
          <w:sz w:val="13"/>
        </w:rPr>
      </w:pPr>
    </w:p>
    <w:p>
      <w:pPr>
        <w:pStyle w:val="Heading7"/>
        <w:spacing w:before="1"/>
        <w:ind w:left="194"/>
      </w:pPr>
      <w:r>
        <w:rPr>
          <w:color w:val="0093C1"/>
        </w:rPr>
        <w:t>Chart 1.4</w:t>
      </w:r>
    </w:p>
    <w:p>
      <w:pPr>
        <w:spacing w:line="249" w:lineRule="auto" w:before="10"/>
        <w:ind w:left="194" w:right="583" w:firstLine="0"/>
        <w:jc w:val="left"/>
        <w:rPr>
          <w:b/>
          <w:sz w:val="20"/>
        </w:rPr>
      </w:pPr>
      <w:r>
        <w:rPr>
          <w:b/>
          <w:color w:val="0093C1"/>
          <w:sz w:val="20"/>
        </w:rPr>
        <w:t>I</w:t>
      </w:r>
      <w:r>
        <w:rPr>
          <w:b/>
          <w:color w:val="0093C1"/>
          <w:sz w:val="16"/>
        </w:rPr>
        <w:t>CPF</w:t>
      </w:r>
      <w:r>
        <w:rPr>
          <w:b/>
          <w:color w:val="0093C1"/>
          <w:sz w:val="20"/>
        </w:rPr>
        <w:t>s’ M4 deposits as a proportion of their financial assets</w:t>
      </w:r>
    </w:p>
    <w:p>
      <w:pPr>
        <w:spacing w:before="69"/>
        <w:ind w:left="0" w:right="192" w:firstLine="0"/>
        <w:jc w:val="right"/>
        <w:rPr>
          <w:sz w:val="12"/>
        </w:rPr>
      </w:pPr>
      <w:r>
        <w:rPr/>
        <w:pict>
          <v:line style="position:absolute;mso-position-horizontal-relative:page;mso-position-vertical-relative:paragraph;z-index:15758336" from="46.574001pt,11.551555pt" to="41.574001pt,11.551555pt" stroked="true" strokeweight=".5pt" strokecolor="#000000">
            <v:stroke dashstyle="solid"/>
            <w10:wrap type="none"/>
          </v:line>
        </w:pict>
      </w:r>
      <w:r>
        <w:rPr/>
        <w:pict>
          <v:line style="position:absolute;mso-position-horizontal-relative:page;mso-position-vertical-relative:paragraph;z-index:15758848" from="209.552994pt,11.551555pt" to="204.552994pt,11.551555pt" stroked="true" strokeweight=".5pt" strokecolor="#000000">
            <v:stroke dashstyle="solid"/>
            <w10:wrap type="none"/>
          </v:line>
        </w:pict>
      </w:r>
      <w:r>
        <w:rPr>
          <w:sz w:val="12"/>
        </w:rPr>
        <w:t>Per cent </w:t>
      </w:r>
      <w:r>
        <w:rPr>
          <w:spacing w:val="5"/>
          <w:sz w:val="12"/>
        </w:rPr>
        <w:t> </w:t>
      </w:r>
      <w:r>
        <w:rPr>
          <w:position w:val="-3"/>
          <w:sz w:val="12"/>
        </w:rPr>
        <w:t>8.5</w:t>
      </w:r>
    </w:p>
    <w:p>
      <w:pPr>
        <w:pStyle w:val="BodyText"/>
        <w:spacing w:before="1"/>
        <w:rPr>
          <w:sz w:val="14"/>
        </w:rPr>
      </w:pPr>
    </w:p>
    <w:p>
      <w:pPr>
        <w:spacing w:before="0"/>
        <w:ind w:left="0" w:right="192" w:firstLine="0"/>
        <w:jc w:val="right"/>
        <w:rPr>
          <w:sz w:val="12"/>
        </w:rPr>
      </w:pPr>
      <w:r>
        <w:rPr/>
        <w:pict>
          <v:group style="position:absolute;margin-left:41.574001pt;margin-top:5.601555pt;width:168pt;height:121.75pt;mso-position-horizontal-relative:page;mso-position-vertical-relative:paragraph;z-index:15757312" coordorigin="831,112" coordsize="3360,2435">
            <v:shape style="position:absolute;left:1011;top:122;width:3020;height:2380" coordorigin="1011,122" coordsize="3020,2380" path="m1011,982l1091,702,1191,122,1291,202,1371,882,1471,1022,1551,1562,1651,1722,1731,1522,1831,1682,1931,1682,2011,1842,2111,1962,2191,2302,2291,2282,2371,2502,2471,2322,2571,2382,2651,2302,2751,2162,2831,1982,2931,1942,3011,1942,3111,2002,3191,1942,3291,1722,3391,1342,3471,1382,3571,1522,3651,1522,3751,1722,3831,1642,3931,2042,4031,2102e" filled="false" stroked="true" strokeweight="1pt" strokecolor="#0093c0">
              <v:path arrowok="t"/>
              <v:stroke dashstyle="solid"/>
            </v:shape>
            <v:shape style="position:absolute;left:831;top:122;width:3360;height:2420" coordorigin="831,122" coordsize="3360,2420" path="m931,2542l831,2542m931,2222l831,2222m931,1922l831,1922m931,1622l831,1622m931,1322l831,1322m931,1022l831,1022m931,722l831,722m931,422l831,422m931,122l831,122m4191,2542l4091,2542m4191,2222l4091,2222m4191,1922l4091,1922m4191,1622l4091,1622m4191,1322l4091,1322m4191,1022l4091,1022m4191,722l4091,722m4191,422l4091,422m4191,122l4091,122e" filled="false" stroked="true" strokeweight=".5pt" strokecolor="#000000">
              <v:path arrowok="t"/>
              <v:stroke dashstyle="solid"/>
            </v:shape>
            <w10:wrap type="none"/>
          </v:group>
        </w:pict>
      </w:r>
      <w:r>
        <w:rPr>
          <w:sz w:val="12"/>
        </w:rPr>
        <w:t>8.0</w:t>
      </w:r>
    </w:p>
    <w:p>
      <w:pPr>
        <w:pStyle w:val="BodyText"/>
        <w:spacing w:before="1"/>
        <w:rPr>
          <w:sz w:val="14"/>
        </w:rPr>
      </w:pPr>
    </w:p>
    <w:p>
      <w:pPr>
        <w:spacing w:before="0"/>
        <w:ind w:left="0" w:right="192" w:firstLine="0"/>
        <w:jc w:val="right"/>
        <w:rPr>
          <w:sz w:val="12"/>
        </w:rPr>
      </w:pPr>
      <w:r>
        <w:rPr>
          <w:sz w:val="12"/>
        </w:rPr>
        <w:t>7.5</w:t>
      </w:r>
    </w:p>
    <w:p>
      <w:pPr>
        <w:pStyle w:val="BodyText"/>
        <w:spacing w:before="1"/>
        <w:rPr>
          <w:sz w:val="14"/>
        </w:rPr>
      </w:pPr>
    </w:p>
    <w:p>
      <w:pPr>
        <w:spacing w:before="0"/>
        <w:ind w:left="0" w:right="192" w:firstLine="0"/>
        <w:jc w:val="right"/>
        <w:rPr>
          <w:sz w:val="12"/>
        </w:rPr>
      </w:pPr>
      <w:r>
        <w:rPr>
          <w:sz w:val="12"/>
        </w:rPr>
        <w:t>7.0</w:t>
      </w:r>
    </w:p>
    <w:p>
      <w:pPr>
        <w:pStyle w:val="BodyText"/>
        <w:spacing w:before="1"/>
        <w:rPr>
          <w:sz w:val="14"/>
        </w:rPr>
      </w:pPr>
    </w:p>
    <w:p>
      <w:pPr>
        <w:spacing w:before="1"/>
        <w:ind w:left="0" w:right="192" w:firstLine="0"/>
        <w:jc w:val="right"/>
        <w:rPr>
          <w:sz w:val="12"/>
        </w:rPr>
      </w:pPr>
      <w:r>
        <w:rPr>
          <w:sz w:val="12"/>
        </w:rPr>
        <w:t>6.5</w:t>
      </w:r>
    </w:p>
    <w:p>
      <w:pPr>
        <w:pStyle w:val="BodyText"/>
        <w:rPr>
          <w:sz w:val="14"/>
        </w:rPr>
      </w:pPr>
    </w:p>
    <w:p>
      <w:pPr>
        <w:spacing w:before="1"/>
        <w:ind w:left="0" w:right="192" w:firstLine="0"/>
        <w:jc w:val="right"/>
        <w:rPr>
          <w:sz w:val="12"/>
        </w:rPr>
      </w:pPr>
      <w:r>
        <w:rPr>
          <w:sz w:val="12"/>
        </w:rPr>
        <w:t>6.0</w:t>
      </w:r>
    </w:p>
    <w:p>
      <w:pPr>
        <w:pStyle w:val="BodyText"/>
        <w:rPr>
          <w:sz w:val="14"/>
        </w:rPr>
      </w:pPr>
    </w:p>
    <w:p>
      <w:pPr>
        <w:spacing w:before="1"/>
        <w:ind w:left="0" w:right="192" w:firstLine="0"/>
        <w:jc w:val="right"/>
        <w:rPr>
          <w:sz w:val="12"/>
        </w:rPr>
      </w:pPr>
      <w:r>
        <w:rPr>
          <w:sz w:val="12"/>
        </w:rPr>
        <w:t>5.5</w:t>
      </w:r>
    </w:p>
    <w:p>
      <w:pPr>
        <w:pStyle w:val="BodyText"/>
        <w:rPr>
          <w:sz w:val="14"/>
        </w:rPr>
      </w:pPr>
    </w:p>
    <w:p>
      <w:pPr>
        <w:spacing w:before="1"/>
        <w:ind w:left="0" w:right="192" w:firstLine="0"/>
        <w:jc w:val="right"/>
        <w:rPr>
          <w:sz w:val="12"/>
        </w:rPr>
      </w:pPr>
      <w:r>
        <w:rPr>
          <w:sz w:val="12"/>
        </w:rPr>
        <w:t>5.0</w:t>
      </w:r>
    </w:p>
    <w:p>
      <w:pPr>
        <w:pStyle w:val="BodyText"/>
        <w:rPr>
          <w:sz w:val="14"/>
        </w:rPr>
      </w:pPr>
    </w:p>
    <w:p>
      <w:pPr>
        <w:spacing w:before="1"/>
        <w:ind w:left="0" w:right="192" w:firstLine="0"/>
        <w:jc w:val="right"/>
        <w:rPr>
          <w:sz w:val="12"/>
        </w:rPr>
      </w:pPr>
      <w:r>
        <w:rPr>
          <w:sz w:val="12"/>
        </w:rPr>
        <w:t>4.5</w:t>
      </w:r>
    </w:p>
    <w:p>
      <w:pPr>
        <w:pStyle w:val="BodyText"/>
        <w:spacing w:before="9"/>
        <w:rPr>
          <w:sz w:val="15"/>
        </w:rPr>
      </w:pPr>
    </w:p>
    <w:p>
      <w:pPr>
        <w:spacing w:before="0"/>
        <w:ind w:left="0" w:right="192" w:firstLine="0"/>
        <w:jc w:val="right"/>
        <w:rPr>
          <w:sz w:val="12"/>
        </w:rPr>
      </w:pPr>
      <w:r>
        <w:rPr>
          <w:sz w:val="12"/>
        </w:rPr>
        <w:t>4.0</w:t>
      </w:r>
    </w:p>
    <w:p>
      <w:pPr>
        <w:pStyle w:val="BodyText"/>
        <w:spacing w:before="4"/>
        <w:rPr>
          <w:sz w:val="12"/>
        </w:rPr>
      </w:pPr>
    </w:p>
    <w:p>
      <w:pPr>
        <w:spacing w:before="0"/>
        <w:ind w:left="0" w:right="192" w:firstLine="0"/>
        <w:jc w:val="right"/>
        <w:rPr>
          <w:sz w:val="12"/>
        </w:rPr>
      </w:pPr>
      <w:r>
        <w:rPr/>
        <w:pict>
          <v:group style="position:absolute;margin-left:40.574001pt;margin-top:5.851563pt;width:169.25pt;height:8.5pt;mso-position-horizontal-relative:page;mso-position-vertical-relative:paragraph;z-index:15757824" coordorigin="811,117" coordsize="3385,170">
            <v:shape style="position:absolute;left:811;top:122;width:3360;height:160" coordorigin="811,122" coordsize="3360,160" path="m911,122l811,122m4171,142l4071,142m904,282l4016,282m991,282l991,242m1091,282l1091,242m1171,282l1171,242m1271,282l1271,242m1351,282l1351,242m1451,282l1451,242m1551,282l1551,242m1631,282l1631,242m1731,282l1731,242m1811,282l1811,242m1911,282l1911,242m1991,282l1991,242m2091,282l2091,242m2191,282l2191,242m2271,282l2271,242m2371,282l2371,242m2451,282l2451,242m2551,282l2551,242m2631,282l2631,242m2731,282l2731,242m2811,282l2811,242m2911,282l2911,242m2991,282l2991,242m3091,282l3091,242m3191,282l3191,242m3271,282l3271,242m3371,282l3371,242m3451,282l3451,242m3551,282l3551,242m3631,282l3631,242m3731,282l3731,242m3831,282l3831,242m3911,282l3911,242m4011,282l4011,242m991,282l991,182m1351,282l1351,182m1731,282l1731,182m2091,282l2091,182m2451,282l2451,182m2811,282l2811,182m3191,282l3191,182m3551,282l3551,182m3911,282l3911,182m911,282l811,282m4171,282l4004,282e" filled="false" stroked="true" strokeweight=".5pt" strokecolor="#000000">
              <v:path arrowok="t"/>
              <v:stroke dashstyle="solid"/>
            </v:shape>
            <v:shape style="position:absolute;left:894;top:123;width:3298;height:159" coordorigin="894,123" coordsize="3298,159" path="m4171,142l4171,177,4151,193,4191,207,4151,227,4191,244,4168,254,4168,277m914,123l914,171,894,187,934,201,894,221,934,237,911,247,910,282e" filled="false" stroked="true" strokeweight=".5pt" strokecolor="#000000">
              <v:path arrowok="t"/>
              <v:stroke dashstyle="solid"/>
            </v:shape>
            <w10:wrap type="none"/>
          </v:group>
        </w:pict>
      </w:r>
      <w:r>
        <w:rPr>
          <w:sz w:val="12"/>
        </w:rPr>
        <w:t>3.5</w:t>
      </w:r>
    </w:p>
    <w:p>
      <w:pPr>
        <w:pStyle w:val="BodyText"/>
        <w:spacing w:before="2"/>
        <w:rPr>
          <w:sz w:val="25"/>
        </w:rPr>
      </w:pPr>
      <w:r>
        <w:rPr/>
        <w:br w:type="column"/>
      </w:r>
      <w:r>
        <w:rPr>
          <w:sz w:val="25"/>
        </w:rPr>
      </w:r>
    </w:p>
    <w:p>
      <w:pPr>
        <w:pStyle w:val="Heading4"/>
        <w:spacing w:line="242" w:lineRule="auto"/>
        <w:ind w:left="214" w:right="247"/>
      </w:pPr>
      <w:r>
        <w:rPr/>
        <w:t>It is possible that other financial corporations may try to economise on money balances once the current financial uncertainty diminishes. If these balances were used to purchase financial assets rather than run down loans, there would be greater expansionary pressure.</w:t>
      </w:r>
    </w:p>
    <w:p>
      <w:pPr>
        <w:pStyle w:val="BodyText"/>
        <w:spacing w:before="10"/>
        <w:rPr>
          <w:sz w:val="31"/>
        </w:rPr>
      </w:pPr>
    </w:p>
    <w:p>
      <w:pPr>
        <w:pStyle w:val="Heading5"/>
        <w:ind w:left="214"/>
        <w:rPr>
          <w:i/>
        </w:rPr>
      </w:pPr>
      <w:r>
        <w:rPr>
          <w:i/>
          <w:color w:val="009483"/>
        </w:rPr>
        <w:t>Household sector</w:t>
      </w:r>
    </w:p>
    <w:p>
      <w:pPr>
        <w:spacing w:line="242" w:lineRule="auto" w:before="164"/>
        <w:ind w:left="214" w:right="221" w:firstLine="0"/>
        <w:jc w:val="left"/>
        <w:rPr>
          <w:sz w:val="24"/>
        </w:rPr>
      </w:pPr>
      <w:r>
        <w:rPr>
          <w:sz w:val="24"/>
        </w:rPr>
        <w:t>The year-on-year growth in the household sector’s M4 has declined so far this year. The ratio of nominal household expenditure to that sector’s M4 deposits has been reasonably stable for the past seven years. It is possible that the annual growth in nominal household</w:t>
      </w:r>
    </w:p>
    <w:p>
      <w:pPr>
        <w:pStyle w:val="BodyText"/>
        <w:rPr>
          <w:sz w:val="26"/>
        </w:rPr>
      </w:pPr>
      <w:r>
        <w:rPr/>
        <w:pict>
          <v:shape style="position:absolute;margin-left:278pt;margin-top:17.022667pt;width:277.25pt;height:.1pt;mso-position-horizontal-relative:page;mso-position-vertical-relative:paragraph;z-index:-15707136;mso-wrap-distance-left:0;mso-wrap-distance-right:0" coordorigin="5560,340" coordsize="5545,0" path="m5560,340l11105,340e" filled="false" stroked="true" strokeweight=".125pt" strokecolor="#000000">
            <v:path arrowok="t"/>
            <v:stroke dashstyle="solid"/>
            <w10:wrap type="topAndBottom"/>
          </v:shape>
        </w:pict>
      </w:r>
    </w:p>
    <w:p>
      <w:pPr>
        <w:spacing w:line="208" w:lineRule="auto" w:before="0"/>
        <w:ind w:left="434" w:right="793" w:hanging="240"/>
        <w:jc w:val="left"/>
        <w:rPr>
          <w:sz w:val="16"/>
        </w:rPr>
      </w:pPr>
      <w:r>
        <w:rPr>
          <w:sz w:val="16"/>
        </w:rPr>
        <w:t>(1) The titles of the economic sectors in the monetary statistics have changed, to bring them into line with those used in the National Accounts statistics, which have been revised to conform to the new European System of Accounts 1995 (ESA95). The coverage in the Bank’s monetary statistics, however, remains unchanged. Other financial institutions (OFIs) are now</w:t>
      </w:r>
    </w:p>
    <w:p>
      <w:pPr>
        <w:spacing w:after="0" w:line="208" w:lineRule="auto"/>
        <w:jc w:val="left"/>
        <w:rPr>
          <w:sz w:val="16"/>
        </w:rPr>
        <w:sectPr>
          <w:type w:val="continuous"/>
          <w:pgSz w:w="11900" w:h="16840"/>
          <w:pgMar w:top="1220" w:bottom="280" w:left="620" w:right="520"/>
          <w:cols w:num="2" w:equalWidth="0">
            <w:col w:w="3986" w:space="794"/>
            <w:col w:w="5980"/>
          </w:cols>
        </w:sectPr>
      </w:pPr>
    </w:p>
    <w:p>
      <w:pPr>
        <w:tabs>
          <w:tab w:pos="850" w:val="left" w:leader="none"/>
          <w:tab w:pos="1210" w:val="left" w:leader="none"/>
          <w:tab w:pos="1570" w:val="left" w:leader="none"/>
          <w:tab w:pos="1930" w:val="left" w:leader="none"/>
          <w:tab w:pos="2311" w:val="left" w:leader="none"/>
          <w:tab w:pos="2671" w:val="left" w:leader="none"/>
          <w:tab w:pos="3031" w:val="left" w:leader="none"/>
        </w:tabs>
        <w:spacing w:before="45"/>
        <w:ind w:left="401" w:right="0" w:firstLine="0"/>
        <w:jc w:val="left"/>
        <w:rPr>
          <w:sz w:val="12"/>
        </w:rPr>
      </w:pPr>
      <w:r>
        <w:rPr>
          <w:sz w:val="12"/>
        </w:rPr>
        <w:t>1990</w:t>
        <w:tab/>
        <w:t>91</w:t>
        <w:tab/>
        <w:t>92</w:t>
        <w:tab/>
        <w:t>93</w:t>
        <w:tab/>
        <w:t>94</w:t>
        <w:tab/>
        <w:t>95</w:t>
        <w:tab/>
        <w:t>96</w:t>
        <w:tab/>
        <w:t>97</w:t>
      </w:r>
      <w:r>
        <w:rPr>
          <w:spacing w:val="20"/>
          <w:sz w:val="12"/>
        </w:rPr>
        <w:t> </w:t>
      </w:r>
      <w:r>
        <w:rPr>
          <w:spacing w:val="-10"/>
          <w:sz w:val="12"/>
        </w:rPr>
        <w:t>98</w:t>
      </w:r>
    </w:p>
    <w:p>
      <w:pPr>
        <w:spacing w:line="110" w:lineRule="exact" w:before="0"/>
        <w:ind w:left="159" w:right="0" w:firstLine="0"/>
        <w:jc w:val="left"/>
        <w:rPr>
          <w:sz w:val="12"/>
        </w:rPr>
      </w:pPr>
      <w:r>
        <w:rPr/>
        <w:br w:type="column"/>
      </w:r>
      <w:r>
        <w:rPr>
          <w:sz w:val="12"/>
        </w:rPr>
        <w:t>0.0</w:t>
      </w:r>
    </w:p>
    <w:p>
      <w:pPr>
        <w:spacing w:line="208" w:lineRule="auto" w:before="0"/>
        <w:ind w:left="401" w:right="731" w:firstLine="0"/>
        <w:jc w:val="left"/>
        <w:rPr>
          <w:sz w:val="16"/>
        </w:rPr>
      </w:pPr>
      <w:r>
        <w:rPr/>
        <w:br w:type="column"/>
      </w:r>
      <w:r>
        <w:rPr>
          <w:sz w:val="16"/>
        </w:rPr>
        <w:t>known as ‘other financial corporations’ (OFCs), industrial and commercial companies (ICCs) are now known as ‘private non-financial corporations’ (PNFCs) and the personal sector is now known as the ‘household sector’.</w:t>
      </w:r>
    </w:p>
    <w:p>
      <w:pPr>
        <w:spacing w:after="0" w:line="208" w:lineRule="auto"/>
        <w:jc w:val="left"/>
        <w:rPr>
          <w:sz w:val="16"/>
        </w:rPr>
        <w:sectPr>
          <w:type w:val="continuous"/>
          <w:pgSz w:w="11900" w:h="16840"/>
          <w:pgMar w:top="1220" w:bottom="280" w:left="620" w:right="520"/>
          <w:cols w:num="3" w:equalWidth="0">
            <w:col w:w="3442" w:space="40"/>
            <w:col w:w="350" w:space="981"/>
            <w:col w:w="5947"/>
          </w:cols>
        </w:sectPr>
      </w:pPr>
    </w:p>
    <w:p>
      <w:pPr>
        <w:pStyle w:val="BodyText"/>
        <w:rPr>
          <w:sz w:val="20"/>
        </w:rPr>
      </w:pPr>
    </w:p>
    <w:p>
      <w:pPr>
        <w:spacing w:after="0"/>
        <w:rPr>
          <w:sz w:val="20"/>
        </w:rPr>
        <w:sectPr>
          <w:footerReference w:type="default" r:id="rId16"/>
          <w:footerReference w:type="even" r:id="rId17"/>
          <w:pgSz w:w="11900" w:h="16840"/>
          <w:pgMar w:footer="617" w:header="586" w:top="780" w:bottom="800" w:left="620" w:right="520"/>
          <w:pgNumType w:start="5"/>
        </w:sectPr>
      </w:pPr>
    </w:p>
    <w:p>
      <w:pPr>
        <w:pStyle w:val="BodyText"/>
        <w:spacing w:before="10"/>
        <w:rPr>
          <w:sz w:val="19"/>
        </w:rPr>
      </w:pPr>
    </w:p>
    <w:p>
      <w:pPr>
        <w:pStyle w:val="Heading7"/>
        <w:spacing w:before="1"/>
        <w:ind w:left="180"/>
      </w:pPr>
      <w:bookmarkStart w:name="Private non-financial corporations Opera" w:id="10"/>
      <w:bookmarkEnd w:id="10"/>
      <w:r>
        <w:rPr>
          <w:b w:val="0"/>
        </w:rPr>
      </w:r>
      <w:bookmarkStart w:name="Credit" w:id="11"/>
      <w:bookmarkEnd w:id="11"/>
      <w:r>
        <w:rPr>
          <w:b w:val="0"/>
        </w:rPr>
      </w:r>
      <w:bookmarkStart w:name="Private non-financial corporations" w:id="12"/>
      <w:bookmarkEnd w:id="12"/>
      <w:r>
        <w:rPr>
          <w:b w:val="0"/>
        </w:rPr>
      </w:r>
      <w:bookmarkStart w:name="_bookmark2" w:id="13"/>
      <w:bookmarkEnd w:id="13"/>
      <w:r>
        <w:rPr>
          <w:b w:val="0"/>
        </w:rPr>
      </w:r>
      <w:r>
        <w:rPr>
          <w:color w:val="0093C1"/>
        </w:rPr>
        <w:t>Table 1.A</w:t>
      </w:r>
    </w:p>
    <w:p>
      <w:pPr>
        <w:spacing w:before="10"/>
        <w:ind w:left="180" w:right="0" w:firstLine="0"/>
        <w:jc w:val="left"/>
        <w:rPr>
          <w:b/>
          <w:sz w:val="20"/>
        </w:rPr>
      </w:pPr>
      <w:r>
        <w:rPr>
          <w:b/>
          <w:color w:val="0093C1"/>
          <w:sz w:val="20"/>
        </w:rPr>
        <w:t>Large British banks:</w:t>
      </w:r>
      <w:r>
        <w:rPr>
          <w:position w:val="4"/>
          <w:sz w:val="12"/>
        </w:rPr>
        <w:t>(a) </w:t>
      </w:r>
      <w:r>
        <w:rPr>
          <w:b/>
          <w:color w:val="0093C1"/>
          <w:sz w:val="20"/>
        </w:rPr>
        <w:t>profits and capital</w:t>
      </w:r>
    </w:p>
    <w:p>
      <w:pPr>
        <w:pStyle w:val="BodyText"/>
        <w:spacing w:before="10"/>
        <w:rPr>
          <w:b/>
          <w:sz w:val="21"/>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1"/>
        <w:gridCol w:w="456"/>
        <w:gridCol w:w="479"/>
        <w:gridCol w:w="451"/>
        <w:gridCol w:w="435"/>
        <w:gridCol w:w="580"/>
      </w:tblGrid>
      <w:tr>
        <w:trPr>
          <w:trHeight w:val="287" w:hRule="atLeast"/>
        </w:trPr>
        <w:tc>
          <w:tcPr>
            <w:tcW w:w="2041" w:type="dxa"/>
          </w:tcPr>
          <w:p>
            <w:pPr>
              <w:pStyle w:val="TableParagraph"/>
              <w:spacing w:line="155" w:lineRule="exact"/>
              <w:ind w:left="50"/>
              <w:rPr>
                <w:i/>
                <w:sz w:val="14"/>
              </w:rPr>
            </w:pPr>
            <w:r>
              <w:rPr>
                <w:sz w:val="14"/>
              </w:rPr>
              <w:t>£ billions;</w:t>
            </w:r>
            <w:r>
              <w:rPr>
                <w:sz w:val="12"/>
              </w:rPr>
              <w:t>(b) </w:t>
            </w:r>
            <w:r>
              <w:rPr>
                <w:i/>
                <w:sz w:val="14"/>
              </w:rPr>
              <w:t>percentages in italics</w:t>
            </w:r>
          </w:p>
        </w:tc>
        <w:tc>
          <w:tcPr>
            <w:tcW w:w="456" w:type="dxa"/>
          </w:tcPr>
          <w:p>
            <w:pPr>
              <w:pStyle w:val="TableParagraph"/>
              <w:spacing w:line="133" w:lineRule="exact" w:before="134"/>
              <w:ind w:right="72"/>
              <w:jc w:val="right"/>
              <w:rPr>
                <w:sz w:val="14"/>
              </w:rPr>
            </w:pPr>
            <w:r>
              <w:rPr>
                <w:sz w:val="14"/>
                <w:u w:val="single"/>
              </w:rPr>
              <w:t>1994 </w:t>
            </w:r>
          </w:p>
        </w:tc>
        <w:tc>
          <w:tcPr>
            <w:tcW w:w="479" w:type="dxa"/>
          </w:tcPr>
          <w:p>
            <w:pPr>
              <w:pStyle w:val="TableParagraph"/>
              <w:spacing w:line="133" w:lineRule="exact" w:before="134"/>
              <w:ind w:right="61"/>
              <w:jc w:val="right"/>
              <w:rPr>
                <w:sz w:val="14"/>
              </w:rPr>
            </w:pPr>
            <w:r>
              <w:rPr>
                <w:sz w:val="14"/>
                <w:u w:val="single"/>
              </w:rPr>
              <w:t>1995 </w:t>
            </w:r>
          </w:p>
        </w:tc>
        <w:tc>
          <w:tcPr>
            <w:tcW w:w="1466" w:type="dxa"/>
            <w:gridSpan w:val="3"/>
          </w:tcPr>
          <w:p>
            <w:pPr>
              <w:pStyle w:val="TableParagraph"/>
              <w:spacing w:line="133" w:lineRule="exact" w:before="134"/>
              <w:ind w:left="64"/>
              <w:rPr>
                <w:sz w:val="14"/>
              </w:rPr>
            </w:pPr>
            <w:r>
              <w:rPr>
                <w:sz w:val="14"/>
                <w:u w:val="single"/>
              </w:rPr>
              <w:t>1996</w:t>
            </w:r>
            <w:r>
              <w:rPr>
                <w:sz w:val="14"/>
              </w:rPr>
              <w:t> </w:t>
            </w:r>
            <w:r>
              <w:rPr>
                <w:sz w:val="14"/>
                <w:u w:val="single"/>
              </w:rPr>
              <w:t>1997</w:t>
            </w:r>
            <w:r>
              <w:rPr>
                <w:sz w:val="14"/>
              </w:rPr>
              <w:t> </w:t>
            </w:r>
            <w:r>
              <w:rPr>
                <w:sz w:val="14"/>
                <w:u w:val="single"/>
              </w:rPr>
              <w:t>1998 H1</w:t>
            </w:r>
          </w:p>
        </w:tc>
      </w:tr>
      <w:tr>
        <w:trPr>
          <w:trHeight w:val="147" w:hRule="atLeast"/>
        </w:trPr>
        <w:tc>
          <w:tcPr>
            <w:tcW w:w="2041" w:type="dxa"/>
          </w:tcPr>
          <w:p>
            <w:pPr>
              <w:pStyle w:val="TableParagraph"/>
              <w:spacing w:line="128" w:lineRule="exact"/>
              <w:ind w:left="50"/>
              <w:rPr>
                <w:sz w:val="14"/>
              </w:rPr>
            </w:pPr>
            <w:r>
              <w:rPr>
                <w:sz w:val="14"/>
              </w:rPr>
              <w:t>Operating profit before</w:t>
            </w:r>
          </w:p>
        </w:tc>
        <w:tc>
          <w:tcPr>
            <w:tcW w:w="456" w:type="dxa"/>
          </w:tcPr>
          <w:p>
            <w:pPr>
              <w:pStyle w:val="TableParagraph"/>
              <w:rPr>
                <w:sz w:val="8"/>
              </w:rPr>
            </w:pPr>
          </w:p>
        </w:tc>
        <w:tc>
          <w:tcPr>
            <w:tcW w:w="479" w:type="dxa"/>
          </w:tcPr>
          <w:p>
            <w:pPr>
              <w:pStyle w:val="TableParagraph"/>
              <w:rPr>
                <w:sz w:val="8"/>
              </w:rPr>
            </w:pPr>
          </w:p>
        </w:tc>
        <w:tc>
          <w:tcPr>
            <w:tcW w:w="1466" w:type="dxa"/>
            <w:gridSpan w:val="3"/>
          </w:tcPr>
          <w:p>
            <w:pPr>
              <w:pStyle w:val="TableParagraph"/>
              <w:rPr>
                <w:sz w:val="8"/>
              </w:rPr>
            </w:pPr>
          </w:p>
        </w:tc>
      </w:tr>
      <w:tr>
        <w:trPr>
          <w:trHeight w:val="132" w:hRule="atLeast"/>
        </w:trPr>
        <w:tc>
          <w:tcPr>
            <w:tcW w:w="2041" w:type="dxa"/>
          </w:tcPr>
          <w:p>
            <w:pPr>
              <w:pStyle w:val="TableParagraph"/>
              <w:spacing w:line="128" w:lineRule="exact"/>
              <w:ind w:left="120"/>
              <w:rPr>
                <w:sz w:val="14"/>
              </w:rPr>
            </w:pPr>
            <w:r>
              <w:rPr>
                <w:sz w:val="14"/>
              </w:rPr>
              <w:t>bad debts</w:t>
            </w:r>
          </w:p>
        </w:tc>
        <w:tc>
          <w:tcPr>
            <w:tcW w:w="456" w:type="dxa"/>
          </w:tcPr>
          <w:p>
            <w:pPr>
              <w:pStyle w:val="TableParagraph"/>
              <w:spacing w:line="128" w:lineRule="exact"/>
              <w:ind w:right="62"/>
              <w:jc w:val="right"/>
              <w:rPr>
                <w:sz w:val="14"/>
              </w:rPr>
            </w:pPr>
            <w:r>
              <w:rPr>
                <w:sz w:val="14"/>
              </w:rPr>
              <w:t>9.8</w:t>
            </w:r>
          </w:p>
        </w:tc>
        <w:tc>
          <w:tcPr>
            <w:tcW w:w="479" w:type="dxa"/>
          </w:tcPr>
          <w:p>
            <w:pPr>
              <w:pStyle w:val="TableParagraph"/>
              <w:spacing w:line="128" w:lineRule="exact"/>
              <w:ind w:right="77"/>
              <w:jc w:val="right"/>
              <w:rPr>
                <w:sz w:val="14"/>
              </w:rPr>
            </w:pPr>
            <w:r>
              <w:rPr>
                <w:sz w:val="14"/>
              </w:rPr>
              <w:t>11.4</w:t>
            </w:r>
          </w:p>
        </w:tc>
        <w:tc>
          <w:tcPr>
            <w:tcW w:w="451" w:type="dxa"/>
          </w:tcPr>
          <w:p>
            <w:pPr>
              <w:pStyle w:val="TableParagraph"/>
              <w:spacing w:line="128" w:lineRule="exact"/>
              <w:ind w:right="63"/>
              <w:jc w:val="right"/>
              <w:rPr>
                <w:sz w:val="14"/>
              </w:rPr>
            </w:pPr>
            <w:r>
              <w:rPr>
                <w:sz w:val="14"/>
              </w:rPr>
              <w:t>13.0</w:t>
            </w:r>
          </w:p>
        </w:tc>
        <w:tc>
          <w:tcPr>
            <w:tcW w:w="435" w:type="dxa"/>
          </w:tcPr>
          <w:p>
            <w:pPr>
              <w:pStyle w:val="TableParagraph"/>
              <w:spacing w:line="128" w:lineRule="exact"/>
              <w:ind w:left="117" w:right="32"/>
              <w:jc w:val="center"/>
              <w:rPr>
                <w:sz w:val="14"/>
              </w:rPr>
            </w:pPr>
            <w:r>
              <w:rPr>
                <w:sz w:val="14"/>
              </w:rPr>
              <w:t>14.2</w:t>
            </w:r>
          </w:p>
        </w:tc>
        <w:tc>
          <w:tcPr>
            <w:tcW w:w="580" w:type="dxa"/>
          </w:tcPr>
          <w:p>
            <w:pPr>
              <w:pStyle w:val="TableParagraph"/>
              <w:spacing w:line="128" w:lineRule="exact"/>
              <w:ind w:right="208"/>
              <w:jc w:val="right"/>
              <w:rPr>
                <w:sz w:val="14"/>
              </w:rPr>
            </w:pPr>
            <w:r>
              <w:rPr>
                <w:sz w:val="14"/>
              </w:rPr>
              <w:t>8.1</w:t>
            </w:r>
          </w:p>
        </w:tc>
      </w:tr>
      <w:tr>
        <w:trPr>
          <w:trHeight w:val="280" w:hRule="atLeast"/>
        </w:trPr>
        <w:tc>
          <w:tcPr>
            <w:tcW w:w="2041" w:type="dxa"/>
          </w:tcPr>
          <w:p>
            <w:pPr>
              <w:pStyle w:val="TableParagraph"/>
              <w:spacing w:line="140" w:lineRule="exact" w:before="5"/>
              <w:ind w:left="120" w:right="384" w:hanging="70"/>
              <w:rPr>
                <w:sz w:val="14"/>
              </w:rPr>
            </w:pPr>
            <w:r>
              <w:rPr>
                <w:sz w:val="14"/>
              </w:rPr>
              <w:t>Charge for bad and doubtful debts</w:t>
            </w:r>
          </w:p>
        </w:tc>
        <w:tc>
          <w:tcPr>
            <w:tcW w:w="456" w:type="dxa"/>
          </w:tcPr>
          <w:p>
            <w:pPr>
              <w:pStyle w:val="TableParagraph"/>
              <w:spacing w:line="133" w:lineRule="exact" w:before="126"/>
              <w:ind w:right="62"/>
              <w:jc w:val="right"/>
              <w:rPr>
                <w:sz w:val="14"/>
              </w:rPr>
            </w:pPr>
            <w:r>
              <w:rPr>
                <w:sz w:val="14"/>
              </w:rPr>
              <w:t>2.1</w:t>
            </w:r>
          </w:p>
        </w:tc>
        <w:tc>
          <w:tcPr>
            <w:tcW w:w="479" w:type="dxa"/>
          </w:tcPr>
          <w:p>
            <w:pPr>
              <w:pStyle w:val="TableParagraph"/>
              <w:spacing w:line="133" w:lineRule="exact" w:before="126"/>
              <w:ind w:right="77"/>
              <w:jc w:val="right"/>
              <w:rPr>
                <w:sz w:val="14"/>
              </w:rPr>
            </w:pPr>
            <w:r>
              <w:rPr>
                <w:sz w:val="14"/>
              </w:rPr>
              <w:t>2.2</w:t>
            </w:r>
          </w:p>
        </w:tc>
        <w:tc>
          <w:tcPr>
            <w:tcW w:w="451" w:type="dxa"/>
          </w:tcPr>
          <w:p>
            <w:pPr>
              <w:pStyle w:val="TableParagraph"/>
              <w:spacing w:line="133" w:lineRule="exact" w:before="126"/>
              <w:ind w:right="63"/>
              <w:jc w:val="right"/>
              <w:rPr>
                <w:sz w:val="14"/>
              </w:rPr>
            </w:pPr>
            <w:r>
              <w:rPr>
                <w:sz w:val="14"/>
              </w:rPr>
              <w:t>1.8</w:t>
            </w:r>
          </w:p>
        </w:tc>
        <w:tc>
          <w:tcPr>
            <w:tcW w:w="435" w:type="dxa"/>
          </w:tcPr>
          <w:p>
            <w:pPr>
              <w:pStyle w:val="TableParagraph"/>
              <w:spacing w:line="133" w:lineRule="exact" w:before="126"/>
              <w:ind w:left="187" w:right="32"/>
              <w:jc w:val="center"/>
              <w:rPr>
                <w:sz w:val="14"/>
              </w:rPr>
            </w:pPr>
            <w:r>
              <w:rPr>
                <w:sz w:val="14"/>
              </w:rPr>
              <w:t>2.0</w:t>
            </w:r>
          </w:p>
        </w:tc>
        <w:tc>
          <w:tcPr>
            <w:tcW w:w="580" w:type="dxa"/>
          </w:tcPr>
          <w:p>
            <w:pPr>
              <w:pStyle w:val="TableParagraph"/>
              <w:spacing w:line="133" w:lineRule="exact" w:before="126"/>
              <w:ind w:right="208"/>
              <w:jc w:val="right"/>
              <w:rPr>
                <w:sz w:val="14"/>
              </w:rPr>
            </w:pPr>
            <w:r>
              <w:rPr>
                <w:sz w:val="14"/>
              </w:rPr>
              <w:t>1.2</w:t>
            </w:r>
          </w:p>
        </w:tc>
      </w:tr>
      <w:tr>
        <w:trPr>
          <w:trHeight w:val="135" w:hRule="atLeast"/>
        </w:trPr>
        <w:tc>
          <w:tcPr>
            <w:tcW w:w="2041" w:type="dxa"/>
          </w:tcPr>
          <w:p>
            <w:pPr>
              <w:pStyle w:val="TableParagraph"/>
              <w:spacing w:line="115" w:lineRule="exact"/>
              <w:ind w:left="50"/>
              <w:rPr>
                <w:sz w:val="14"/>
              </w:rPr>
            </w:pPr>
            <w:r>
              <w:rPr>
                <w:sz w:val="14"/>
              </w:rPr>
              <w:t>Operating profits after bad debts</w:t>
            </w:r>
          </w:p>
        </w:tc>
        <w:tc>
          <w:tcPr>
            <w:tcW w:w="456" w:type="dxa"/>
          </w:tcPr>
          <w:p>
            <w:pPr>
              <w:pStyle w:val="TableParagraph"/>
              <w:spacing w:line="115" w:lineRule="exact"/>
              <w:ind w:right="62"/>
              <w:jc w:val="right"/>
              <w:rPr>
                <w:sz w:val="14"/>
              </w:rPr>
            </w:pPr>
            <w:r>
              <w:rPr>
                <w:sz w:val="14"/>
              </w:rPr>
              <w:t>7.8</w:t>
            </w:r>
          </w:p>
        </w:tc>
        <w:tc>
          <w:tcPr>
            <w:tcW w:w="479" w:type="dxa"/>
          </w:tcPr>
          <w:p>
            <w:pPr>
              <w:pStyle w:val="TableParagraph"/>
              <w:spacing w:line="115" w:lineRule="exact"/>
              <w:ind w:right="77"/>
              <w:jc w:val="right"/>
              <w:rPr>
                <w:sz w:val="14"/>
              </w:rPr>
            </w:pPr>
            <w:r>
              <w:rPr>
                <w:sz w:val="14"/>
              </w:rPr>
              <w:t>9.2</w:t>
            </w:r>
          </w:p>
        </w:tc>
        <w:tc>
          <w:tcPr>
            <w:tcW w:w="451" w:type="dxa"/>
          </w:tcPr>
          <w:p>
            <w:pPr>
              <w:pStyle w:val="TableParagraph"/>
              <w:spacing w:line="115" w:lineRule="exact"/>
              <w:ind w:right="63"/>
              <w:jc w:val="right"/>
              <w:rPr>
                <w:sz w:val="14"/>
              </w:rPr>
            </w:pPr>
            <w:r>
              <w:rPr>
                <w:sz w:val="14"/>
              </w:rPr>
              <w:t>11.2</w:t>
            </w:r>
          </w:p>
        </w:tc>
        <w:tc>
          <w:tcPr>
            <w:tcW w:w="435" w:type="dxa"/>
          </w:tcPr>
          <w:p>
            <w:pPr>
              <w:pStyle w:val="TableParagraph"/>
              <w:spacing w:line="115" w:lineRule="exact"/>
              <w:ind w:left="117" w:right="32"/>
              <w:jc w:val="center"/>
              <w:rPr>
                <w:sz w:val="14"/>
              </w:rPr>
            </w:pPr>
            <w:r>
              <w:rPr>
                <w:sz w:val="14"/>
              </w:rPr>
              <w:t>12.2</w:t>
            </w:r>
          </w:p>
        </w:tc>
        <w:tc>
          <w:tcPr>
            <w:tcW w:w="580" w:type="dxa"/>
          </w:tcPr>
          <w:p>
            <w:pPr>
              <w:pStyle w:val="TableParagraph"/>
              <w:spacing w:line="115" w:lineRule="exact"/>
              <w:ind w:right="208"/>
              <w:jc w:val="right"/>
              <w:rPr>
                <w:sz w:val="14"/>
              </w:rPr>
            </w:pPr>
            <w:r>
              <w:rPr>
                <w:sz w:val="14"/>
              </w:rPr>
              <w:t>6.9</w:t>
            </w:r>
          </w:p>
        </w:tc>
      </w:tr>
      <w:tr>
        <w:trPr>
          <w:trHeight w:val="140" w:hRule="atLeast"/>
        </w:trPr>
        <w:tc>
          <w:tcPr>
            <w:tcW w:w="2041" w:type="dxa"/>
          </w:tcPr>
          <w:p>
            <w:pPr>
              <w:pStyle w:val="TableParagraph"/>
              <w:spacing w:line="120" w:lineRule="exact"/>
              <w:ind w:left="50"/>
              <w:rPr>
                <w:sz w:val="14"/>
              </w:rPr>
            </w:pPr>
            <w:r>
              <w:rPr>
                <w:sz w:val="14"/>
              </w:rPr>
              <w:t>Total net capital</w:t>
            </w:r>
          </w:p>
        </w:tc>
        <w:tc>
          <w:tcPr>
            <w:tcW w:w="456" w:type="dxa"/>
          </w:tcPr>
          <w:p>
            <w:pPr>
              <w:pStyle w:val="TableParagraph"/>
              <w:spacing w:line="120" w:lineRule="exact"/>
              <w:ind w:right="63"/>
              <w:jc w:val="right"/>
              <w:rPr>
                <w:sz w:val="14"/>
              </w:rPr>
            </w:pPr>
            <w:r>
              <w:rPr>
                <w:sz w:val="14"/>
              </w:rPr>
              <w:t>46.3</w:t>
            </w:r>
          </w:p>
        </w:tc>
        <w:tc>
          <w:tcPr>
            <w:tcW w:w="479" w:type="dxa"/>
          </w:tcPr>
          <w:p>
            <w:pPr>
              <w:pStyle w:val="TableParagraph"/>
              <w:spacing w:line="120" w:lineRule="exact"/>
              <w:ind w:right="77"/>
              <w:jc w:val="right"/>
              <w:rPr>
                <w:sz w:val="14"/>
              </w:rPr>
            </w:pPr>
            <w:r>
              <w:rPr>
                <w:sz w:val="14"/>
              </w:rPr>
              <w:t>51.5</w:t>
            </w:r>
          </w:p>
        </w:tc>
        <w:tc>
          <w:tcPr>
            <w:tcW w:w="451" w:type="dxa"/>
          </w:tcPr>
          <w:p>
            <w:pPr>
              <w:pStyle w:val="TableParagraph"/>
              <w:spacing w:line="120" w:lineRule="exact"/>
              <w:ind w:right="63"/>
              <w:jc w:val="right"/>
              <w:rPr>
                <w:sz w:val="14"/>
              </w:rPr>
            </w:pPr>
            <w:r>
              <w:rPr>
                <w:sz w:val="14"/>
              </w:rPr>
              <w:t>54.5</w:t>
            </w:r>
          </w:p>
        </w:tc>
        <w:tc>
          <w:tcPr>
            <w:tcW w:w="435" w:type="dxa"/>
          </w:tcPr>
          <w:p>
            <w:pPr>
              <w:pStyle w:val="TableParagraph"/>
              <w:spacing w:line="120" w:lineRule="exact"/>
              <w:ind w:left="116" w:right="32"/>
              <w:jc w:val="center"/>
              <w:rPr>
                <w:sz w:val="14"/>
              </w:rPr>
            </w:pPr>
            <w:r>
              <w:rPr>
                <w:sz w:val="14"/>
              </w:rPr>
              <w:t>59.5</w:t>
            </w:r>
          </w:p>
        </w:tc>
        <w:tc>
          <w:tcPr>
            <w:tcW w:w="580" w:type="dxa"/>
          </w:tcPr>
          <w:p>
            <w:pPr>
              <w:pStyle w:val="TableParagraph"/>
              <w:spacing w:line="120" w:lineRule="exact"/>
              <w:ind w:right="208"/>
              <w:jc w:val="right"/>
              <w:rPr>
                <w:sz w:val="14"/>
              </w:rPr>
            </w:pPr>
            <w:r>
              <w:rPr>
                <w:sz w:val="14"/>
              </w:rPr>
              <w:t>62.4</w:t>
            </w:r>
          </w:p>
        </w:tc>
      </w:tr>
      <w:tr>
        <w:trPr>
          <w:trHeight w:val="140" w:hRule="atLeast"/>
        </w:trPr>
        <w:tc>
          <w:tcPr>
            <w:tcW w:w="2041" w:type="dxa"/>
          </w:tcPr>
          <w:p>
            <w:pPr>
              <w:pStyle w:val="TableParagraph"/>
              <w:spacing w:line="120" w:lineRule="exact"/>
              <w:ind w:left="50"/>
              <w:rPr>
                <w:sz w:val="14"/>
              </w:rPr>
            </w:pPr>
            <w:r>
              <w:rPr>
                <w:sz w:val="14"/>
              </w:rPr>
              <w:t>Total risk-weighted assets</w:t>
            </w:r>
          </w:p>
        </w:tc>
        <w:tc>
          <w:tcPr>
            <w:tcW w:w="456" w:type="dxa"/>
          </w:tcPr>
          <w:p>
            <w:pPr>
              <w:pStyle w:val="TableParagraph"/>
              <w:spacing w:line="120" w:lineRule="exact"/>
              <w:ind w:right="62"/>
              <w:jc w:val="right"/>
              <w:rPr>
                <w:sz w:val="14"/>
              </w:rPr>
            </w:pPr>
            <w:r>
              <w:rPr>
                <w:sz w:val="14"/>
              </w:rPr>
              <w:t>408.2</w:t>
            </w:r>
          </w:p>
        </w:tc>
        <w:tc>
          <w:tcPr>
            <w:tcW w:w="479" w:type="dxa"/>
          </w:tcPr>
          <w:p>
            <w:pPr>
              <w:pStyle w:val="TableParagraph"/>
              <w:spacing w:line="120" w:lineRule="exact"/>
              <w:ind w:right="77"/>
              <w:jc w:val="right"/>
              <w:rPr>
                <w:sz w:val="14"/>
              </w:rPr>
            </w:pPr>
            <w:r>
              <w:rPr>
                <w:sz w:val="14"/>
              </w:rPr>
              <w:t>475.9</w:t>
            </w:r>
          </w:p>
        </w:tc>
        <w:tc>
          <w:tcPr>
            <w:tcW w:w="451" w:type="dxa"/>
          </w:tcPr>
          <w:p>
            <w:pPr>
              <w:pStyle w:val="TableParagraph"/>
              <w:spacing w:line="120" w:lineRule="exact"/>
              <w:ind w:right="63"/>
              <w:jc w:val="right"/>
              <w:rPr>
                <w:sz w:val="14"/>
              </w:rPr>
            </w:pPr>
            <w:r>
              <w:rPr>
                <w:sz w:val="14"/>
              </w:rPr>
              <w:t>498.2</w:t>
            </w:r>
          </w:p>
        </w:tc>
        <w:tc>
          <w:tcPr>
            <w:tcW w:w="435" w:type="dxa"/>
          </w:tcPr>
          <w:p>
            <w:pPr>
              <w:pStyle w:val="TableParagraph"/>
              <w:spacing w:line="120" w:lineRule="exact"/>
              <w:ind w:left="47" w:right="32"/>
              <w:jc w:val="center"/>
              <w:rPr>
                <w:sz w:val="14"/>
              </w:rPr>
            </w:pPr>
            <w:r>
              <w:rPr>
                <w:sz w:val="14"/>
              </w:rPr>
              <w:t>534.0</w:t>
            </w:r>
          </w:p>
        </w:tc>
        <w:tc>
          <w:tcPr>
            <w:tcW w:w="580" w:type="dxa"/>
          </w:tcPr>
          <w:p>
            <w:pPr>
              <w:pStyle w:val="TableParagraph"/>
              <w:spacing w:line="120" w:lineRule="exact"/>
              <w:ind w:right="208"/>
              <w:jc w:val="right"/>
              <w:rPr>
                <w:sz w:val="14"/>
              </w:rPr>
            </w:pPr>
            <w:r>
              <w:rPr>
                <w:sz w:val="14"/>
              </w:rPr>
              <w:t>546.4</w:t>
            </w:r>
          </w:p>
        </w:tc>
      </w:tr>
      <w:tr>
        <w:trPr>
          <w:trHeight w:val="147" w:hRule="atLeast"/>
        </w:trPr>
        <w:tc>
          <w:tcPr>
            <w:tcW w:w="2041" w:type="dxa"/>
          </w:tcPr>
          <w:p>
            <w:pPr>
              <w:pStyle w:val="TableParagraph"/>
              <w:spacing w:line="128" w:lineRule="exact"/>
              <w:ind w:left="50"/>
              <w:rPr>
                <w:sz w:val="12"/>
              </w:rPr>
            </w:pPr>
            <w:r>
              <w:rPr>
                <w:sz w:val="14"/>
              </w:rPr>
              <w:t>Capital adequacy ratio </w:t>
            </w:r>
            <w:r>
              <w:rPr>
                <w:sz w:val="12"/>
              </w:rPr>
              <w:t>(c)</w:t>
            </w:r>
          </w:p>
        </w:tc>
        <w:tc>
          <w:tcPr>
            <w:tcW w:w="456" w:type="dxa"/>
          </w:tcPr>
          <w:p>
            <w:pPr>
              <w:pStyle w:val="TableParagraph"/>
              <w:spacing w:line="128" w:lineRule="exact"/>
              <w:ind w:right="64"/>
              <w:jc w:val="right"/>
              <w:rPr>
                <w:i/>
                <w:sz w:val="14"/>
              </w:rPr>
            </w:pPr>
            <w:r>
              <w:rPr>
                <w:i/>
                <w:sz w:val="14"/>
              </w:rPr>
              <w:t>11.3</w:t>
            </w:r>
          </w:p>
        </w:tc>
        <w:tc>
          <w:tcPr>
            <w:tcW w:w="479" w:type="dxa"/>
          </w:tcPr>
          <w:p>
            <w:pPr>
              <w:pStyle w:val="TableParagraph"/>
              <w:spacing w:line="128" w:lineRule="exact"/>
              <w:ind w:right="77"/>
              <w:jc w:val="right"/>
              <w:rPr>
                <w:i/>
                <w:sz w:val="14"/>
              </w:rPr>
            </w:pPr>
            <w:r>
              <w:rPr>
                <w:i/>
                <w:sz w:val="14"/>
              </w:rPr>
              <w:t>10.8</w:t>
            </w:r>
          </w:p>
        </w:tc>
        <w:tc>
          <w:tcPr>
            <w:tcW w:w="451" w:type="dxa"/>
          </w:tcPr>
          <w:p>
            <w:pPr>
              <w:pStyle w:val="TableParagraph"/>
              <w:spacing w:line="128" w:lineRule="exact"/>
              <w:ind w:right="63"/>
              <w:jc w:val="right"/>
              <w:rPr>
                <w:i/>
                <w:sz w:val="14"/>
              </w:rPr>
            </w:pPr>
            <w:r>
              <w:rPr>
                <w:i/>
                <w:sz w:val="14"/>
              </w:rPr>
              <w:t>10.9</w:t>
            </w:r>
          </w:p>
        </w:tc>
        <w:tc>
          <w:tcPr>
            <w:tcW w:w="435" w:type="dxa"/>
          </w:tcPr>
          <w:p>
            <w:pPr>
              <w:pStyle w:val="TableParagraph"/>
              <w:spacing w:line="128" w:lineRule="exact"/>
              <w:ind w:left="116" w:right="32"/>
              <w:jc w:val="center"/>
              <w:rPr>
                <w:i/>
                <w:sz w:val="14"/>
              </w:rPr>
            </w:pPr>
            <w:r>
              <w:rPr>
                <w:i/>
                <w:sz w:val="14"/>
              </w:rPr>
              <w:t>11.1</w:t>
            </w:r>
          </w:p>
        </w:tc>
        <w:tc>
          <w:tcPr>
            <w:tcW w:w="580" w:type="dxa"/>
          </w:tcPr>
          <w:p>
            <w:pPr>
              <w:pStyle w:val="TableParagraph"/>
              <w:spacing w:line="128" w:lineRule="exact"/>
              <w:ind w:right="208"/>
              <w:jc w:val="right"/>
              <w:rPr>
                <w:i/>
                <w:sz w:val="14"/>
              </w:rPr>
            </w:pPr>
            <w:r>
              <w:rPr>
                <w:i/>
                <w:sz w:val="14"/>
              </w:rPr>
              <w:t>11.4</w:t>
            </w:r>
          </w:p>
        </w:tc>
      </w:tr>
    </w:tbl>
    <w:p>
      <w:pPr>
        <w:spacing w:before="117"/>
        <w:ind w:left="180" w:right="0" w:firstLine="0"/>
        <w:jc w:val="left"/>
        <w:rPr>
          <w:sz w:val="12"/>
        </w:rPr>
      </w:pPr>
      <w:r>
        <w:rPr>
          <w:sz w:val="12"/>
        </w:rPr>
        <w:t>Source: Based on published company accounts.</w:t>
      </w:r>
    </w:p>
    <w:p>
      <w:pPr>
        <w:pStyle w:val="ListParagraph"/>
        <w:numPr>
          <w:ilvl w:val="0"/>
          <w:numId w:val="3"/>
        </w:numPr>
        <w:tabs>
          <w:tab w:pos="420" w:val="left" w:leader="none"/>
        </w:tabs>
        <w:spacing w:line="208" w:lineRule="auto" w:before="77" w:after="0"/>
        <w:ind w:left="420" w:right="38" w:hanging="240"/>
        <w:jc w:val="left"/>
        <w:rPr>
          <w:sz w:val="12"/>
        </w:rPr>
      </w:pPr>
      <w:r>
        <w:rPr>
          <w:sz w:val="12"/>
        </w:rPr>
        <w:t>Abbey National, Bank of Scotland, Barclays, Lloyds (Lloyds-TSB from 1995), Midland, National Westminster, Royal Bank of Scotland and Standard</w:t>
      </w:r>
      <w:r>
        <w:rPr>
          <w:spacing w:val="-17"/>
          <w:sz w:val="12"/>
        </w:rPr>
        <w:t> </w:t>
      </w:r>
      <w:r>
        <w:rPr>
          <w:sz w:val="12"/>
        </w:rPr>
        <w:t>Chartered.</w:t>
      </w:r>
    </w:p>
    <w:p>
      <w:pPr>
        <w:pStyle w:val="ListParagraph"/>
        <w:numPr>
          <w:ilvl w:val="0"/>
          <w:numId w:val="3"/>
        </w:numPr>
        <w:tabs>
          <w:tab w:pos="421" w:val="left" w:leader="none"/>
        </w:tabs>
        <w:spacing w:line="114" w:lineRule="exact" w:before="0" w:after="0"/>
        <w:ind w:left="420" w:right="0" w:hanging="241"/>
        <w:jc w:val="left"/>
        <w:rPr>
          <w:sz w:val="12"/>
        </w:rPr>
      </w:pPr>
      <w:r>
        <w:rPr>
          <w:sz w:val="12"/>
        </w:rPr>
        <w:t>Figures subject to rounding.</w:t>
      </w:r>
    </w:p>
    <w:p>
      <w:pPr>
        <w:pStyle w:val="ListParagraph"/>
        <w:numPr>
          <w:ilvl w:val="0"/>
          <w:numId w:val="3"/>
        </w:numPr>
        <w:tabs>
          <w:tab w:pos="420" w:val="left" w:leader="none"/>
        </w:tabs>
        <w:spacing w:line="208" w:lineRule="auto" w:before="6" w:after="0"/>
        <w:ind w:left="420" w:right="38" w:hanging="240"/>
        <w:jc w:val="left"/>
        <w:rPr>
          <w:sz w:val="12"/>
        </w:rPr>
      </w:pPr>
      <w:r>
        <w:rPr>
          <w:sz w:val="12"/>
        </w:rPr>
        <w:t>Total net capital divided by total risk-weighted assets. The internationally </w:t>
      </w:r>
      <w:r>
        <w:rPr>
          <w:spacing w:val="-3"/>
          <w:sz w:val="12"/>
        </w:rPr>
        <w:t>agreed </w:t>
      </w:r>
      <w:r>
        <w:rPr>
          <w:sz w:val="12"/>
        </w:rPr>
        <w:t>minimum requirement is 8%.</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8"/>
        <w:rPr>
          <w:sz w:val="14"/>
        </w:rPr>
      </w:pPr>
    </w:p>
    <w:p>
      <w:pPr>
        <w:pStyle w:val="Heading7"/>
        <w:spacing w:before="1"/>
        <w:ind w:left="205"/>
      </w:pPr>
      <w:r>
        <w:rPr>
          <w:color w:val="0093C1"/>
        </w:rPr>
        <w:t>Chart 1.5</w:t>
      </w:r>
    </w:p>
    <w:p>
      <w:pPr>
        <w:spacing w:before="10"/>
        <w:ind w:left="205" w:right="0" w:firstLine="0"/>
        <w:jc w:val="left"/>
        <w:rPr>
          <w:b/>
          <w:sz w:val="20"/>
        </w:rPr>
      </w:pPr>
      <w:r>
        <w:rPr>
          <w:b/>
          <w:color w:val="0093C1"/>
          <w:sz w:val="20"/>
        </w:rPr>
        <w:t>Growth of M4 lending</w:t>
      </w:r>
    </w:p>
    <w:p>
      <w:pPr>
        <w:spacing w:before="111"/>
        <w:ind w:left="1771" w:right="0" w:firstLine="0"/>
        <w:jc w:val="left"/>
        <w:rPr>
          <w:sz w:val="12"/>
        </w:rPr>
      </w:pPr>
      <w:r>
        <w:rPr/>
        <w:pict>
          <v:line style="position:absolute;mso-position-horizontal-relative:page;mso-position-vertical-relative:paragraph;z-index:15763456" from="45.779999pt,13.651555pt" to="40.779999pt,13.651555pt" stroked="true" strokeweight=".5pt" strokecolor="#000000">
            <v:stroke dashstyle="solid"/>
            <w10:wrap type="none"/>
          </v:line>
        </w:pict>
      </w:r>
      <w:r>
        <w:rPr>
          <w:sz w:val="12"/>
        </w:rPr>
        <w:t>Percentage changes on a year earl</w:t>
      </w:r>
      <w:r>
        <w:rPr>
          <w:sz w:val="12"/>
          <w:u w:val="single"/>
        </w:rPr>
        <w:t>ie</w:t>
      </w:r>
      <w:r>
        <w:rPr>
          <w:sz w:val="12"/>
        </w:rPr>
        <w:t>r</w:t>
      </w:r>
      <w:r>
        <w:rPr>
          <w:spacing w:val="1"/>
          <w:sz w:val="12"/>
        </w:rPr>
        <w:t> </w:t>
      </w:r>
      <w:r>
        <w:rPr>
          <w:position w:val="-6"/>
          <w:sz w:val="12"/>
        </w:rPr>
        <w:t>22</w:t>
      </w:r>
    </w:p>
    <w:p>
      <w:pPr>
        <w:spacing w:before="126"/>
        <w:ind w:left="0" w:right="704" w:firstLine="0"/>
        <w:jc w:val="right"/>
        <w:rPr>
          <w:sz w:val="12"/>
        </w:rPr>
      </w:pPr>
      <w:r>
        <w:rPr/>
        <w:pict>
          <v:group style="position:absolute;margin-left:40.779999pt;margin-top:5.233769pt;width:166pt;height:122pt;mso-position-horizontal-relative:page;mso-position-vertical-relative:paragraph;z-index:15761920" coordorigin="816,105" coordsize="3320,2440">
            <v:shape style="position:absolute;left:975;top:114;width:3000;height:2420" coordorigin="976,115" coordsize="3000,2420" path="m976,135l996,115,1016,135,1056,235,1076,295,1116,355,1136,475,1176,635,1196,775,1256,835,1296,1055,1316,1135,1336,1235,1376,1395,1396,1455,1436,1555,1456,1715,1496,1775,1516,1815,1516,1835,1556,1895,1576,2015,1596,2035,1636,2095,1656,2115,1696,2195,1716,2255,1756,2235,1776,2255,1816,2215,1836,2215,1856,2255,1896,2295,1916,2235,1956,2355,1976,2395,2016,2375,2036,2395,2076,2415,2096,2455,2136,2455,2156,2515,2176,2535,2216,2515,2236,2495,2276,2535,2336,2475,2356,2515,2396,2535,2416,2495,2436,2515,2476,2535,2496,2475,2536,2455,2556,2455,2596,2415,2616,2435,2656,2295,2676,2255,2696,2175,2736,2135,2756,2035,2796,1935,2816,1855,2856,1915,2876,1815,2936,1815,2976,1735,2996,1815,3016,1735,3056,1715,3076,1695,3116,1735,3136,1775,3176,1775,3196,1695,3236,1735,3256,1695,3276,1695,3316,1655,3336,1575,3376,1795,3396,1715,3436,1715,3456,1735,3496,1735,3516,1675,3536,1655,3596,1775,3636,1775,3656,1895,3696,1855,3716,1735,3756,1835,3776,1735,3816,1815,3836,1735,3876,1815,3896,1915,3916,1815,3976,1755e" filled="false" stroked="true" strokeweight="1pt" strokecolor="#faab54">
              <v:path arrowok="t"/>
              <v:stroke dashstyle="solid"/>
            </v:shape>
            <v:shape style="position:absolute;left:815;top:214;width:3320;height:2200" coordorigin="816,215" coordsize="3320,2200" path="m916,2415l816,2415m916,2135l816,2135m916,1855l816,1855m916,1595l816,1595m916,1315l816,1315m916,1055l816,1055m916,775l816,775m916,495l816,495m916,215l816,215m4136,2415l4036,2415m4136,2135l4036,2135m4136,1855l4036,1855m4136,1595l4036,1595m4136,1315l4036,1315m4136,1055l4036,1055m4136,775l4036,775m4136,495l4036,495m4136,215l4036,215e" filled="false" stroked="true" strokeweight=".5pt" strokecolor="#000000">
              <v:path arrowok="t"/>
              <v:stroke dashstyle="solid"/>
            </v:shape>
            <w10:wrap type="none"/>
          </v:group>
        </w:pict>
      </w:r>
      <w:r>
        <w:rPr>
          <w:sz w:val="12"/>
        </w:rPr>
        <w:t>20</w:t>
      </w:r>
    </w:p>
    <w:p>
      <w:pPr>
        <w:pStyle w:val="BodyText"/>
        <w:spacing w:before="3"/>
        <w:rPr>
          <w:sz w:val="12"/>
        </w:rPr>
      </w:pPr>
    </w:p>
    <w:p>
      <w:pPr>
        <w:spacing w:before="1"/>
        <w:ind w:left="0" w:right="704" w:firstLine="0"/>
        <w:jc w:val="right"/>
        <w:rPr>
          <w:sz w:val="12"/>
        </w:rPr>
      </w:pPr>
      <w:r>
        <w:rPr>
          <w:sz w:val="12"/>
        </w:rPr>
        <w:t>18</w:t>
      </w:r>
    </w:p>
    <w:p>
      <w:pPr>
        <w:pStyle w:val="BodyText"/>
        <w:spacing w:before="3"/>
        <w:rPr>
          <w:sz w:val="12"/>
        </w:rPr>
      </w:pPr>
    </w:p>
    <w:p>
      <w:pPr>
        <w:spacing w:before="1"/>
        <w:ind w:left="0" w:right="704" w:firstLine="0"/>
        <w:jc w:val="right"/>
        <w:rPr>
          <w:sz w:val="12"/>
        </w:rPr>
      </w:pPr>
      <w:r>
        <w:rPr>
          <w:sz w:val="12"/>
        </w:rPr>
        <w:t>16</w:t>
      </w:r>
    </w:p>
    <w:p>
      <w:pPr>
        <w:pStyle w:val="BodyText"/>
        <w:spacing w:before="3"/>
        <w:rPr>
          <w:sz w:val="12"/>
        </w:rPr>
      </w:pPr>
    </w:p>
    <w:p>
      <w:pPr>
        <w:spacing w:before="1"/>
        <w:ind w:left="0" w:right="704" w:firstLine="0"/>
        <w:jc w:val="right"/>
        <w:rPr>
          <w:sz w:val="12"/>
        </w:rPr>
      </w:pPr>
      <w:r>
        <w:rPr>
          <w:sz w:val="12"/>
        </w:rPr>
        <w:t>14</w:t>
      </w:r>
    </w:p>
    <w:p>
      <w:pPr>
        <w:pStyle w:val="BodyText"/>
        <w:spacing w:before="7"/>
        <w:rPr>
          <w:sz w:val="10"/>
        </w:rPr>
      </w:pPr>
    </w:p>
    <w:p>
      <w:pPr>
        <w:spacing w:before="0"/>
        <w:ind w:left="0" w:right="704" w:firstLine="0"/>
        <w:jc w:val="right"/>
        <w:rPr>
          <w:sz w:val="12"/>
        </w:rPr>
      </w:pPr>
      <w:r>
        <w:rPr>
          <w:sz w:val="12"/>
        </w:rPr>
        <w:t>12</w:t>
      </w:r>
    </w:p>
    <w:p>
      <w:pPr>
        <w:pStyle w:val="BodyText"/>
        <w:spacing w:before="4"/>
        <w:rPr>
          <w:sz w:val="12"/>
        </w:rPr>
      </w:pPr>
    </w:p>
    <w:p>
      <w:pPr>
        <w:spacing w:before="0"/>
        <w:ind w:left="0" w:right="704" w:firstLine="0"/>
        <w:jc w:val="right"/>
        <w:rPr>
          <w:sz w:val="12"/>
        </w:rPr>
      </w:pPr>
      <w:r>
        <w:rPr>
          <w:sz w:val="12"/>
        </w:rPr>
        <w:t>10</w:t>
      </w:r>
    </w:p>
    <w:p>
      <w:pPr>
        <w:pStyle w:val="BodyText"/>
        <w:spacing w:before="7"/>
        <w:rPr>
          <w:sz w:val="10"/>
        </w:rPr>
      </w:pPr>
    </w:p>
    <w:p>
      <w:pPr>
        <w:spacing w:before="0"/>
        <w:ind w:left="0" w:right="704" w:firstLine="0"/>
        <w:jc w:val="right"/>
        <w:rPr>
          <w:sz w:val="12"/>
        </w:rPr>
      </w:pPr>
      <w:r>
        <w:rPr>
          <w:sz w:val="12"/>
        </w:rPr>
        <w:t>8</w:t>
      </w:r>
    </w:p>
    <w:p>
      <w:pPr>
        <w:pStyle w:val="BodyText"/>
        <w:spacing w:before="4"/>
        <w:rPr>
          <w:sz w:val="12"/>
        </w:rPr>
      </w:pPr>
    </w:p>
    <w:p>
      <w:pPr>
        <w:spacing w:before="0"/>
        <w:ind w:left="0" w:right="704" w:firstLine="0"/>
        <w:jc w:val="right"/>
        <w:rPr>
          <w:sz w:val="12"/>
        </w:rPr>
      </w:pPr>
      <w:r>
        <w:rPr>
          <w:sz w:val="12"/>
        </w:rPr>
        <w:t>6</w:t>
      </w:r>
    </w:p>
    <w:p>
      <w:pPr>
        <w:pStyle w:val="BodyText"/>
        <w:spacing w:before="4"/>
        <w:rPr>
          <w:sz w:val="12"/>
        </w:rPr>
      </w:pPr>
    </w:p>
    <w:p>
      <w:pPr>
        <w:spacing w:before="0"/>
        <w:ind w:left="0" w:right="704" w:firstLine="0"/>
        <w:jc w:val="right"/>
        <w:rPr>
          <w:sz w:val="12"/>
        </w:rPr>
      </w:pPr>
      <w:r>
        <w:rPr>
          <w:sz w:val="12"/>
        </w:rPr>
        <w:t>4</w:t>
      </w:r>
    </w:p>
    <w:p>
      <w:pPr>
        <w:pStyle w:val="BodyText"/>
        <w:spacing w:before="4"/>
        <w:rPr>
          <w:sz w:val="12"/>
        </w:rPr>
      </w:pPr>
    </w:p>
    <w:p>
      <w:pPr>
        <w:spacing w:before="0"/>
        <w:ind w:left="0" w:right="704" w:firstLine="0"/>
        <w:jc w:val="right"/>
        <w:rPr>
          <w:sz w:val="12"/>
        </w:rPr>
      </w:pPr>
      <w:r>
        <w:rPr/>
        <w:pict>
          <v:line style="position:absolute;mso-position-horizontal-relative:page;mso-position-vertical-relative:paragraph;z-index:15762944" from="45.779999pt,4.434776pt" to="40.779999pt,4.434776pt" stroked="true" strokeweight=".5pt" strokecolor="#000000">
            <v:stroke dashstyle="solid"/>
            <w10:wrap type="none"/>
          </v:line>
        </w:pict>
      </w:r>
      <w:r>
        <w:rPr/>
        <w:pict>
          <v:line style="position:absolute;mso-position-horizontal-relative:page;mso-position-vertical-relative:paragraph;z-index:15763968" from="206.779999pt,4.434776pt" to="201.779999pt,4.434776pt" stroked="true" strokeweight=".5pt" strokecolor="#000000">
            <v:stroke dashstyle="solid"/>
            <w10:wrap type="none"/>
          </v:line>
        </w:pict>
      </w:r>
      <w:r>
        <w:rPr>
          <w:sz w:val="12"/>
        </w:rPr>
        <w:t>2</w:t>
      </w:r>
    </w:p>
    <w:p>
      <w:pPr>
        <w:pStyle w:val="BodyText"/>
        <w:spacing w:before="7"/>
        <w:rPr>
          <w:sz w:val="10"/>
        </w:rPr>
      </w:pPr>
    </w:p>
    <w:p>
      <w:pPr>
        <w:spacing w:line="125" w:lineRule="exact" w:before="0"/>
        <w:ind w:left="0" w:right="704" w:firstLine="0"/>
        <w:jc w:val="right"/>
        <w:rPr>
          <w:sz w:val="12"/>
        </w:rPr>
      </w:pPr>
      <w:r>
        <w:rPr/>
        <w:pict>
          <v:shape style="position:absolute;margin-left:40.779999pt;margin-top:-.565437pt;width:166pt;height:5pt;mso-position-horizontal-relative:page;mso-position-vertical-relative:paragraph;z-index:15762432" coordorigin="816,-11" coordsize="3320,100" path="m916,89l816,89m4136,89l4036,89m976,89l3976,89m976,89l976,49m1056,89l1056,49m1146,89l1146,49m1236,89l1236,49m1316,89l1316,49m1396,89l1396,49m1486,89l1486,49m1576,89l1576,49m1656,89l1656,49m1756,89l1756,49m1836,89l1836,49m1916,89l1916,49m2016,89l2016,49m2096,89l2096,49m2186,89l2186,49m2276,89l2276,49m2356,89l2356,49m2436,89l2436,49m2526,89l2526,49m2616,89l2616,49m2696,89l2696,49m2796,89l2796,49m2886,89l2886,49m2976,89l2976,49m3056,89l3056,49m3136,89l3136,49m3226,89l3226,49m3316,89l3316,49m3396,89l3396,49m3496,89l3496,49m3576,89l3576,49m3656,89l3656,49m3756,89l3756,49m3836,89l3836,49m3916,89l3916,49m976,89l976,-11m1316,89l1316,-11m1656,89l1656,-11m2016,89l2016,-11m2356,89l2356,-11m2696,89l2696,-11m3056,89l3056,-11m3396,89l3396,-11m3756,89l3756,-11e" filled="false" stroked="true" strokeweight=".5pt" strokecolor="#000000">
            <v:path arrowok="t"/>
            <v:stroke dashstyle="solid"/>
            <w10:wrap type="none"/>
          </v:shape>
        </w:pict>
      </w:r>
      <w:r>
        <w:rPr>
          <w:sz w:val="12"/>
        </w:rPr>
        <w:t>0</w:t>
      </w:r>
    </w:p>
    <w:p>
      <w:pPr>
        <w:pStyle w:val="Heading4"/>
        <w:spacing w:line="242" w:lineRule="auto" w:before="227"/>
        <w:ind w:left="180"/>
      </w:pPr>
      <w:r>
        <w:rPr/>
        <w:br w:type="column"/>
      </w:r>
      <w:r>
        <w:rPr/>
        <w:t>expenditure may continue to follow the slowdown of M4 growth in the second half of 1998.</w:t>
      </w:r>
    </w:p>
    <w:p>
      <w:pPr>
        <w:pStyle w:val="BodyText"/>
        <w:spacing w:before="6"/>
        <w:rPr>
          <w:sz w:val="31"/>
        </w:rPr>
      </w:pPr>
    </w:p>
    <w:p>
      <w:pPr>
        <w:pStyle w:val="Heading5"/>
        <w:rPr>
          <w:i/>
        </w:rPr>
      </w:pPr>
      <w:r>
        <w:rPr>
          <w:i/>
          <w:color w:val="009483"/>
        </w:rPr>
        <w:t>Private non-financial corporations (P</w:t>
      </w:r>
      <w:r>
        <w:rPr>
          <w:i/>
          <w:color w:val="009483"/>
          <w:sz w:val="20"/>
        </w:rPr>
        <w:t>NFC</w:t>
      </w:r>
      <w:r>
        <w:rPr>
          <w:i/>
          <w:color w:val="009483"/>
        </w:rPr>
        <w:t>s)</w:t>
      </w:r>
    </w:p>
    <w:p>
      <w:pPr>
        <w:spacing w:line="242" w:lineRule="auto" w:before="164"/>
        <w:ind w:left="180" w:right="350" w:firstLine="0"/>
        <w:jc w:val="left"/>
        <w:rPr>
          <w:sz w:val="24"/>
        </w:rPr>
      </w:pPr>
      <w:r>
        <w:rPr>
          <w:sz w:val="24"/>
        </w:rPr>
        <w:t>The annual growth in private non-financial </w:t>
      </w:r>
      <w:r>
        <w:rPr>
          <w:spacing w:val="-2"/>
          <w:sz w:val="24"/>
        </w:rPr>
        <w:t>corporations’ </w:t>
      </w:r>
      <w:r>
        <w:rPr>
          <w:sz w:val="24"/>
        </w:rPr>
        <w:t>M4 deposits picked up in 1998 Q3, after it had slowed through 1997 and the first half of 1998. The ratio of investment expenditure to P</w:t>
      </w:r>
      <w:r>
        <w:rPr>
          <w:sz w:val="20"/>
        </w:rPr>
        <w:t>NFC</w:t>
      </w:r>
      <w:r>
        <w:rPr>
          <w:sz w:val="24"/>
        </w:rPr>
        <w:t>s’ M4 deposits has been reasonably stable in the past three years. But a number of indicators suggest that investment growth is more likely to slow than rise in the rest of 1998</w:t>
      </w:r>
      <w:r>
        <w:rPr>
          <w:spacing w:val="-4"/>
          <w:sz w:val="24"/>
        </w:rPr>
        <w:t> </w:t>
      </w:r>
      <w:r>
        <w:rPr>
          <w:sz w:val="24"/>
        </w:rPr>
        <w:t>(see</w:t>
      </w:r>
    </w:p>
    <w:p>
      <w:pPr>
        <w:spacing w:line="242" w:lineRule="auto" w:before="9"/>
        <w:ind w:left="180" w:right="415" w:firstLine="0"/>
        <w:jc w:val="left"/>
        <w:rPr>
          <w:sz w:val="24"/>
        </w:rPr>
      </w:pPr>
      <w:hyperlink w:history="true" w:anchor="_bookmark8">
        <w:r>
          <w:rPr>
            <w:sz w:val="24"/>
          </w:rPr>
          <w:t>Section 2).</w:t>
        </w:r>
      </w:hyperlink>
      <w:r>
        <w:rPr>
          <w:sz w:val="24"/>
        </w:rPr>
        <w:t> So it is probable that P</w:t>
      </w:r>
      <w:r>
        <w:rPr>
          <w:sz w:val="20"/>
        </w:rPr>
        <w:t>NFC</w:t>
      </w:r>
      <w:r>
        <w:rPr>
          <w:sz w:val="24"/>
        </w:rPr>
        <w:t>s were building up deposits for reasons other than to finance investment expenditure.</w:t>
      </w:r>
    </w:p>
    <w:p>
      <w:pPr>
        <w:pStyle w:val="BodyText"/>
        <w:spacing w:before="4"/>
        <w:rPr>
          <w:sz w:val="28"/>
        </w:rPr>
      </w:pPr>
    </w:p>
    <w:p>
      <w:pPr>
        <w:pStyle w:val="ListParagraph"/>
        <w:numPr>
          <w:ilvl w:val="1"/>
          <w:numId w:val="2"/>
        </w:numPr>
        <w:tabs>
          <w:tab w:pos="4507" w:val="left" w:leader="none"/>
          <w:tab w:pos="4508" w:val="left" w:leader="none"/>
          <w:tab w:pos="5679" w:val="left" w:leader="none"/>
        </w:tabs>
        <w:spacing w:line="240" w:lineRule="auto" w:before="0" w:after="0"/>
        <w:ind w:left="4507" w:right="0" w:hanging="4328"/>
        <w:jc w:val="left"/>
        <w:rPr>
          <w:b/>
          <w:sz w:val="28"/>
        </w:rPr>
      </w:pPr>
      <w:r>
        <w:rPr>
          <w:b/>
          <w:color w:val="009483"/>
          <w:sz w:val="28"/>
          <w:u w:val="thick" w:color="0093C1"/>
        </w:rPr>
        <w:t>Credit</w:t>
        <w:tab/>
      </w:r>
    </w:p>
    <w:p>
      <w:pPr>
        <w:pStyle w:val="BodyText"/>
        <w:rPr>
          <w:b/>
          <w:sz w:val="24"/>
        </w:rPr>
      </w:pPr>
    </w:p>
    <w:p>
      <w:pPr>
        <w:spacing w:line="242" w:lineRule="auto" w:before="0"/>
        <w:ind w:left="180" w:right="428" w:firstLine="0"/>
        <w:jc w:val="left"/>
        <w:rPr>
          <w:sz w:val="24"/>
        </w:rPr>
      </w:pPr>
      <w:r>
        <w:rPr>
          <w:sz w:val="24"/>
        </w:rPr>
        <w:t>Following the problems in emerging market economies and the near-failure of the Long-Term Capital Management hedge fund, there has been speculation that suppliers of finance might restrict the available</w:t>
      </w:r>
    </w:p>
    <w:p>
      <w:pPr>
        <w:spacing w:line="242" w:lineRule="auto" w:before="5"/>
        <w:ind w:left="180" w:right="326" w:firstLine="0"/>
        <w:jc w:val="left"/>
        <w:rPr>
          <w:sz w:val="24"/>
        </w:rPr>
      </w:pPr>
      <w:r>
        <w:rPr>
          <w:sz w:val="24"/>
        </w:rPr>
        <w:t>quantity of credit or increase its price. A sharp reduction in the supply of credit is sometimes called ‘a credit </w:t>
      </w:r>
      <w:hyperlink w:history="true" w:anchor="_bookmark3">
        <w:r>
          <w:rPr>
            <w:sz w:val="24"/>
          </w:rPr>
          <w:t>crunch’. The box on page 6</w:t>
        </w:r>
      </w:hyperlink>
      <w:r>
        <w:rPr>
          <w:sz w:val="24"/>
        </w:rPr>
        <w:t> describes more fully what is meant by the term, and the text below assesses the evidence on whether credit conditions are tightening in the United Kingdom.</w:t>
      </w:r>
    </w:p>
    <w:p>
      <w:pPr>
        <w:spacing w:after="0" w:line="242" w:lineRule="auto"/>
        <w:jc w:val="left"/>
        <w:rPr>
          <w:sz w:val="24"/>
        </w:rPr>
        <w:sectPr>
          <w:type w:val="continuous"/>
          <w:pgSz w:w="11900" w:h="16840"/>
          <w:pgMar w:top="1220" w:bottom="280" w:left="620" w:right="520"/>
          <w:cols w:num="2" w:equalWidth="0">
            <w:col w:w="4380" w:space="406"/>
            <w:col w:w="5974"/>
          </w:cols>
        </w:sectPr>
      </w:pPr>
    </w:p>
    <w:p>
      <w:pPr>
        <w:tabs>
          <w:tab w:pos="1138" w:val="left" w:leader="none"/>
          <w:tab w:pos="1498" w:val="left" w:leader="none"/>
          <w:tab w:pos="1838" w:val="left" w:leader="none"/>
          <w:tab w:pos="2178" w:val="left" w:leader="none"/>
          <w:tab w:pos="2538" w:val="left" w:leader="none"/>
          <w:tab w:pos="2878" w:val="left" w:leader="none"/>
          <w:tab w:pos="3238" w:val="left" w:leader="none"/>
        </w:tabs>
        <w:spacing w:line="110" w:lineRule="exact" w:before="0"/>
        <w:ind w:left="385" w:right="0" w:firstLine="0"/>
        <w:jc w:val="left"/>
        <w:rPr>
          <w:sz w:val="12"/>
        </w:rPr>
      </w:pPr>
      <w:r>
        <w:rPr>
          <w:sz w:val="12"/>
        </w:rPr>
        <w:t>1990    </w:t>
      </w:r>
      <w:r>
        <w:rPr>
          <w:spacing w:val="23"/>
          <w:sz w:val="12"/>
        </w:rPr>
        <w:t> </w:t>
      </w:r>
      <w:r>
        <w:rPr>
          <w:sz w:val="12"/>
        </w:rPr>
        <w:t>91</w:t>
        <w:tab/>
        <w:t>92</w:t>
        <w:tab/>
        <w:t>93</w:t>
        <w:tab/>
        <w:t>94</w:t>
        <w:tab/>
        <w:t>95</w:t>
        <w:tab/>
        <w:t>96</w:t>
        <w:tab/>
        <w:t>97</w:t>
        <w:tab/>
        <w:t>98</w:t>
      </w:r>
    </w:p>
    <w:p>
      <w:pPr>
        <w:spacing w:before="76"/>
        <w:ind w:left="193" w:right="0" w:firstLine="0"/>
        <w:jc w:val="left"/>
        <w:rPr>
          <w:sz w:val="12"/>
        </w:rPr>
      </w:pPr>
      <w:r>
        <w:rPr>
          <w:sz w:val="12"/>
        </w:rPr>
        <w:t>Source: Bank of England.</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Heading7"/>
        <w:spacing w:before="85"/>
        <w:ind w:left="165"/>
      </w:pPr>
      <w:r>
        <w:rPr>
          <w:color w:val="0093C1"/>
        </w:rPr>
        <w:t>Chart 1.6</w:t>
      </w:r>
    </w:p>
    <w:p>
      <w:pPr>
        <w:spacing w:before="10"/>
        <w:ind w:left="165" w:right="0" w:firstLine="0"/>
        <w:jc w:val="left"/>
        <w:rPr>
          <w:sz w:val="12"/>
        </w:rPr>
      </w:pPr>
      <w:r>
        <w:rPr>
          <w:b/>
          <w:color w:val="0093C1"/>
          <w:sz w:val="20"/>
        </w:rPr>
        <w:t>Sterling corporate bond spreads</w:t>
      </w:r>
      <w:r>
        <w:rPr>
          <w:position w:val="4"/>
          <w:sz w:val="12"/>
        </w:rPr>
        <w:t>(a)</w:t>
      </w:r>
    </w:p>
    <w:p>
      <w:pPr>
        <w:spacing w:before="105"/>
        <w:ind w:left="0" w:right="0" w:firstLine="0"/>
        <w:jc w:val="right"/>
        <w:rPr>
          <w:sz w:val="12"/>
        </w:rPr>
      </w:pPr>
      <w:r>
        <w:rPr>
          <w:sz w:val="12"/>
        </w:rPr>
        <w:t>Per ce</w:t>
      </w:r>
      <w:r>
        <w:rPr>
          <w:sz w:val="12"/>
          <w:u w:val="single"/>
        </w:rPr>
        <w:t>n</w:t>
      </w:r>
      <w:r>
        <w:rPr>
          <w:sz w:val="12"/>
        </w:rPr>
        <w:t>t</w:t>
      </w:r>
    </w:p>
    <w:p>
      <w:pPr>
        <w:pStyle w:val="BodyText"/>
        <w:spacing w:line="20" w:lineRule="exact"/>
        <w:ind w:left="160"/>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rPr>
          <w:sz w:val="20"/>
        </w:rPr>
      </w:pPr>
    </w:p>
    <w:p>
      <w:pPr>
        <w:pStyle w:val="BodyText"/>
        <w:spacing w:before="11"/>
        <w:rPr>
          <w:sz w:val="26"/>
        </w:rPr>
      </w:pPr>
      <w:r>
        <w:rPr/>
        <w:pict>
          <v:shape style="position:absolute;margin-left:39.279999pt;margin-top:17.709156pt;width:5pt;height:.1pt;mso-position-horizontal-relative:page;mso-position-vertical-relative:paragraph;z-index:-15696384;mso-wrap-distance-left:0;mso-wrap-distance-right:0" coordorigin="786,354" coordsize="100,0" path="m886,354l786,354e" filled="false" stroked="true" strokeweight=".5pt" strokecolor="#000000">
            <v:path arrowok="t"/>
            <v:stroke dashstyle="solid"/>
            <w10:wrap type="topAndBottom"/>
          </v:shape>
        </w:pict>
      </w:r>
      <w:r>
        <w:rPr/>
        <w:pict>
          <v:shape style="position:absolute;margin-left:200.279999pt;margin-top:17.709156pt;width:5pt;height:.1pt;mso-position-horizontal-relative:page;mso-position-vertical-relative:paragraph;z-index:-15695872;mso-wrap-distance-left:0;mso-wrap-distance-right:0" coordorigin="4006,354" coordsize="100,0" path="m4106,354l4006,354e" filled="false" stroked="true" strokeweight=".5pt" strokecolor="#000000">
            <v:path arrowok="t"/>
            <v:stroke dashstyle="solid"/>
            <w10:wrap type="topAndBottom"/>
          </v:shape>
        </w:pic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before="85"/>
        <w:ind w:left="-15" w:right="0" w:firstLine="0"/>
        <w:jc w:val="left"/>
        <w:rPr>
          <w:sz w:val="12"/>
        </w:rPr>
      </w:pPr>
      <w:r>
        <w:rPr>
          <w:sz w:val="12"/>
        </w:rPr>
        <w:t>2.5</w:t>
      </w:r>
    </w:p>
    <w:p>
      <w:pPr>
        <w:pStyle w:val="BodyText"/>
        <w:rPr>
          <w:sz w:val="12"/>
        </w:rPr>
      </w:pPr>
    </w:p>
    <w:p>
      <w:pPr>
        <w:pStyle w:val="BodyText"/>
        <w:rPr>
          <w:sz w:val="12"/>
        </w:rPr>
      </w:pPr>
    </w:p>
    <w:p>
      <w:pPr>
        <w:pStyle w:val="BodyText"/>
        <w:spacing w:before="1"/>
        <w:rPr>
          <w:sz w:val="16"/>
        </w:rPr>
      </w:pPr>
    </w:p>
    <w:p>
      <w:pPr>
        <w:spacing w:before="1"/>
        <w:ind w:left="-15" w:right="0" w:firstLine="0"/>
        <w:jc w:val="left"/>
        <w:rPr>
          <w:sz w:val="12"/>
        </w:rPr>
      </w:pPr>
      <w:r>
        <w:rPr>
          <w:sz w:val="12"/>
        </w:rPr>
        <w:t>2.0</w:t>
      </w:r>
    </w:p>
    <w:p>
      <w:pPr>
        <w:pStyle w:val="BodyText"/>
        <w:rPr>
          <w:sz w:val="25"/>
        </w:rPr>
      </w:pPr>
      <w:r>
        <w:rPr/>
        <w:br w:type="column"/>
      </w:r>
      <w:r>
        <w:rPr>
          <w:sz w:val="25"/>
        </w:rPr>
      </w:r>
    </w:p>
    <w:p>
      <w:pPr>
        <w:pStyle w:val="Heading4"/>
        <w:spacing w:line="242" w:lineRule="auto"/>
        <w:ind w:left="165" w:right="382"/>
      </w:pPr>
      <w:r>
        <w:rPr/>
        <w:t>The latest data suggest that before the crisis large UK banks had a substantial cushion of capital to insulate them from adverse shocks (see Table 1.A). Deposit growth has remained strong at both retail and wholesale levels. As well as being able to attract deposits, banks’ lending has continued to grow strongly. M4 lending growth in September was 8.8% on a year earlier (see Chart 1.5).</w:t>
      </w:r>
    </w:p>
    <w:p>
      <w:pPr>
        <w:spacing w:after="0" w:line="242" w:lineRule="auto"/>
        <w:sectPr>
          <w:type w:val="continuous"/>
          <w:pgSz w:w="11900" w:h="16840"/>
          <w:pgMar w:top="1220" w:bottom="280" w:left="620" w:right="520"/>
          <w:cols w:num="3" w:equalWidth="0">
            <w:col w:w="3491" w:space="40"/>
            <w:col w:w="176" w:space="1093"/>
            <w:col w:w="5960"/>
          </w:cols>
        </w:sectPr>
      </w:pPr>
    </w:p>
    <w:p>
      <w:pPr>
        <w:pStyle w:val="BodyText"/>
        <w:spacing w:before="8"/>
        <w:rPr>
          <w:sz w:val="15"/>
        </w:rPr>
      </w:pPr>
    </w:p>
    <w:p>
      <w:pPr>
        <w:spacing w:after="0"/>
        <w:rPr>
          <w:sz w:val="15"/>
        </w:rPr>
        <w:sectPr>
          <w:type w:val="continuous"/>
          <w:pgSz w:w="11900" w:h="16840"/>
          <w:pgMar w:top="1220" w:bottom="280" w:left="620" w:right="520"/>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8"/>
        <w:rPr>
          <w:sz w:val="9"/>
        </w:rPr>
      </w:pPr>
    </w:p>
    <w:p>
      <w:pPr>
        <w:spacing w:before="0"/>
        <w:ind w:left="315" w:right="0" w:firstLine="0"/>
        <w:jc w:val="left"/>
        <w:rPr>
          <w:sz w:val="12"/>
        </w:rPr>
      </w:pPr>
      <w:r>
        <w:rPr>
          <w:sz w:val="12"/>
        </w:rPr>
        <w:t>June</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6"/>
        <w:rPr>
          <w:sz w:val="16"/>
        </w:rPr>
      </w:pPr>
    </w:p>
    <w:p>
      <w:pPr>
        <w:spacing w:before="0"/>
        <w:ind w:left="433" w:right="0" w:firstLine="0"/>
        <w:jc w:val="left"/>
        <w:rPr>
          <w:sz w:val="12"/>
        </w:rPr>
      </w:pPr>
      <w:r>
        <w:rPr>
          <w:color w:val="231F20"/>
          <w:sz w:val="12"/>
        </w:rPr>
        <w:t>High credit rating (b)</w:t>
      </w:r>
    </w:p>
    <w:p>
      <w:pPr>
        <w:pStyle w:val="BodyText"/>
        <w:rPr>
          <w:sz w:val="12"/>
        </w:rPr>
      </w:pPr>
    </w:p>
    <w:p>
      <w:pPr>
        <w:pStyle w:val="BodyText"/>
        <w:spacing w:before="2"/>
        <w:rPr>
          <w:sz w:val="17"/>
        </w:rPr>
      </w:pPr>
    </w:p>
    <w:p>
      <w:pPr>
        <w:tabs>
          <w:tab w:pos="819" w:val="left" w:leader="none"/>
          <w:tab w:pos="1339" w:val="left" w:leader="none"/>
          <w:tab w:pos="1839" w:val="left" w:leader="none"/>
        </w:tabs>
        <w:spacing w:before="0"/>
        <w:ind w:left="260" w:right="0" w:firstLine="0"/>
        <w:jc w:val="left"/>
        <w:rPr>
          <w:sz w:val="12"/>
        </w:rPr>
      </w:pPr>
      <w:r>
        <w:rPr>
          <w:sz w:val="12"/>
        </w:rPr>
        <w:t>Sept.</w:t>
        <w:tab/>
        <w:t>Dec.</w:t>
        <w:tab/>
        <w:t>Mar.</w:t>
        <w:tab/>
      </w:r>
      <w:r>
        <w:rPr>
          <w:spacing w:val="-5"/>
          <w:sz w:val="12"/>
        </w:rPr>
        <w:t>June</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8"/>
        <w:rPr>
          <w:sz w:val="9"/>
        </w:rPr>
      </w:pPr>
    </w:p>
    <w:p>
      <w:pPr>
        <w:spacing w:before="0"/>
        <w:ind w:left="280" w:right="0" w:firstLine="0"/>
        <w:jc w:val="left"/>
        <w:rPr>
          <w:sz w:val="12"/>
        </w:rPr>
      </w:pPr>
      <w:r>
        <w:rPr>
          <w:sz w:val="12"/>
        </w:rPr>
        <w:t>Sept.</w:t>
      </w:r>
    </w:p>
    <w:p>
      <w:pPr>
        <w:pStyle w:val="BodyText"/>
        <w:rPr>
          <w:sz w:val="12"/>
        </w:rPr>
      </w:pPr>
      <w:r>
        <w:rPr/>
        <w:br w:type="column"/>
      </w:r>
      <w:r>
        <w:rPr>
          <w:sz w:val="12"/>
        </w:rPr>
      </w:r>
    </w:p>
    <w:p>
      <w:pPr>
        <w:pStyle w:val="BodyText"/>
        <w:spacing w:before="2"/>
        <w:rPr>
          <w:sz w:val="14"/>
        </w:rPr>
      </w:pPr>
    </w:p>
    <w:p>
      <w:pPr>
        <w:spacing w:before="0"/>
        <w:ind w:left="276" w:right="0" w:firstLine="0"/>
        <w:jc w:val="left"/>
        <w:rPr>
          <w:sz w:val="12"/>
        </w:rPr>
      </w:pPr>
      <w:r>
        <w:rPr>
          <w:sz w:val="12"/>
        </w:rPr>
        <w:t>1.5</w:t>
      </w:r>
    </w:p>
    <w:p>
      <w:pPr>
        <w:pStyle w:val="BodyText"/>
        <w:rPr>
          <w:sz w:val="12"/>
        </w:rPr>
      </w:pPr>
    </w:p>
    <w:p>
      <w:pPr>
        <w:pStyle w:val="BodyText"/>
        <w:rPr>
          <w:sz w:val="12"/>
        </w:rPr>
      </w:pPr>
    </w:p>
    <w:p>
      <w:pPr>
        <w:pStyle w:val="BodyText"/>
        <w:spacing w:before="2"/>
        <w:rPr>
          <w:sz w:val="16"/>
        </w:rPr>
      </w:pPr>
    </w:p>
    <w:p>
      <w:pPr>
        <w:spacing w:before="0"/>
        <w:ind w:left="276" w:right="0" w:firstLine="0"/>
        <w:jc w:val="left"/>
        <w:rPr>
          <w:sz w:val="12"/>
        </w:rPr>
      </w:pPr>
      <w:r>
        <w:rPr/>
        <w:pict>
          <v:group style="position:absolute;margin-left:39.279999pt;margin-top:-52.73143pt;width:166pt;height:95pt;mso-position-horizontal-relative:page;mso-position-vertical-relative:paragraph;z-index:15766016" coordorigin="786,-1055" coordsize="3320,1900">
            <v:shape style="position:absolute;left:785;top:-525;width:3320;height:1200" coordorigin="786,-525" coordsize="3320,1200" path="m4106,675l4006,675m4106,-525l4006,-525m886,75l786,75m886,-525l786,-525e" filled="false" stroked="true" strokeweight=".5pt" strokecolor="#000000">
              <v:path arrowok="t"/>
              <v:stroke dashstyle="solid"/>
            </v:shape>
            <v:shape style="position:absolute;left:785;top:-1055;width:3320;height:1900" type="#_x0000_t75" stroked="false">
              <v:imagedata r:id="rId18" o:title=""/>
            </v:shape>
            <v:line style="position:absolute" from="2516,-228" to="2629,399" stroked="true" strokeweight=".5pt" strokecolor="#000000">
              <v:stroke dashstyle="solid"/>
            </v:line>
            <v:shape style="position:absolute;left:2601;top:377;width:50;height:88" coordorigin="2601,378" coordsize="50,88" path="m2651,378l2601,386,2610,401,2617,412,2641,465,2641,456,2641,446,2642,433,2643,420,2645,408,2651,378xe" filled="true" fillcolor="#231f20" stroked="false">
              <v:path arrowok="t"/>
              <v:fill type="solid"/>
            </v:shape>
            <v:shape style="position:absolute;left:2742;top:-1042;width:1023;height:133" type="#_x0000_t202" filled="false" stroked="false">
              <v:textbox inset="0,0,0,0">
                <w:txbxContent>
                  <w:p>
                    <w:pPr>
                      <w:spacing w:line="133" w:lineRule="exact" w:before="0"/>
                      <w:ind w:left="0" w:right="0" w:firstLine="0"/>
                      <w:jc w:val="left"/>
                      <w:rPr>
                        <w:sz w:val="12"/>
                      </w:rPr>
                    </w:pPr>
                    <w:r>
                      <w:rPr>
                        <w:color w:val="231F20"/>
                        <w:sz w:val="12"/>
                      </w:rPr>
                      <w:t>Low credit rating (b)</w:t>
                    </w:r>
                  </w:p>
                </w:txbxContent>
              </v:textbox>
              <w10:wrap type="none"/>
            </v:shape>
            <v:shape style="position:absolute;left:2362;top:-475;width:833;height:253" type="#_x0000_t202" filled="false" stroked="false">
              <v:textbox inset="0,0,0,0">
                <w:txbxContent>
                  <w:p>
                    <w:pPr>
                      <w:spacing w:line="124" w:lineRule="exact" w:before="0"/>
                      <w:ind w:left="0" w:right="0" w:firstLine="0"/>
                      <w:jc w:val="left"/>
                      <w:rPr>
                        <w:sz w:val="12"/>
                      </w:rPr>
                    </w:pPr>
                    <w:r>
                      <w:rPr>
                        <w:color w:val="231F20"/>
                        <w:sz w:val="12"/>
                      </w:rPr>
                      <w:t>Medium</w:t>
                    </w:r>
                  </w:p>
                  <w:p>
                    <w:pPr>
                      <w:spacing w:line="129" w:lineRule="exact" w:before="0"/>
                      <w:ind w:left="60" w:right="0" w:firstLine="0"/>
                      <w:jc w:val="left"/>
                      <w:rPr>
                        <w:sz w:val="12"/>
                      </w:rPr>
                    </w:pPr>
                    <w:r>
                      <w:rPr>
                        <w:color w:val="231F20"/>
                        <w:sz w:val="12"/>
                      </w:rPr>
                      <w:t>credit rating (b)</w:t>
                    </w:r>
                  </w:p>
                </w:txbxContent>
              </v:textbox>
              <w10:wrap type="none"/>
            </v:shape>
            <w10:wrap type="none"/>
          </v:group>
        </w:pict>
      </w:r>
      <w:r>
        <w:rPr>
          <w:sz w:val="12"/>
        </w:rPr>
        <w:t>1.0</w:t>
      </w:r>
    </w:p>
    <w:p>
      <w:pPr>
        <w:pStyle w:val="BodyText"/>
        <w:rPr>
          <w:sz w:val="12"/>
        </w:rPr>
      </w:pPr>
    </w:p>
    <w:p>
      <w:pPr>
        <w:pStyle w:val="BodyText"/>
        <w:rPr>
          <w:sz w:val="12"/>
        </w:rPr>
      </w:pPr>
    </w:p>
    <w:p>
      <w:pPr>
        <w:pStyle w:val="BodyText"/>
        <w:spacing w:before="2"/>
        <w:rPr>
          <w:sz w:val="16"/>
        </w:rPr>
      </w:pPr>
    </w:p>
    <w:p>
      <w:pPr>
        <w:spacing w:before="0"/>
        <w:ind w:left="276" w:right="0" w:firstLine="0"/>
        <w:jc w:val="left"/>
        <w:rPr>
          <w:sz w:val="12"/>
        </w:rPr>
      </w:pPr>
      <w:r>
        <w:rPr>
          <w:sz w:val="12"/>
        </w:rPr>
        <w:t>0.5</w:t>
      </w:r>
    </w:p>
    <w:p>
      <w:pPr>
        <w:pStyle w:val="BodyText"/>
        <w:rPr>
          <w:sz w:val="12"/>
        </w:rPr>
      </w:pPr>
    </w:p>
    <w:p>
      <w:pPr>
        <w:pStyle w:val="BodyText"/>
        <w:rPr>
          <w:sz w:val="12"/>
        </w:rPr>
      </w:pPr>
    </w:p>
    <w:p>
      <w:pPr>
        <w:pStyle w:val="BodyText"/>
        <w:spacing w:before="2"/>
        <w:rPr>
          <w:sz w:val="16"/>
        </w:rPr>
      </w:pPr>
    </w:p>
    <w:p>
      <w:pPr>
        <w:spacing w:before="0"/>
        <w:ind w:left="276" w:right="0" w:firstLine="0"/>
        <w:jc w:val="left"/>
        <w:rPr>
          <w:sz w:val="12"/>
        </w:rPr>
      </w:pPr>
      <w:r>
        <w:rPr/>
        <w:pict>
          <v:shape style="position:absolute;margin-left:39.279999pt;margin-top:-1.77343pt;width:166pt;height:5.55pt;mso-position-horizontal-relative:page;mso-position-vertical-relative:paragraph;z-index:15764480" coordorigin="786,-35" coordsize="3320,111" path="m4106,75l4006,75m886,75l786,75m2189,65l2189,-35m946,75l3966,75m946,75l946,35m1306,75l1306,35m1486,75l1486,35m1666,75l1666,35m1846,75l1846,35m2006,75l2006,35m2186,75l2186,35m2346,75l2346,35m2526,75l2526,35m2706,75l2706,35m2886,75l2886,35m3046,75l3046,35m3226,75l3226,35m3406,75l3406,35m3566,75l3566,35m3766,75l3766,35m3926,75l3926,35m1126,75l1126,35e" filled="false" stroked="true" strokeweight=".5pt" strokecolor="#000000">
            <v:path arrowok="t"/>
            <v:stroke dashstyle="solid"/>
            <w10:wrap type="none"/>
          </v:shape>
        </w:pict>
      </w:r>
      <w:r>
        <w:rPr>
          <w:sz w:val="12"/>
        </w:rPr>
        <w:t>0.0</w:t>
      </w:r>
    </w:p>
    <w:p>
      <w:pPr>
        <w:pStyle w:val="Heading5"/>
        <w:spacing w:before="90"/>
        <w:ind w:left="315"/>
        <w:rPr>
          <w:i/>
        </w:rPr>
      </w:pPr>
      <w:r>
        <w:rPr>
          <w:i w:val="0"/>
        </w:rPr>
        <w:br w:type="column"/>
      </w:r>
      <w:r>
        <w:rPr>
          <w:i/>
          <w:color w:val="009483"/>
        </w:rPr>
        <w:t>Private non-financial corporations</w:t>
      </w:r>
    </w:p>
    <w:p>
      <w:pPr>
        <w:spacing w:line="280" w:lineRule="atLeast" w:before="160"/>
        <w:ind w:left="315" w:right="320" w:firstLine="0"/>
        <w:jc w:val="left"/>
        <w:rPr>
          <w:sz w:val="24"/>
        </w:rPr>
      </w:pPr>
      <w:r>
        <w:rPr>
          <w:sz w:val="24"/>
        </w:rPr>
        <w:t>The world financial turmoil has affected UK capital markets. Corporate bond spreads over gilt yields widened considerably following the problems in Russia (see Chart 1.6). The CBI Industrial Trends survey for October showed a marked increase in external finance constraints on investment plans. But the potential </w:t>
      </w:r>
      <w:r>
        <w:rPr>
          <w:spacing w:val="-3"/>
          <w:sz w:val="24"/>
        </w:rPr>
        <w:t>impact </w:t>
      </w:r>
      <w:r>
        <w:rPr>
          <w:sz w:val="24"/>
        </w:rPr>
        <w:t>of these developments on the UK real economy may</w:t>
      </w:r>
      <w:r>
        <w:rPr>
          <w:spacing w:val="-9"/>
          <w:sz w:val="24"/>
        </w:rPr>
        <w:t> </w:t>
      </w:r>
      <w:r>
        <w:rPr>
          <w:sz w:val="24"/>
        </w:rPr>
        <w:t>not</w:t>
      </w:r>
    </w:p>
    <w:p>
      <w:pPr>
        <w:spacing w:after="0" w:line="280" w:lineRule="atLeast"/>
        <w:jc w:val="left"/>
        <w:rPr>
          <w:sz w:val="24"/>
        </w:rPr>
        <w:sectPr>
          <w:type w:val="continuous"/>
          <w:pgSz w:w="11900" w:h="16840"/>
          <w:pgMar w:top="1220" w:bottom="280" w:left="620" w:right="520"/>
          <w:cols w:num="5" w:equalWidth="0">
            <w:col w:w="536" w:space="40"/>
            <w:col w:w="2061" w:space="39"/>
            <w:col w:w="524" w:space="39"/>
            <w:col w:w="467" w:space="944"/>
            <w:col w:w="6110"/>
          </w:cols>
        </w:sectPr>
      </w:pPr>
    </w:p>
    <w:p>
      <w:pPr>
        <w:tabs>
          <w:tab w:pos="2435" w:val="left" w:leader="none"/>
        </w:tabs>
        <w:spacing w:line="7" w:lineRule="exact" w:before="0"/>
        <w:ind w:left="835" w:right="0" w:firstLine="0"/>
        <w:jc w:val="left"/>
        <w:rPr>
          <w:sz w:val="12"/>
        </w:rPr>
      </w:pPr>
      <w:r>
        <w:rPr>
          <w:sz w:val="12"/>
        </w:rPr>
        <w:t>1997</w:t>
        <w:tab/>
        <w:t>98</w:t>
      </w:r>
    </w:p>
    <w:p>
      <w:pPr>
        <w:spacing w:before="46"/>
        <w:ind w:left="165" w:right="0" w:firstLine="0"/>
        <w:jc w:val="left"/>
        <w:rPr>
          <w:sz w:val="12"/>
        </w:rPr>
      </w:pPr>
      <w:r>
        <w:rPr>
          <w:sz w:val="12"/>
        </w:rPr>
        <w:t>Sources: Bloomberg and Bank of England.</w:t>
      </w:r>
    </w:p>
    <w:p>
      <w:pPr>
        <w:pStyle w:val="BodyText"/>
        <w:spacing w:before="1"/>
        <w:rPr>
          <w:sz w:val="10"/>
        </w:rPr>
      </w:pPr>
    </w:p>
    <w:p>
      <w:pPr>
        <w:pStyle w:val="ListParagraph"/>
        <w:numPr>
          <w:ilvl w:val="0"/>
          <w:numId w:val="4"/>
        </w:numPr>
        <w:tabs>
          <w:tab w:pos="406" w:val="left" w:leader="none"/>
        </w:tabs>
        <w:spacing w:line="208" w:lineRule="auto" w:before="0" w:after="0"/>
        <w:ind w:left="405" w:right="98" w:hanging="240"/>
        <w:jc w:val="left"/>
        <w:rPr>
          <w:sz w:val="12"/>
        </w:rPr>
      </w:pPr>
      <w:r>
        <w:rPr>
          <w:sz w:val="12"/>
        </w:rPr>
        <w:t>Spreads are an average of the individual spreads for the bonds contained within the above categories. Each individual spread </w:t>
      </w:r>
      <w:r>
        <w:rPr>
          <w:spacing w:val="-9"/>
          <w:sz w:val="12"/>
        </w:rPr>
        <w:t>is </w:t>
      </w:r>
      <w:r>
        <w:rPr>
          <w:sz w:val="12"/>
        </w:rPr>
        <w:t>calculated as the difference between the corporate yield and the yield on a synthetic gilt with a matched coupon and maturity.</w:t>
      </w:r>
    </w:p>
    <w:p>
      <w:pPr>
        <w:pStyle w:val="ListParagraph"/>
        <w:numPr>
          <w:ilvl w:val="0"/>
          <w:numId w:val="4"/>
        </w:numPr>
        <w:tabs>
          <w:tab w:pos="406" w:val="left" w:leader="none"/>
        </w:tabs>
        <w:spacing w:line="114" w:lineRule="exact" w:before="0" w:after="0"/>
        <w:ind w:left="405" w:right="0" w:hanging="241"/>
        <w:jc w:val="left"/>
        <w:rPr>
          <w:sz w:val="12"/>
        </w:rPr>
      </w:pPr>
      <w:r>
        <w:rPr>
          <w:sz w:val="12"/>
        </w:rPr>
        <w:t>These labels are categorisations of credit ratings based on</w:t>
      </w:r>
    </w:p>
    <w:p>
      <w:pPr>
        <w:spacing w:line="129" w:lineRule="exact" w:before="0"/>
        <w:ind w:left="405" w:right="0" w:firstLine="0"/>
        <w:jc w:val="left"/>
        <w:rPr>
          <w:sz w:val="12"/>
        </w:rPr>
      </w:pPr>
      <w:r>
        <w:rPr>
          <w:sz w:val="12"/>
        </w:rPr>
        <w:t>a combination of Standard and Poor’s and Moodys’ credit ratings.</w:t>
      </w:r>
    </w:p>
    <w:p>
      <w:pPr>
        <w:pStyle w:val="Heading4"/>
        <w:spacing w:line="242" w:lineRule="auto" w:before="4"/>
        <w:ind w:left="165" w:right="382"/>
      </w:pPr>
      <w:r>
        <w:rPr/>
        <w:br w:type="column"/>
      </w:r>
      <w:r>
        <w:rPr/>
        <w:t>be significant. Though spreads rose in August and September, they have since declined somewhat.</w:t>
      </w:r>
    </w:p>
    <w:p>
      <w:pPr>
        <w:spacing w:line="242" w:lineRule="auto" w:before="3"/>
        <w:ind w:left="165" w:right="382" w:firstLine="0"/>
        <w:jc w:val="left"/>
        <w:rPr>
          <w:sz w:val="24"/>
        </w:rPr>
      </w:pPr>
      <w:r>
        <w:rPr>
          <w:sz w:val="24"/>
        </w:rPr>
        <w:t>Furthermore, it is the real yield on debt that is important for corporate investment decisions. Real corporate</w:t>
      </w:r>
    </w:p>
    <w:p>
      <w:pPr>
        <w:spacing w:after="0" w:line="242" w:lineRule="auto"/>
        <w:jc w:val="left"/>
        <w:rPr>
          <w:sz w:val="24"/>
        </w:rPr>
        <w:sectPr>
          <w:type w:val="continuous"/>
          <w:pgSz w:w="11900" w:h="16840"/>
          <w:pgMar w:top="1220" w:bottom="280" w:left="620" w:right="520"/>
          <w:cols w:num="2" w:equalWidth="0">
            <w:col w:w="3619" w:space="1181"/>
            <w:col w:w="5960"/>
          </w:cols>
        </w:sectPr>
      </w:pPr>
    </w:p>
    <w:p>
      <w:pPr>
        <w:pStyle w:val="BodyText"/>
        <w:rPr>
          <w:sz w:val="20"/>
        </w:rPr>
      </w:pPr>
    </w:p>
    <w:p>
      <w:pPr>
        <w:spacing w:before="218"/>
        <w:ind w:left="1881" w:right="1978" w:firstLine="0"/>
        <w:jc w:val="center"/>
        <w:rPr>
          <w:b/>
          <w:sz w:val="28"/>
        </w:rPr>
      </w:pPr>
      <w:r>
        <w:rPr/>
        <w:pict>
          <v:group style="position:absolute;margin-left:39.369999pt;margin-top:-9.449665pt;width:517pt;height:431.15pt;mso-position-horizontal-relative:page;mso-position-vertical-relative:paragraph;z-index:-21721600" coordorigin="787,-189" coordsize="10340,8623">
            <v:shape style="position:absolute;left:807;top:-169;width:10300;height:8583" coordorigin="807,-169" coordsize="10300,8583" path="m11107,-169l5981,-169,5934,-169,807,-169,807,4106,807,4139,807,8413,5933,8413,5981,8413,11107,8413,11107,-169xe" filled="true" fillcolor="#c3e0dc" stroked="false">
              <v:path arrowok="t"/>
              <v:fill type="solid"/>
            </v:shape>
            <v:shape style="position:absolute;left:886;top:-106;width:10141;height:8457" coordorigin="887,-106" coordsize="10141,8457" path="m5957,-106l887,4122,5957,8350,11028,4122,5957,-106xe" filled="true" fillcolor="#c4e1dd" stroked="false">
              <v:path arrowok="t"/>
              <v:fill type="solid"/>
            </v:shape>
            <v:shape style="position:absolute;left:986;top:-23;width:9943;height:8291" coordorigin="986,-23" coordsize="9943,8291" path="m5957,-23l986,4122,5957,8267,10928,4122,5957,-23xe" filled="true" fillcolor="#c5e1dd" stroked="false">
              <v:path arrowok="t"/>
              <v:fill type="solid"/>
            </v:shape>
            <v:shape style="position:absolute;left:1085;top:59;width:9744;height:8125" coordorigin="1086,60" coordsize="9744,8125" path="m5957,60l1086,4122,5957,8185,10829,4122,5957,60xe" filled="true" fillcolor="#c6e2de" stroked="false">
              <v:path arrowok="t"/>
              <v:fill type="solid"/>
            </v:shape>
            <v:shape style="position:absolute;left:1185;top:142;width:9545;height:7959" coordorigin="1185,143" coordsize="9545,7959" path="m5957,143l1185,4122,5957,8102,10730,4122,5957,143xe" filled="true" fillcolor="#c7e2df" stroked="false">
              <v:path arrowok="t"/>
              <v:fill type="solid"/>
            </v:shape>
            <v:shape style="position:absolute;left:1284;top:225;width:9346;height:7794" coordorigin="1285,226" coordsize="9346,7794" path="m5957,226l1285,4122,5957,8019,10630,4122,5957,226xe" filled="true" fillcolor="#c8e3df" stroked="false">
              <v:path arrowok="t"/>
              <v:fill type="solid"/>
            </v:shape>
            <v:shape style="position:absolute;left:1383;top:308;width:9147;height:7628" coordorigin="1384,309" coordsize="9147,7628" path="m5957,309l1384,4122,5957,7936,10531,4122,5957,309xe" filled="true" fillcolor="#c9e3e0" stroked="false">
              <v:path arrowok="t"/>
              <v:fill type="solid"/>
            </v:shape>
            <v:shape style="position:absolute;left:1483;top:391;width:8948;height:7462" coordorigin="1483,392" coordsize="8948,7462" path="m5957,392l1483,4122,5957,7853,10431,4122,5957,392xe" filled="true" fillcolor="#cae4e0" stroked="false">
              <v:path arrowok="t"/>
              <v:fill type="solid"/>
            </v:shape>
            <v:shape style="position:absolute;left:1582;top:474;width:8750;height:7296" coordorigin="1583,474" coordsize="8750,7296" path="m5957,474l1583,4122,5957,7770,10332,4122,5957,474xe" filled="true" fillcolor="#cbe4e1" stroked="false">
              <v:path arrowok="t"/>
              <v:fill type="solid"/>
            </v:shape>
            <v:shape style="position:absolute;left:1682;top:557;width:8551;height:7130" coordorigin="1682,557" coordsize="8551,7130" path="m5957,557l1682,4122,5957,7687,10232,4122,5957,557xe" filled="true" fillcolor="#cce5e1" stroked="false">
              <v:path arrowok="t"/>
              <v:fill type="solid"/>
            </v:shape>
            <v:shape style="position:absolute;left:1781;top:640;width:8352;height:6964" coordorigin="1782,640" coordsize="8352,6964" path="m5957,640l1782,4122,5957,7604,10133,4122,5957,640xe" filled="true" fillcolor="#cde5e2" stroked="false">
              <v:path arrowok="t"/>
              <v:fill type="solid"/>
            </v:shape>
            <v:shape style="position:absolute;left:1881;top:723;width:8153;height:6799" coordorigin="1881,723" coordsize="8153,6799" path="m5957,723l1881,4122,5957,7521,10034,4122,5957,723xe" filled="true" fillcolor="#cee6e3" stroked="false">
              <v:path arrowok="t"/>
              <v:fill type="solid"/>
            </v:shape>
            <v:shape style="position:absolute;left:1980;top:806;width:7954;height:6633" coordorigin="1980,806" coordsize="7954,6633" path="m5957,806l1980,4122,5957,7438,9934,4122,5957,806xe" filled="true" fillcolor="#cfe6e3" stroked="false">
              <v:path arrowok="t"/>
              <v:fill type="solid"/>
            </v:shape>
            <v:shape style="position:absolute;left:2079;top:888;width:7755;height:6467" coordorigin="2080,889" coordsize="7755,6467" path="m5957,889l2080,4122,5957,7356,9835,4122,5957,889xe" filled="true" fillcolor="#d0e7e4" stroked="false">
              <v:path arrowok="t"/>
              <v:fill type="solid"/>
            </v:shape>
            <v:shape style="position:absolute;left:2179;top:971;width:7557;height:6301" coordorigin="2179,972" coordsize="7557,6301" path="m5957,972l2179,4122,5957,7273,9735,4122,5957,972xe" filled="true" fillcolor="#d1e7e4" stroked="false">
              <v:path arrowok="t"/>
              <v:fill type="solid"/>
            </v:shape>
            <v:shape style="position:absolute;left:2278;top:1054;width:7358;height:6135" coordorigin="2279,1055" coordsize="7358,6135" path="m5957,1055l2279,4122,5957,7190,9636,4122,5957,1055xe" filled="true" fillcolor="#d3e8e5" stroked="false">
              <v:path arrowok="t"/>
              <v:fill type="solid"/>
            </v:shape>
            <v:shape style="position:absolute;left:2378;top:1137;width:7159;height:5970" coordorigin="2378,1138" coordsize="7159,5970" path="m5957,1138l2378,4122,5957,7107,9537,4122,5957,1138xe" filled="true" fillcolor="#d4e8e5" stroked="false">
              <v:path arrowok="t"/>
              <v:fill type="solid"/>
            </v:shape>
            <v:shape style="position:absolute;left:2477;top:1220;width:6960;height:5804" coordorigin="2478,1221" coordsize="6960,5804" path="m5957,1221l2478,4122,5957,7024,9437,4122,5957,1221xe" filled="true" fillcolor="#d5e9e6" stroked="false">
              <v:path arrowok="t"/>
              <v:fill type="solid"/>
            </v:shape>
            <v:shape style="position:absolute;left:2577;top:1303;width:6761;height:5638" coordorigin="2577,1304" coordsize="6761,5638" path="m5957,1304l2577,4122,5957,6941,9338,4122,5957,1304xe" filled="true" fillcolor="#d6eae7" stroked="false">
              <v:path arrowok="t"/>
              <v:fill type="solid"/>
            </v:shape>
            <v:shape style="position:absolute;left:2676;top:1386;width:6562;height:5472" coordorigin="2676,1386" coordsize="6562,5472" path="m5957,1386l2676,4122,5957,6858,9238,4122,5957,1386xe" filled="true" fillcolor="#d7eae7" stroked="false">
              <v:path arrowok="t"/>
              <v:fill type="solid"/>
            </v:shape>
            <v:shape style="position:absolute;left:2775;top:1469;width:6363;height:5306" coordorigin="2776,1469" coordsize="6363,5306" path="m5957,1469l2776,4122,5957,6775,9139,4122,5957,1469xe" filled="true" fillcolor="#d8ebe8" stroked="false">
              <v:path arrowok="t"/>
              <v:fill type="solid"/>
            </v:shape>
            <v:shape style="position:absolute;left:2875;top:1552;width:6165;height:5141" coordorigin="2875,1552" coordsize="6165,5141" path="m5957,1552l2875,4122,5957,6692,9039,4122,5957,1552xe" filled="true" fillcolor="#d9ebe8" stroked="false">
              <v:path arrowok="t"/>
              <v:fill type="solid"/>
            </v:shape>
            <v:shape style="position:absolute;left:2974;top:1635;width:5966;height:4975" coordorigin="2975,1635" coordsize="5966,4975" path="m5957,1635l2975,4122,5957,6609,8940,4122,5957,1635xe" filled="true" fillcolor="#daece9" stroked="false">
              <v:path arrowok="t"/>
              <v:fill type="solid"/>
            </v:shape>
            <v:shape style="position:absolute;left:3074;top:1718;width:5767;height:4809" coordorigin="3074,1718" coordsize="5767,4809" path="m5957,1718l3074,4122,5957,6526,8841,4122,5957,1718xe" filled="true" fillcolor="#dbece9" stroked="false">
              <v:path arrowok="t"/>
              <v:fill type="solid"/>
            </v:shape>
            <v:shape style="position:absolute;left:3173;top:1800;width:5568;height:4643" coordorigin="3174,1801" coordsize="5568,4643" path="m5957,1801l3174,4122,5957,6444,8741,4122,5957,1801xe" filled="true" fillcolor="#dcedea" stroked="false">
              <v:path arrowok="t"/>
              <v:fill type="solid"/>
            </v:shape>
            <v:shape style="position:absolute;left:3272;top:1883;width:5369;height:4477" coordorigin="3273,1884" coordsize="5369,4477" path="m5957,1884l3273,4122,5957,6361,8642,4122,5957,1884xe" filled="true" fillcolor="#ddedeb" stroked="false">
              <v:path arrowok="t"/>
              <v:fill type="solid"/>
            </v:shape>
            <v:shape style="position:absolute;left:3372;top:1966;width:5170;height:4312" coordorigin="3372,1967" coordsize="5170,4312" path="m5957,1967l3372,4122,5957,6278,8542,4122,5957,1967xe" filled="true" fillcolor="#deeeeb" stroked="false">
              <v:path arrowok="t"/>
              <v:fill type="solid"/>
            </v:shape>
            <v:shape style="position:absolute;left:3471;top:2049;width:4972;height:4146" coordorigin="3472,2050" coordsize="4972,4146" path="m5957,2050l3472,4122,5957,6195,8443,4122,5957,2050xe" filled="true" fillcolor="#e0efec" stroked="false">
              <v:path arrowok="t"/>
              <v:fill type="solid"/>
            </v:shape>
            <v:shape style="position:absolute;left:3571;top:2132;width:4773;height:3980" coordorigin="3571,2133" coordsize="4773,3980" path="m5957,2133l3571,4122,5957,6112,8343,4122,5957,2133xe" filled="true" fillcolor="#e1efec" stroked="false">
              <v:path arrowok="t"/>
              <v:fill type="solid"/>
            </v:shape>
            <v:shape style="position:absolute;left:3670;top:2215;width:4574;height:3814" coordorigin="3671,2215" coordsize="4574,3814" path="m5957,2215l3671,4122,5957,6029,8244,4122,5957,2215xe" filled="true" fillcolor="#e2f0ed" stroked="false">
              <v:path arrowok="t"/>
              <v:fill type="solid"/>
            </v:shape>
            <v:shape style="position:absolute;left:3770;top:2298;width:4375;height:3648" coordorigin="3770,2298" coordsize="4375,3648" path="m5957,2298l3770,4122,5957,5946,8145,4122,5957,2298xe" filled="true" fillcolor="#e3f0ee" stroked="false">
              <v:path arrowok="t"/>
              <v:fill type="solid"/>
            </v:shape>
            <v:shape style="position:absolute;left:3869;top:2381;width:4176;height:3482" coordorigin="3869,2381" coordsize="4176,3482" path="m5957,2381l3869,4122,5957,5863,8045,4122,5957,2381xe" filled="true" fillcolor="#e4f1ee" stroked="false">
              <v:path arrowok="t"/>
              <v:fill type="solid"/>
            </v:shape>
            <v:shape style="position:absolute;left:3968;top:2464;width:3977;height:3317" coordorigin="3969,2464" coordsize="3977,3317" path="m5957,2464l3969,4122,5957,5780,7946,4122,5957,2464xe" filled="true" fillcolor="#e5f1ef" stroked="false">
              <v:path arrowok="t"/>
              <v:fill type="solid"/>
            </v:shape>
            <v:shape style="position:absolute;left:4068;top:2547;width:3778;height:3151" coordorigin="4068,2547" coordsize="3778,3151" path="m5957,2547l4068,4122,5957,5697,7846,4122,5957,2547xe" filled="true" fillcolor="#e6f2ef" stroked="false">
              <v:path arrowok="t"/>
              <v:fill type="solid"/>
            </v:shape>
            <v:shape style="position:absolute;left:4167;top:2629;width:3580;height:2985" coordorigin="4168,2630" coordsize="3580,2985" path="m5957,2630l4168,4122,5957,5615,7747,4122,5957,2630xe" filled="true" fillcolor="#e7f3f0" stroked="false">
              <v:path arrowok="t"/>
              <v:fill type="solid"/>
            </v:shape>
            <v:shape style="position:absolute;left:4267;top:2712;width:3381;height:2819" coordorigin="4267,2713" coordsize="3381,2819" path="m5957,2713l4267,4122,5957,5532,7647,4122,5957,2713xe" filled="true" fillcolor="#e9f3f1" stroked="false">
              <v:path arrowok="t"/>
              <v:fill type="solid"/>
            </v:shape>
            <v:shape style="position:absolute;left:4366;top:2795;width:3182;height:2653" coordorigin="4367,2796" coordsize="3182,2653" path="m5957,2796l4367,4122,5957,5449,7548,4122,5957,2796xe" filled="true" fillcolor="#eaf4f2" stroked="false">
              <v:path arrowok="t"/>
              <v:fill type="solid"/>
            </v:shape>
            <v:shape style="position:absolute;left:4466;top:2878;width:2983;height:2488" coordorigin="4466,2879" coordsize="2983,2488" path="m5957,2879l4466,4122,5957,5366,7449,4122,5957,2879xe" filled="true" fillcolor="#ebf4f2" stroked="false">
              <v:path arrowok="t"/>
              <v:fill type="solid"/>
            </v:shape>
            <v:shape style="position:absolute;left:4565;top:2961;width:2784;height:2322" coordorigin="4565,2962" coordsize="2784,2322" path="m5957,2962l4565,4122,5957,5283,7349,4122,5957,2962xe" filled="true" fillcolor="#ecf5f3" stroked="false">
              <v:path arrowok="t"/>
              <v:fill type="solid"/>
            </v:shape>
            <v:shape style="position:absolute;left:4664;top:3044;width:2585;height:2156" coordorigin="4665,3045" coordsize="2585,2156" path="m5957,3045l4665,4122,5957,5200,7250,4122,5957,3045xe" filled="true" fillcolor="#edf6f4" stroked="false">
              <v:path arrowok="t"/>
              <v:fill type="solid"/>
            </v:shape>
            <v:shape style="position:absolute;left:4764;top:3127;width:2387;height:1990" coordorigin="4764,3127" coordsize="2387,1990" path="m5957,3127l4764,4122,5957,5117,7150,4122,5957,3127xe" filled="true" fillcolor="#eff7f5" stroked="false">
              <v:path arrowok="t"/>
              <v:fill type="solid"/>
            </v:shape>
            <v:shape style="position:absolute;left:4863;top:3210;width:2188;height:1824" coordorigin="4864,3210" coordsize="2188,1824" path="m5957,3210l4864,4122,5957,5034,7051,4122,5957,3210xe" filled="true" fillcolor="#f0f7f5" stroked="false">
              <v:path arrowok="t"/>
              <v:fill type="solid"/>
            </v:shape>
            <v:shape style="position:absolute;left:4963;top:3293;width:1989;height:1659" coordorigin="4963,3293" coordsize="1989,1659" path="m5957,3293l4963,4122,5957,4951,6952,4122,5957,3293xe" filled="true" fillcolor="#f1f8f6" stroked="false">
              <v:path arrowok="t"/>
              <v:fill type="solid"/>
            </v:shape>
            <v:shape style="position:absolute;left:5062;top:3376;width:1790;height:1493" coordorigin="5063,3376" coordsize="1790,1493" path="m5957,3376l5063,4122,5957,4868,6852,4122,5957,3376xe" filled="true" fillcolor="#f2f8f7" stroked="false">
              <v:path arrowok="t"/>
              <v:fill type="solid"/>
            </v:shape>
            <v:shape style="position:absolute;left:5161;top:3459;width:1591;height:1327" coordorigin="5162,3459" coordsize="1591,1327" path="m5957,3459l5162,4122,5957,4785,6753,4122,5957,3459xe" filled="true" fillcolor="#f3f9f8" stroked="false">
              <v:path arrowok="t"/>
              <v:fill type="solid"/>
            </v:shape>
            <v:shape style="position:absolute;left:5261;top:3541;width:1392;height:1161" coordorigin="5261,3542" coordsize="1392,1161" path="m5957,3542l5261,4122,5957,4703,6653,4122,5957,3542xe" filled="true" fillcolor="#f5f9f8" stroked="false">
              <v:path arrowok="t"/>
              <v:fill type="solid"/>
            </v:shape>
            <v:shape style="position:absolute;left:5360;top:3624;width:1194;height:995" coordorigin="5361,3625" coordsize="1194,995" path="m5957,3625l5361,4122,5957,4620,6554,4122,5957,3625xe" filled="true" fillcolor="#f6faf9" stroked="false">
              <v:path arrowok="t"/>
              <v:fill type="solid"/>
            </v:shape>
            <v:shape style="position:absolute;left:5460;top:3707;width:995;height:830" coordorigin="5460,3708" coordsize="995,830" path="m5957,3708l5460,4122,5957,4537,6454,4122,5957,3708xe" filled="true" fillcolor="#f8fbfa" stroked="false">
              <v:path arrowok="t"/>
              <v:fill type="solid"/>
            </v:shape>
            <v:shape style="position:absolute;left:5559;top:3790;width:796;height:664" coordorigin="5560,3791" coordsize="796,664" path="m5957,3791l5560,4122,5957,4454,6355,4122,5957,3791xe" filled="true" fillcolor="#f9fcfc" stroked="false">
              <v:path arrowok="t"/>
              <v:fill type="solid"/>
            </v:shape>
            <v:shape style="position:absolute;left:5659;top:3873;width:597;height:498" coordorigin="5659,3874" coordsize="597,498" path="m5957,3874l5659,4122,5957,4371,6256,4122,5957,3874xe" filled="true" fillcolor="#fbfdfd" stroked="false">
              <v:path arrowok="t"/>
              <v:fill type="solid"/>
            </v:shape>
            <v:shape style="position:absolute;left:5758;top:3956;width:398;height:332" type="#_x0000_t75" stroked="false">
              <v:imagedata r:id="rId21" o:title=""/>
            </v:shape>
            <v:rect style="position:absolute;left:797;top:-179;width:10320;height:8603" filled="false" stroked="true" strokeweight="1pt" strokecolor="#009483">
              <v:stroke dashstyle="solid"/>
            </v:rect>
            <w10:wrap type="none"/>
          </v:group>
        </w:pict>
      </w:r>
      <w:bookmarkStart w:name="Household sector" w:id="14"/>
      <w:bookmarkEnd w:id="14"/>
      <w:r>
        <w:rPr/>
      </w:r>
      <w:bookmarkStart w:name="What is a credit crunch?" w:id="15"/>
      <w:bookmarkEnd w:id="15"/>
      <w:r>
        <w:rPr/>
      </w:r>
      <w:bookmarkStart w:name="_bookmark3" w:id="16"/>
      <w:bookmarkEnd w:id="16"/>
      <w:r>
        <w:rPr/>
      </w:r>
      <w:r>
        <w:rPr>
          <w:b/>
          <w:color w:val="009483"/>
          <w:sz w:val="28"/>
        </w:rPr>
        <w:t>What is a credit crunch?</w:t>
      </w:r>
    </w:p>
    <w:p>
      <w:pPr>
        <w:pStyle w:val="BodyText"/>
        <w:spacing w:before="10"/>
        <w:rPr>
          <w:b/>
          <w:sz w:val="25"/>
        </w:rPr>
      </w:pPr>
    </w:p>
    <w:p>
      <w:pPr>
        <w:spacing w:after="0"/>
        <w:rPr>
          <w:sz w:val="25"/>
        </w:rPr>
        <w:sectPr>
          <w:headerReference w:type="even" r:id="rId19"/>
          <w:headerReference w:type="default" r:id="rId20"/>
          <w:pgSz w:w="11900" w:h="16840"/>
          <w:pgMar w:header="586" w:footer="597" w:top="780" w:bottom="780" w:left="620" w:right="520"/>
        </w:sectPr>
      </w:pPr>
    </w:p>
    <w:p>
      <w:pPr>
        <w:spacing w:line="242" w:lineRule="auto" w:before="90"/>
        <w:ind w:left="420" w:right="33" w:firstLine="0"/>
        <w:jc w:val="left"/>
        <w:rPr>
          <w:sz w:val="24"/>
        </w:rPr>
      </w:pPr>
      <w:r>
        <w:rPr>
          <w:sz w:val="24"/>
        </w:rPr>
        <w:t>The amount of credit in the economy depends on the supply and demand for loans. A ‘credit crunch’ is often defined as a significant reduction in the supply of credit given the general level of real interest rates and the credit standing of borrowers.</w:t>
      </w:r>
    </w:p>
    <w:p>
      <w:pPr>
        <w:pStyle w:val="BodyText"/>
        <w:rPr>
          <w:sz w:val="25"/>
        </w:rPr>
      </w:pPr>
    </w:p>
    <w:p>
      <w:pPr>
        <w:spacing w:line="242" w:lineRule="auto" w:before="0"/>
        <w:ind w:left="420" w:right="33" w:firstLine="0"/>
        <w:jc w:val="left"/>
        <w:rPr>
          <w:sz w:val="24"/>
        </w:rPr>
      </w:pPr>
      <w:r>
        <w:rPr>
          <w:sz w:val="24"/>
        </w:rPr>
        <w:t>A credit crunch may arise because a deterioration in the financial position of lenders constrains their ability to supply credit, for example because the lender finds deposits more difficult or costly to attract. In addition, banks’ lending may be constrained by a fall in their surplus capital, perhaps as a result of losses.</w:t>
      </w:r>
    </w:p>
    <w:p>
      <w:pPr>
        <w:spacing w:line="242" w:lineRule="auto" w:before="9"/>
        <w:ind w:left="420" w:right="194" w:firstLine="0"/>
        <w:jc w:val="left"/>
        <w:rPr>
          <w:sz w:val="24"/>
        </w:rPr>
      </w:pPr>
      <w:r>
        <w:rPr>
          <w:sz w:val="24"/>
        </w:rPr>
        <w:t>Banks are required by international agreement to maintain a minimum ratio of capital to</w:t>
      </w:r>
    </w:p>
    <w:p>
      <w:pPr>
        <w:spacing w:line="242" w:lineRule="auto" w:before="2"/>
        <w:ind w:left="420" w:right="21" w:firstLine="0"/>
        <w:jc w:val="left"/>
        <w:rPr>
          <w:sz w:val="24"/>
        </w:rPr>
      </w:pPr>
      <w:r>
        <w:rPr>
          <w:sz w:val="24"/>
        </w:rPr>
        <w:t>risk-weighted assets of 8%, and UK regulators can set higher ratios which, if breached, trigger supervisory intervention. So if losses were to cause a capital surplus to decline, banks might decide to reduce the size of their total asset base (essentially their loans), or to seek out assets carrying a lower regulatory risk-weighting.</w:t>
      </w:r>
    </w:p>
    <w:p>
      <w:pPr>
        <w:pStyle w:val="BodyText"/>
        <w:spacing w:before="1"/>
        <w:rPr>
          <w:sz w:val="25"/>
        </w:rPr>
      </w:pPr>
    </w:p>
    <w:p>
      <w:pPr>
        <w:spacing w:line="242" w:lineRule="auto" w:before="1"/>
        <w:ind w:left="420" w:right="33" w:firstLine="0"/>
        <w:jc w:val="left"/>
        <w:rPr>
          <w:sz w:val="24"/>
        </w:rPr>
      </w:pPr>
      <w:r>
        <w:rPr>
          <w:sz w:val="24"/>
        </w:rPr>
        <w:t>Credit supply may also change, possibly materially, for other reasons. In particular,</w:t>
      </w:r>
    </w:p>
    <w:p>
      <w:pPr>
        <w:spacing w:line="242" w:lineRule="auto" w:before="90"/>
        <w:ind w:left="420" w:right="448" w:firstLine="0"/>
        <w:jc w:val="left"/>
        <w:rPr>
          <w:sz w:val="24"/>
        </w:rPr>
      </w:pPr>
      <w:r>
        <w:rPr/>
        <w:br w:type="column"/>
      </w:r>
      <w:r>
        <w:rPr>
          <w:sz w:val="24"/>
        </w:rPr>
        <w:t>throughout the economic cycle credit supply tends to change as lenders’ perceptions of risk alter, for example because of a change in borrowers’ financial conditions. A deterioration in the cash flows and balance sheets of some borrowers, and so a tightening in the terms of credit supply to them, are typical features of a economic downturn.</w:t>
      </w:r>
    </w:p>
    <w:p>
      <w:pPr>
        <w:pStyle w:val="BodyText"/>
        <w:spacing w:before="2"/>
        <w:rPr>
          <w:sz w:val="25"/>
        </w:rPr>
      </w:pPr>
    </w:p>
    <w:p>
      <w:pPr>
        <w:spacing w:line="242" w:lineRule="auto" w:before="0"/>
        <w:ind w:left="420" w:right="741" w:firstLine="0"/>
        <w:jc w:val="left"/>
        <w:rPr>
          <w:sz w:val="24"/>
        </w:rPr>
      </w:pPr>
      <w:r>
        <w:rPr>
          <w:sz w:val="24"/>
        </w:rPr>
        <w:t>Curtailment of credit supply need not </w:t>
      </w:r>
      <w:r>
        <w:rPr>
          <w:spacing w:val="-5"/>
          <w:sz w:val="24"/>
        </w:rPr>
        <w:t>only </w:t>
      </w:r>
      <w:r>
        <w:rPr>
          <w:sz w:val="24"/>
        </w:rPr>
        <w:t>take the form of higher interest rates.</w:t>
      </w:r>
      <w:r>
        <w:rPr>
          <w:spacing w:val="58"/>
          <w:sz w:val="24"/>
        </w:rPr>
        <w:t> </w:t>
      </w:r>
      <w:r>
        <w:rPr>
          <w:sz w:val="24"/>
        </w:rPr>
        <w:t>If</w:t>
      </w:r>
    </w:p>
    <w:p>
      <w:pPr>
        <w:spacing w:line="242" w:lineRule="auto" w:before="3"/>
        <w:ind w:left="420" w:right="448" w:firstLine="0"/>
        <w:jc w:val="left"/>
        <w:rPr>
          <w:sz w:val="24"/>
        </w:rPr>
      </w:pPr>
      <w:r>
        <w:rPr>
          <w:sz w:val="24"/>
        </w:rPr>
        <w:t>borrowers willing to pay higher rates tend to be higher risks, then lenders might ration loan supply directly, rather than reduce the demand via higher interest rates. The terms of credit supply can also be tightened in other ways; for example by reducing the maturity of loans, increasing collateral requirements, or through imposing more demanding covenants (eg regarding events that trigger a technical default).</w:t>
      </w:r>
    </w:p>
    <w:p>
      <w:pPr>
        <w:pStyle w:val="BodyText"/>
        <w:spacing w:before="4"/>
        <w:rPr>
          <w:sz w:val="25"/>
        </w:rPr>
      </w:pPr>
    </w:p>
    <w:p>
      <w:pPr>
        <w:spacing w:before="0"/>
        <w:ind w:left="420" w:right="0" w:firstLine="0"/>
        <w:jc w:val="left"/>
        <w:rPr>
          <w:sz w:val="24"/>
        </w:rPr>
      </w:pPr>
      <w:r>
        <w:rPr>
          <w:sz w:val="24"/>
        </w:rPr>
        <w:t>Credit is used by both the household</w:t>
      </w:r>
    </w:p>
    <w:p>
      <w:pPr>
        <w:spacing w:line="242" w:lineRule="auto" w:before="4"/>
        <w:ind w:left="420" w:right="741" w:firstLine="0"/>
        <w:jc w:val="left"/>
        <w:rPr>
          <w:sz w:val="24"/>
        </w:rPr>
      </w:pPr>
      <w:r>
        <w:rPr>
          <w:sz w:val="24"/>
        </w:rPr>
        <w:t>and corporate sectors to finance consumption and investment. So a sharp reduction in</w:t>
      </w:r>
    </w:p>
    <w:p>
      <w:pPr>
        <w:spacing w:line="242" w:lineRule="auto" w:before="2"/>
        <w:ind w:left="420" w:right="741" w:firstLine="0"/>
        <w:jc w:val="left"/>
        <w:rPr>
          <w:sz w:val="24"/>
        </w:rPr>
      </w:pPr>
      <w:r>
        <w:rPr>
          <w:sz w:val="24"/>
        </w:rPr>
        <w:t>the supply of credit would lead to slower growth.</w:t>
      </w:r>
    </w:p>
    <w:p>
      <w:pPr>
        <w:spacing w:after="0" w:line="242" w:lineRule="auto"/>
        <w:jc w:val="left"/>
        <w:rPr>
          <w:sz w:val="24"/>
        </w:rPr>
        <w:sectPr>
          <w:type w:val="continuous"/>
          <w:pgSz w:w="11900" w:h="16840"/>
          <w:pgMar w:top="1220" w:bottom="280" w:left="620" w:right="520"/>
          <w:cols w:num="2" w:equalWidth="0">
            <w:col w:w="5079" w:space="81"/>
            <w:col w:w="5600"/>
          </w:cols>
        </w:sectPr>
      </w:pPr>
    </w:p>
    <w:p>
      <w:pPr>
        <w:pStyle w:val="BodyText"/>
        <w:rPr>
          <w:sz w:val="20"/>
        </w:rPr>
      </w:pPr>
    </w:p>
    <w:p>
      <w:pPr>
        <w:pStyle w:val="BodyText"/>
        <w:spacing w:before="1"/>
        <w:rPr>
          <w:sz w:val="26"/>
        </w:rPr>
      </w:pPr>
    </w:p>
    <w:p>
      <w:pPr>
        <w:spacing w:after="0"/>
        <w:rPr>
          <w:sz w:val="26"/>
        </w:rPr>
        <w:sectPr>
          <w:type w:val="continuous"/>
          <w:pgSz w:w="11900" w:h="16840"/>
          <w:pgMar w:top="1220" w:bottom="280" w:left="620" w:right="520"/>
        </w:sectPr>
      </w:pPr>
    </w:p>
    <w:p>
      <w:pPr>
        <w:pStyle w:val="Heading7"/>
        <w:spacing w:before="91"/>
        <w:ind w:left="240"/>
      </w:pPr>
      <w:r>
        <w:rPr>
          <w:color w:val="0093C1"/>
        </w:rPr>
        <w:t>Chart 1.7</w:t>
      </w:r>
    </w:p>
    <w:p>
      <w:pPr>
        <w:spacing w:line="249" w:lineRule="auto" w:before="10"/>
        <w:ind w:left="239" w:right="0" w:firstLine="0"/>
        <w:jc w:val="left"/>
        <w:rPr>
          <w:b/>
          <w:sz w:val="20"/>
        </w:rPr>
      </w:pPr>
      <w:r>
        <w:rPr>
          <w:b/>
          <w:color w:val="0093C1"/>
          <w:sz w:val="20"/>
        </w:rPr>
        <w:t>Average real yields</w:t>
      </w:r>
      <w:r>
        <w:rPr>
          <w:position w:val="4"/>
          <w:sz w:val="12"/>
        </w:rPr>
        <w:t>(a) </w:t>
      </w:r>
      <w:r>
        <w:rPr>
          <w:b/>
          <w:color w:val="0093C1"/>
          <w:sz w:val="20"/>
        </w:rPr>
        <w:t>for sterling corporate bonds</w:t>
      </w:r>
    </w:p>
    <w:p>
      <w:pPr>
        <w:spacing w:before="57"/>
        <w:ind w:left="3165" w:right="0" w:firstLine="0"/>
        <w:jc w:val="left"/>
        <w:rPr>
          <w:sz w:val="12"/>
        </w:rPr>
      </w:pPr>
      <w:r>
        <w:rPr/>
        <w:pict>
          <v:line style="position:absolute;mso-position-horizontal-relative:page;mso-position-vertical-relative:paragraph;z-index:15769600" from="47.5pt,10.951777pt" to="42.5pt,10.951777pt" stroked="true" strokeweight=".5pt" strokecolor="#000000">
            <v:stroke dashstyle="solid"/>
            <w10:wrap type="none"/>
          </v:line>
        </w:pict>
      </w:r>
      <w:r>
        <w:rPr>
          <w:sz w:val="12"/>
        </w:rPr>
        <w:t>Per ce</w:t>
      </w:r>
      <w:r>
        <w:rPr>
          <w:sz w:val="12"/>
          <w:u w:val="single"/>
        </w:rPr>
        <w:t>n</w:t>
      </w:r>
      <w:r>
        <w:rPr>
          <w:sz w:val="12"/>
        </w:rPr>
        <w:t>t </w:t>
      </w:r>
      <w:r>
        <w:rPr>
          <w:spacing w:val="11"/>
          <w:sz w:val="12"/>
        </w:rPr>
        <w:t> </w:t>
      </w:r>
      <w:r>
        <w:rPr>
          <w:position w:val="-6"/>
          <w:sz w:val="12"/>
        </w:rPr>
        <w:t>5.0</w:t>
      </w:r>
    </w:p>
    <w:p>
      <w:pPr>
        <w:pStyle w:val="BodyText"/>
        <w:rPr>
          <w:sz w:val="20"/>
        </w:rPr>
      </w:pPr>
    </w:p>
    <w:p>
      <w:pPr>
        <w:pStyle w:val="BodyText"/>
        <w:rPr>
          <w:sz w:val="20"/>
        </w:rPr>
      </w:pPr>
    </w:p>
    <w:p>
      <w:pPr>
        <w:spacing w:before="159"/>
        <w:ind w:left="3626" w:right="0" w:firstLine="0"/>
        <w:jc w:val="left"/>
        <w:rPr>
          <w:sz w:val="12"/>
        </w:rPr>
      </w:pPr>
      <w:r>
        <w:rPr/>
        <w:pict>
          <v:group style="position:absolute;margin-left:42.5pt;margin-top:-4.781629pt;width:166pt;height:100.7pt;mso-position-horizontal-relative:page;mso-position-vertical-relative:paragraph;z-index:15769088" coordorigin="850,-96" coordsize="3320,2014">
            <v:shape style="position:absolute;left:850;top:254;width:100;height:1500" coordorigin="850,254" coordsize="100,1500" path="m950,1754l850,1754m950,254l850,254e" filled="false" stroked="true" strokeweight=".5pt" strokecolor="#000000">
              <v:path arrowok="t"/>
              <v:stroke dashstyle="solid"/>
            </v:shape>
            <v:shape style="position:absolute;left:850;top:-96;width:3320;height:2000" type="#_x0000_t75" stroked="false">
              <v:imagedata r:id="rId22" o:title=""/>
            </v:shape>
            <v:line style="position:absolute" from="2660,671" to="2713,1398" stroked="true" strokeweight=".5pt" strokecolor="#000000">
              <v:stroke dashstyle="solid"/>
            </v:line>
            <v:shape style="position:absolute;left:2686;top:1378;width:51;height:87" coordorigin="2687,1379" coordsize="51,87" path="m2737,1379l2687,1383,2694,1398,2700,1410,2718,1465,2719,1456,2720,1446,2723,1434,2725,1420,2728,1409,2737,1379xe" filled="true" fillcolor="#231f20" stroked="false">
              <v:path arrowok="t"/>
              <v:fill type="solid"/>
            </v:shape>
            <v:shape style="position:absolute;left:2298;top:24;width:1543;height:640" type="#_x0000_t202" filled="false" stroked="false">
              <v:textbox inset="0,0,0,0">
                <w:txbxContent>
                  <w:p>
                    <w:pPr>
                      <w:spacing w:line="133" w:lineRule="exact" w:before="0"/>
                      <w:ind w:left="519" w:right="0" w:firstLine="0"/>
                      <w:jc w:val="left"/>
                      <w:rPr>
                        <w:sz w:val="12"/>
                      </w:rPr>
                    </w:pPr>
                    <w:r>
                      <w:rPr>
                        <w:color w:val="231F20"/>
                        <w:sz w:val="12"/>
                      </w:rPr>
                      <w:t>Low credit rating (b)</w:t>
                    </w:r>
                  </w:p>
                  <w:p>
                    <w:pPr>
                      <w:spacing w:line="240" w:lineRule="auto" w:before="0"/>
                      <w:rPr>
                        <w:sz w:val="12"/>
                      </w:rPr>
                    </w:pPr>
                  </w:p>
                  <w:p>
                    <w:pPr>
                      <w:spacing w:line="240" w:lineRule="auto" w:before="7"/>
                      <w:rPr>
                        <w:sz w:val="9"/>
                      </w:rPr>
                    </w:pPr>
                  </w:p>
                  <w:p>
                    <w:pPr>
                      <w:spacing w:line="129" w:lineRule="exact" w:before="0"/>
                      <w:ind w:left="0" w:right="0" w:firstLine="0"/>
                      <w:jc w:val="left"/>
                      <w:rPr>
                        <w:sz w:val="12"/>
                      </w:rPr>
                    </w:pPr>
                    <w:r>
                      <w:rPr>
                        <w:color w:val="231F20"/>
                        <w:sz w:val="12"/>
                      </w:rPr>
                      <w:t>Medium</w:t>
                    </w:r>
                  </w:p>
                  <w:p>
                    <w:pPr>
                      <w:spacing w:line="129" w:lineRule="exact" w:before="0"/>
                      <w:ind w:left="60" w:right="0" w:firstLine="0"/>
                      <w:jc w:val="left"/>
                      <w:rPr>
                        <w:sz w:val="12"/>
                      </w:rPr>
                    </w:pPr>
                    <w:r>
                      <w:rPr>
                        <w:color w:val="231F20"/>
                        <w:sz w:val="12"/>
                      </w:rPr>
                      <w:t>credit rating (b)</w:t>
                    </w:r>
                  </w:p>
                </w:txbxContent>
              </v:textbox>
              <w10:wrap type="none"/>
            </v:shape>
            <v:shape style="position:absolute;left:1738;top:1784;width:1043;height:133" type="#_x0000_t202" filled="false" stroked="false">
              <v:textbox inset="0,0,0,0">
                <w:txbxContent>
                  <w:p>
                    <w:pPr>
                      <w:spacing w:line="133" w:lineRule="exact" w:before="0"/>
                      <w:ind w:left="0" w:right="0" w:firstLine="0"/>
                      <w:jc w:val="left"/>
                      <w:rPr>
                        <w:sz w:val="12"/>
                      </w:rPr>
                    </w:pPr>
                    <w:r>
                      <w:rPr>
                        <w:color w:val="231F20"/>
                        <w:sz w:val="12"/>
                      </w:rPr>
                      <w:t>High credit rating (b)</w:t>
                    </w:r>
                  </w:p>
                </w:txbxContent>
              </v:textbox>
              <w10:wrap type="none"/>
            </v:shape>
            <w10:wrap type="none"/>
          </v:group>
        </w:pict>
      </w:r>
      <w:r>
        <w:rPr>
          <w:sz w:val="12"/>
        </w:rPr>
        <w:t>4.5</w:t>
      </w:r>
    </w:p>
    <w:p>
      <w:pPr>
        <w:pStyle w:val="BodyText"/>
        <w:rPr>
          <w:sz w:val="12"/>
        </w:rPr>
      </w:pPr>
    </w:p>
    <w:p>
      <w:pPr>
        <w:pStyle w:val="BodyText"/>
        <w:rPr>
          <w:sz w:val="12"/>
        </w:rPr>
      </w:pPr>
    </w:p>
    <w:p>
      <w:pPr>
        <w:pStyle w:val="BodyText"/>
        <w:rPr>
          <w:sz w:val="12"/>
        </w:rPr>
      </w:pPr>
    </w:p>
    <w:p>
      <w:pPr>
        <w:pStyle w:val="BodyText"/>
        <w:spacing w:before="4"/>
        <w:rPr>
          <w:sz w:val="16"/>
        </w:rPr>
      </w:pPr>
    </w:p>
    <w:p>
      <w:pPr>
        <w:spacing w:before="0"/>
        <w:ind w:left="3626" w:right="0" w:firstLine="0"/>
        <w:jc w:val="left"/>
        <w:rPr>
          <w:sz w:val="12"/>
        </w:rPr>
      </w:pPr>
      <w:r>
        <w:rPr>
          <w:sz w:val="12"/>
        </w:rPr>
        <w:t>4.0</w:t>
      </w:r>
    </w:p>
    <w:p>
      <w:pPr>
        <w:pStyle w:val="Heading4"/>
        <w:spacing w:line="242" w:lineRule="auto" w:before="92"/>
        <w:ind w:left="240" w:right="348"/>
      </w:pPr>
      <w:r>
        <w:rPr/>
        <w:br w:type="column"/>
      </w:r>
      <w:r>
        <w:rPr/>
        <w:t>yields are not straightforward to measure, but a Bank estimate suggests that, except for the lower credit-rated companies, real yields are close to the levels at the end of 1997 (see Chart 1.7). In any event, unlike in the United States, corporate credit in the United Kingdom comes largely from banks rather than the bond market. The flow of M4 lending to companies in September was</w:t>
      </w:r>
    </w:p>
    <w:p>
      <w:pPr>
        <w:spacing w:line="242" w:lineRule="auto" w:before="9"/>
        <w:ind w:left="240" w:right="0" w:firstLine="0"/>
        <w:jc w:val="left"/>
        <w:rPr>
          <w:sz w:val="24"/>
        </w:rPr>
      </w:pPr>
      <w:r>
        <w:rPr>
          <w:sz w:val="24"/>
        </w:rPr>
        <w:t>£1.6 billion, well above the average of the previous eight months.</w:t>
      </w:r>
    </w:p>
    <w:p>
      <w:pPr>
        <w:spacing w:after="0" w:line="242" w:lineRule="auto"/>
        <w:jc w:val="left"/>
        <w:rPr>
          <w:sz w:val="24"/>
        </w:rPr>
        <w:sectPr>
          <w:type w:val="continuous"/>
          <w:pgSz w:w="11900" w:h="16840"/>
          <w:pgMar w:top="1220" w:bottom="280" w:left="620" w:right="520"/>
          <w:cols w:num="2" w:equalWidth="0">
            <w:col w:w="3929" w:space="805"/>
            <w:col w:w="6026"/>
          </w:cols>
        </w:sectPr>
      </w:pPr>
    </w:p>
    <w:p>
      <w:pPr>
        <w:pStyle w:val="BodyText"/>
        <w:spacing w:before="8"/>
        <w:rPr>
          <w:sz w:val="23"/>
        </w:rPr>
      </w:pPr>
    </w:p>
    <w:p>
      <w:pPr>
        <w:spacing w:after="0"/>
        <w:rPr>
          <w:sz w:val="23"/>
        </w:rPr>
        <w:sectPr>
          <w:type w:val="continuous"/>
          <w:pgSz w:w="11900" w:h="16840"/>
          <w:pgMar w:top="1220" w:bottom="280" w:left="620" w:right="520"/>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5"/>
        <w:rPr>
          <w:sz w:val="17"/>
        </w:rPr>
      </w:pPr>
    </w:p>
    <w:p>
      <w:pPr>
        <w:spacing w:line="76" w:lineRule="exact" w:before="0"/>
        <w:ind w:left="340" w:right="0" w:firstLine="0"/>
        <w:jc w:val="left"/>
        <w:rPr>
          <w:sz w:val="12"/>
        </w:rPr>
      </w:pPr>
      <w:r>
        <w:rPr>
          <w:sz w:val="12"/>
        </w:rPr>
        <w:t>June</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5"/>
        <w:rPr>
          <w:sz w:val="17"/>
        </w:rPr>
      </w:pPr>
    </w:p>
    <w:p>
      <w:pPr>
        <w:tabs>
          <w:tab w:pos="819" w:val="left" w:leader="none"/>
          <w:tab w:pos="1339" w:val="left" w:leader="none"/>
          <w:tab w:pos="1839" w:val="left" w:leader="none"/>
        </w:tabs>
        <w:spacing w:line="76" w:lineRule="exact" w:before="0"/>
        <w:ind w:left="280" w:right="0" w:firstLine="0"/>
        <w:jc w:val="left"/>
        <w:rPr>
          <w:sz w:val="12"/>
        </w:rPr>
      </w:pPr>
      <w:r>
        <w:rPr>
          <w:sz w:val="12"/>
        </w:rPr>
        <w:t>Sept.</w:t>
        <w:tab/>
        <w:t>Dec.</w:t>
        <w:tab/>
        <w:t>Mar.</w:t>
        <w:tab/>
      </w:r>
      <w:r>
        <w:rPr>
          <w:spacing w:val="-5"/>
          <w:sz w:val="12"/>
        </w:rPr>
        <w:t>June</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5"/>
        <w:rPr>
          <w:sz w:val="17"/>
        </w:rPr>
      </w:pPr>
    </w:p>
    <w:p>
      <w:pPr>
        <w:spacing w:line="76" w:lineRule="exact" w:before="0"/>
        <w:ind w:left="280" w:right="0" w:firstLine="0"/>
        <w:jc w:val="left"/>
        <w:rPr>
          <w:sz w:val="12"/>
        </w:rPr>
      </w:pPr>
      <w:r>
        <w:rPr>
          <w:sz w:val="12"/>
        </w:rPr>
        <w:t>Sept.</w:t>
      </w:r>
    </w:p>
    <w:p>
      <w:pPr>
        <w:pStyle w:val="BodyText"/>
        <w:rPr>
          <w:sz w:val="12"/>
        </w:rPr>
      </w:pPr>
      <w:r>
        <w:rPr/>
        <w:br w:type="column"/>
      </w:r>
      <w:r>
        <w:rPr>
          <w:sz w:val="12"/>
        </w:rPr>
      </w:r>
    </w:p>
    <w:p>
      <w:pPr>
        <w:pStyle w:val="BodyText"/>
        <w:rPr>
          <w:sz w:val="15"/>
        </w:rPr>
      </w:pPr>
    </w:p>
    <w:p>
      <w:pPr>
        <w:spacing w:before="0"/>
        <w:ind w:left="340" w:right="0" w:firstLine="0"/>
        <w:jc w:val="left"/>
        <w:rPr>
          <w:sz w:val="12"/>
        </w:rPr>
      </w:pPr>
      <w:r>
        <w:rPr>
          <w:sz w:val="12"/>
        </w:rPr>
        <w:t>3.5</w:t>
      </w:r>
    </w:p>
    <w:p>
      <w:pPr>
        <w:pStyle w:val="BodyText"/>
        <w:rPr>
          <w:sz w:val="12"/>
        </w:rPr>
      </w:pPr>
    </w:p>
    <w:p>
      <w:pPr>
        <w:pStyle w:val="BodyText"/>
        <w:rPr>
          <w:sz w:val="12"/>
        </w:rPr>
      </w:pPr>
    </w:p>
    <w:p>
      <w:pPr>
        <w:pStyle w:val="BodyText"/>
        <w:rPr>
          <w:sz w:val="12"/>
        </w:rPr>
      </w:pPr>
    </w:p>
    <w:p>
      <w:pPr>
        <w:pStyle w:val="BodyText"/>
        <w:rPr>
          <w:sz w:val="12"/>
        </w:rPr>
      </w:pPr>
    </w:p>
    <w:p>
      <w:pPr>
        <w:spacing w:before="70"/>
        <w:ind w:left="340" w:right="0" w:firstLine="0"/>
        <w:jc w:val="left"/>
        <w:rPr>
          <w:sz w:val="12"/>
        </w:rPr>
      </w:pPr>
      <w:r>
        <w:rPr/>
        <w:pict>
          <v:group style="position:absolute;margin-left:42.5pt;margin-top:8.01857pt;width:167.35pt;height:7.5pt;mso-position-horizontal-relative:page;mso-position-vertical-relative:paragraph;z-index:15767552" coordorigin="850,160" coordsize="3347,150">
            <v:shape style="position:absolute;left:850;top:165;width:3320;height:140" coordorigin="850,165" coordsize="3320,140" path="m950,165l850,165m4170,165l4070,165m1009,305l850,305m4170,305l4003,305m990,305l4010,305m990,305l990,265m1350,305l1350,265m1510,305l1510,265m1710,305l1710,265m1890,305l1890,265m2050,305l2050,265m2230,305l2230,220m2390,305l2390,265m2570,305l2570,265m2750,305l2750,265m2910,305l2910,265m3070,305l3070,265m3270,305l3270,265m3430,305l3430,265m3610,305l3610,265m3790,305l3790,265m3970,305l3970,265m2050,305l2050,265m1150,305l1150,265e" filled="false" stroked="true" strokeweight=".5pt" strokecolor="#000000">
              <v:path arrowok="t"/>
              <v:stroke dashstyle="solid"/>
            </v:shape>
            <v:shape style="position:absolute;left:931;top:170;width:3260;height:132" coordorigin="932,171" coordsize="3260,132" path="m4172,176l4172,202,4152,219,4192,232,4152,252,4192,269,4169,279,4168,302m952,171l952,197,932,214,972,227,932,247,972,264,949,274,948,297e" filled="false" stroked="true" strokeweight=".5pt" strokecolor="#000000">
              <v:path arrowok="t"/>
              <v:stroke dashstyle="solid"/>
            </v:shape>
            <w10:wrap type="none"/>
          </v:group>
        </w:pict>
      </w:r>
      <w:r>
        <w:rPr>
          <w:sz w:val="12"/>
        </w:rPr>
        <w:t>3.0</w:t>
      </w:r>
    </w:p>
    <w:p>
      <w:pPr>
        <w:spacing w:line="129" w:lineRule="exact" w:before="42"/>
        <w:ind w:left="340" w:right="0" w:firstLine="0"/>
        <w:jc w:val="left"/>
        <w:rPr>
          <w:sz w:val="12"/>
        </w:rPr>
      </w:pPr>
      <w:r>
        <w:rPr>
          <w:sz w:val="12"/>
        </w:rPr>
        <w:t>0.0</w:t>
      </w:r>
    </w:p>
    <w:p>
      <w:pPr>
        <w:pStyle w:val="Heading5"/>
        <w:spacing w:before="90"/>
        <w:ind w:left="340"/>
        <w:rPr>
          <w:i/>
        </w:rPr>
      </w:pPr>
      <w:r>
        <w:rPr>
          <w:i w:val="0"/>
        </w:rPr>
        <w:br w:type="column"/>
      </w:r>
      <w:r>
        <w:rPr>
          <w:i/>
          <w:color w:val="009483"/>
        </w:rPr>
        <w:t>Household sector</w:t>
      </w:r>
    </w:p>
    <w:p>
      <w:pPr>
        <w:spacing w:line="242" w:lineRule="auto" w:before="164"/>
        <w:ind w:left="340" w:right="152" w:firstLine="0"/>
        <w:jc w:val="left"/>
        <w:rPr>
          <w:sz w:val="24"/>
        </w:rPr>
      </w:pPr>
      <w:r>
        <w:rPr>
          <w:sz w:val="24"/>
        </w:rPr>
        <w:t>Households’ credit growth tends to be positively associated with consumer spending growth.</w:t>
      </w:r>
      <w:r>
        <w:rPr>
          <w:position w:val="5"/>
          <w:sz w:val="16"/>
        </w:rPr>
        <w:t>(1) </w:t>
      </w:r>
      <w:r>
        <w:rPr>
          <w:sz w:val="24"/>
        </w:rPr>
        <w:t>As individuals have limited access to credit from outside the</w:t>
      </w:r>
    </w:p>
    <w:p>
      <w:pPr>
        <w:spacing w:after="0" w:line="242" w:lineRule="auto"/>
        <w:jc w:val="left"/>
        <w:rPr>
          <w:sz w:val="24"/>
        </w:rPr>
        <w:sectPr>
          <w:type w:val="continuous"/>
          <w:pgSz w:w="11900" w:h="16840"/>
          <w:pgMar w:top="1220" w:bottom="280" w:left="620" w:right="520"/>
          <w:cols w:num="5" w:equalWidth="0">
            <w:col w:w="560" w:space="40"/>
            <w:col w:w="2060" w:space="39"/>
            <w:col w:w="524" w:space="64"/>
            <w:col w:w="531" w:space="817"/>
            <w:col w:w="6125"/>
          </w:cols>
        </w:sectPr>
      </w:pPr>
    </w:p>
    <w:p>
      <w:pPr>
        <w:tabs>
          <w:tab w:pos="2459" w:val="left" w:leader="none"/>
        </w:tabs>
        <w:spacing w:before="84"/>
        <w:ind w:left="859" w:right="0" w:firstLine="0"/>
        <w:jc w:val="left"/>
        <w:rPr>
          <w:sz w:val="12"/>
        </w:rPr>
      </w:pPr>
      <w:r>
        <w:rPr>
          <w:sz w:val="12"/>
        </w:rPr>
        <w:t>1997</w:t>
        <w:tab/>
        <w:t>98</w:t>
      </w:r>
    </w:p>
    <w:p>
      <w:pPr>
        <w:spacing w:before="47"/>
        <w:ind w:left="240" w:right="0" w:firstLine="0"/>
        <w:jc w:val="left"/>
        <w:rPr>
          <w:sz w:val="12"/>
        </w:rPr>
      </w:pPr>
      <w:r>
        <w:rPr>
          <w:sz w:val="12"/>
        </w:rPr>
        <w:t>Sources: Bloomberg and Bank of England.</w:t>
      </w:r>
    </w:p>
    <w:p>
      <w:pPr>
        <w:pStyle w:val="BodyText"/>
        <w:spacing w:before="2"/>
        <w:rPr>
          <w:sz w:val="10"/>
        </w:rPr>
      </w:pPr>
    </w:p>
    <w:p>
      <w:pPr>
        <w:pStyle w:val="ListParagraph"/>
        <w:numPr>
          <w:ilvl w:val="0"/>
          <w:numId w:val="5"/>
        </w:numPr>
        <w:tabs>
          <w:tab w:pos="480" w:val="left" w:leader="none"/>
        </w:tabs>
        <w:spacing w:line="208" w:lineRule="auto" w:before="0" w:after="0"/>
        <w:ind w:left="480" w:right="171" w:hanging="240"/>
        <w:jc w:val="both"/>
        <w:rPr>
          <w:sz w:val="12"/>
        </w:rPr>
      </w:pPr>
      <w:r>
        <w:rPr>
          <w:sz w:val="12"/>
        </w:rPr>
        <w:t>Real yields are calculated as the nominal corporate yield </w:t>
      </w:r>
      <w:r>
        <w:rPr>
          <w:spacing w:val="-3"/>
          <w:sz w:val="12"/>
        </w:rPr>
        <w:t>minus </w:t>
      </w:r>
      <w:r>
        <w:rPr>
          <w:sz w:val="12"/>
        </w:rPr>
        <w:t>a measure of inflation expectations for the appropriate </w:t>
      </w:r>
      <w:r>
        <w:rPr>
          <w:spacing w:val="-3"/>
          <w:sz w:val="12"/>
        </w:rPr>
        <w:t>maturity </w:t>
      </w:r>
      <w:r>
        <w:rPr>
          <w:sz w:val="12"/>
        </w:rPr>
        <w:t>derived from the gilt market.</w:t>
      </w:r>
    </w:p>
    <w:p>
      <w:pPr>
        <w:pStyle w:val="ListParagraph"/>
        <w:numPr>
          <w:ilvl w:val="0"/>
          <w:numId w:val="5"/>
        </w:numPr>
        <w:tabs>
          <w:tab w:pos="481" w:val="left" w:leader="none"/>
        </w:tabs>
        <w:spacing w:line="114" w:lineRule="exact" w:before="0" w:after="0"/>
        <w:ind w:left="480" w:right="0" w:hanging="241"/>
        <w:jc w:val="both"/>
        <w:rPr>
          <w:sz w:val="12"/>
        </w:rPr>
      </w:pPr>
      <w:r>
        <w:rPr>
          <w:sz w:val="12"/>
        </w:rPr>
        <w:t>These labels are categorisations of credit ratings based on</w:t>
      </w:r>
    </w:p>
    <w:p>
      <w:pPr>
        <w:spacing w:line="129" w:lineRule="exact" w:before="0"/>
        <w:ind w:left="480" w:right="0" w:firstLine="0"/>
        <w:jc w:val="both"/>
        <w:rPr>
          <w:sz w:val="12"/>
        </w:rPr>
      </w:pPr>
      <w:r>
        <w:rPr>
          <w:sz w:val="12"/>
        </w:rPr>
        <w:t>a combination of Standard and Poor’s and Moodys’ credit ratings.</w:t>
      </w:r>
    </w:p>
    <w:p>
      <w:pPr>
        <w:pStyle w:val="Heading4"/>
        <w:spacing w:line="242" w:lineRule="auto"/>
        <w:ind w:left="240" w:right="348"/>
      </w:pPr>
      <w:r>
        <w:rPr/>
        <w:br w:type="column"/>
      </w:r>
      <w:r>
        <w:rPr/>
        <w:t>bank and building society sector, M4 lending to households is the key indicator of their borrowing activity. Unlike growth in households’ deposits, the growth rate of M4 lending to the household sector on a</w:t>
      </w:r>
    </w:p>
    <w:p>
      <w:pPr>
        <w:spacing w:after="0" w:line="242" w:lineRule="auto"/>
        <w:sectPr>
          <w:type w:val="continuous"/>
          <w:pgSz w:w="11900" w:h="16840"/>
          <w:pgMar w:top="1220" w:bottom="280" w:left="620" w:right="520"/>
          <w:cols w:num="2" w:equalWidth="0">
            <w:col w:w="3693" w:space="1041"/>
            <w:col w:w="6026"/>
          </w:cols>
        </w:sectPr>
      </w:pPr>
    </w:p>
    <w:p>
      <w:pPr>
        <w:pStyle w:val="BodyText"/>
        <w:spacing w:before="2"/>
        <w:rPr>
          <w:sz w:val="16"/>
        </w:rPr>
      </w:pPr>
    </w:p>
    <w:p>
      <w:pPr>
        <w:pStyle w:val="BodyText"/>
        <w:spacing w:line="20" w:lineRule="exact"/>
        <w:ind w:left="4965"/>
        <w:rPr>
          <w:sz w:val="2"/>
        </w:rPr>
      </w:pPr>
      <w:r>
        <w:rPr>
          <w:sz w:val="2"/>
        </w:rPr>
        <w:pict>
          <v:group style="width:277.25pt;height:.15pt;mso-position-horizontal-relative:char;mso-position-vertical-relative:line" coordorigin="0,0" coordsize="5545,3">
            <v:line style="position:absolute" from="0,1" to="5545,1" stroked="true" strokeweight=".125pt" strokecolor="#000000">
              <v:stroke dashstyle="solid"/>
            </v:line>
          </v:group>
        </w:pict>
      </w:r>
      <w:r>
        <w:rPr>
          <w:sz w:val="2"/>
        </w:rPr>
      </w:r>
    </w:p>
    <w:p>
      <w:pPr>
        <w:pStyle w:val="ListParagraph"/>
        <w:numPr>
          <w:ilvl w:val="1"/>
          <w:numId w:val="5"/>
        </w:numPr>
        <w:tabs>
          <w:tab w:pos="5211" w:val="left" w:leader="none"/>
        </w:tabs>
        <w:spacing w:line="208" w:lineRule="auto" w:before="0" w:after="0"/>
        <w:ind w:left="5224" w:right="899" w:hanging="240"/>
        <w:jc w:val="left"/>
        <w:rPr>
          <w:sz w:val="16"/>
        </w:rPr>
      </w:pPr>
      <w:r>
        <w:rPr>
          <w:sz w:val="16"/>
        </w:rPr>
        <w:t>See, for example, Astley, M and Haldane, A (1997), ‘The information </w:t>
      </w:r>
      <w:r>
        <w:rPr>
          <w:spacing w:val="-9"/>
          <w:sz w:val="16"/>
        </w:rPr>
        <w:t>in </w:t>
      </w:r>
      <w:r>
        <w:rPr>
          <w:sz w:val="16"/>
        </w:rPr>
        <w:t>money’, </w:t>
      </w:r>
      <w:r>
        <w:rPr>
          <w:i/>
          <w:sz w:val="16"/>
        </w:rPr>
        <w:t>Quarterly Bulletin</w:t>
      </w:r>
      <w:r>
        <w:rPr>
          <w:sz w:val="16"/>
        </w:rPr>
        <w:t>, May, pages</w:t>
      </w:r>
      <w:r>
        <w:rPr>
          <w:spacing w:val="-1"/>
          <w:sz w:val="16"/>
        </w:rPr>
        <w:t> </w:t>
      </w:r>
      <w:r>
        <w:rPr>
          <w:sz w:val="16"/>
        </w:rPr>
        <w:t>174–80.</w:t>
      </w:r>
    </w:p>
    <w:p>
      <w:pPr>
        <w:spacing w:after="0" w:line="208" w:lineRule="auto"/>
        <w:jc w:val="left"/>
        <w:rPr>
          <w:sz w:val="16"/>
        </w:rPr>
        <w:sectPr>
          <w:type w:val="continuous"/>
          <w:pgSz w:w="11900" w:h="16840"/>
          <w:pgMar w:top="1220" w:bottom="280" w:left="620" w:right="520"/>
        </w:sectPr>
      </w:pPr>
    </w:p>
    <w:p>
      <w:pPr>
        <w:pStyle w:val="BodyText"/>
        <w:rPr>
          <w:sz w:val="20"/>
        </w:rPr>
      </w:pPr>
    </w:p>
    <w:p>
      <w:pPr>
        <w:spacing w:after="0"/>
        <w:rPr>
          <w:sz w:val="20"/>
        </w:rPr>
        <w:sectPr>
          <w:pgSz w:w="11900" w:h="16840"/>
          <w:pgMar w:header="586" w:footer="617" w:top="780" w:bottom="800" w:left="620" w:right="520"/>
        </w:sectPr>
      </w:pPr>
    </w:p>
    <w:p>
      <w:pPr>
        <w:pStyle w:val="BodyText"/>
        <w:spacing w:before="6"/>
        <w:rPr>
          <w:sz w:val="22"/>
        </w:rPr>
      </w:pPr>
    </w:p>
    <w:p>
      <w:pPr>
        <w:pStyle w:val="Heading7"/>
        <w:spacing w:before="0"/>
        <w:ind w:left="185"/>
      </w:pPr>
      <w:bookmarkStart w:name="Other financial corporations" w:id="17"/>
      <w:bookmarkEnd w:id="17"/>
      <w:r>
        <w:rPr>
          <w:b w:val="0"/>
        </w:rPr>
      </w:r>
      <w:bookmarkStart w:name="Interest rates and asset prices" w:id="18"/>
      <w:bookmarkEnd w:id="18"/>
      <w:r>
        <w:rPr>
          <w:b w:val="0"/>
        </w:rPr>
      </w:r>
      <w:bookmarkStart w:name="Short-term interest rates" w:id="19"/>
      <w:bookmarkEnd w:id="19"/>
      <w:r>
        <w:rPr>
          <w:b w:val="0"/>
        </w:rPr>
      </w:r>
      <w:bookmarkStart w:name="_bookmark4" w:id="20"/>
      <w:bookmarkEnd w:id="20"/>
      <w:r>
        <w:rPr>
          <w:b w:val="0"/>
        </w:rPr>
      </w:r>
      <w:r>
        <w:rPr>
          <w:color w:val="0093C1"/>
        </w:rPr>
        <w:t>Chart 1.8</w:t>
      </w:r>
    </w:p>
    <w:p>
      <w:pPr>
        <w:spacing w:before="10"/>
        <w:ind w:left="185" w:right="0" w:firstLine="0"/>
        <w:jc w:val="left"/>
        <w:rPr>
          <w:sz w:val="12"/>
        </w:rPr>
      </w:pPr>
      <w:r>
        <w:rPr>
          <w:b/>
          <w:color w:val="0093C1"/>
          <w:sz w:val="20"/>
        </w:rPr>
        <w:t>Sectoral M4 lending growth</w:t>
      </w:r>
      <w:r>
        <w:rPr>
          <w:position w:val="4"/>
          <w:sz w:val="12"/>
        </w:rPr>
        <w:t>(a)</w:t>
      </w:r>
    </w:p>
    <w:p>
      <w:pPr>
        <w:spacing w:line="116" w:lineRule="exact" w:before="101"/>
        <w:ind w:left="1764" w:right="0" w:firstLine="0"/>
        <w:jc w:val="left"/>
        <w:rPr>
          <w:sz w:val="12"/>
        </w:rPr>
      </w:pPr>
      <w:r>
        <w:rPr>
          <w:sz w:val="12"/>
        </w:rPr>
        <w:t>Percentage changes on a year earlier</w:t>
      </w:r>
    </w:p>
    <w:p>
      <w:pPr>
        <w:spacing w:line="116" w:lineRule="exact" w:before="0"/>
        <w:ind w:left="3558" w:right="0" w:firstLine="0"/>
        <w:jc w:val="left"/>
        <w:rPr>
          <w:sz w:val="12"/>
        </w:rPr>
      </w:pPr>
      <w:r>
        <w:rPr/>
        <w:pict>
          <v:group style="position:absolute;margin-left:40.446999pt;margin-top:10.818984pt;width:166pt;height:147.65pt;mso-position-horizontal-relative:page;mso-position-vertical-relative:paragraph;z-index:-21715456" coordorigin="809,216" coordsize="3320,2953">
            <v:shape style="position:absolute;left:808;top:1346;width:3160;height:1720" coordorigin="809,1346" coordsize="3160,1720" path="m969,2626l3969,2626m909,2626l809,2626m909,3066l809,3066m909,2206l809,2206m909,1766l809,1766m909,1346l809,1346e" filled="false" stroked="true" strokeweight=".5pt" strokecolor="#000000">
              <v:path arrowok="t"/>
              <v:stroke dashstyle="solid"/>
            </v:shape>
            <v:shape style="position:absolute;left:968;top:1206;width:3020;height:1020" coordorigin="969,1206" coordsize="3020,1020" path="m969,1206l1069,1306,1149,1406,1229,1526,1329,1686,1409,1766,1509,1846,1589,1926,1689,1966,1849,2086,1949,2126,2029,2206,2129,2226,2209,2226,2309,2206,2389,2146,2469,2126,2569,2126,2649,2106,2749,2086,2909,2126,3009,2126,3089,2146,3189,2126,3269,2086,3369,2066,3449,2026,3529,2006,3629,2026,3709,2026,3809,2046,3889,2026,3989,2006e" filled="false" stroked="true" strokeweight="1pt" strokecolor="#a6af49">
              <v:path arrowok="t"/>
              <v:stroke dashstyle="solid"/>
            </v:shape>
            <v:shape style="position:absolute;left:808;top:486;width:100;height:420" coordorigin="809,486" coordsize="100,420" path="m909,906l809,906m909,486l809,486e" filled="false" stroked="true" strokeweight=".5pt" strokecolor="#000000">
              <v:path arrowok="t"/>
              <v:stroke dashstyle="solid"/>
            </v:shape>
            <v:shape style="position:absolute;left:968;top:306;width:3020;height:1980" coordorigin="969,306" coordsize="3020,1980" path="m969,306l1069,346,1149,626,1229,926,1329,1326,1409,1606,1509,1786,1589,1926,1689,2146,1769,2026,1849,2146,1949,2286,2029,1946,2129,2146,2209,1926,2309,1746,2389,2066,2469,2026,2569,1946,2649,1746,2749,1466,2829,1366,2909,1346,3009,1366,3089,1286,3189,1306,3269,1346,3369,1606,3449,1166,3529,846,3629,946,3709,646,3809,1126,3889,1426,3989,1206e" filled="false" stroked="true" strokeweight="1pt" strokecolor="#008256">
              <v:path arrowok="t"/>
              <v:stroke dashstyle="solid"/>
            </v:shape>
            <v:shape style="position:absolute;left:968;top:226;width:3020;height:2820" coordorigin="969,226" coordsize="3020,2820" path="m969,226l1069,566,1149,1246,1229,1446,1329,1726,1409,2166,1509,2346,1589,2566,1689,2726,1769,2586,1849,2606,1949,2626,2029,2706,2129,2786,2209,2846,2309,2966,2389,2946,2469,3046,2569,2946,2649,2706,2749,2226,2829,1946,2909,1706,3009,1446,3089,1466,3189,1326,3269,1346,3369,1486,3449,1906,3529,2006,3629,2186,3709,2346,3809,2146,3889,2186,3989,2126e" filled="false" stroked="true" strokeweight="1pt" strokecolor="#75442b">
              <v:path arrowok="t"/>
              <v:stroke dashstyle="solid"/>
            </v:shape>
            <v:shape style="position:absolute;left:968;top:486;width:3160;height:2678" coordorigin="969,486" coordsize="3160,2678" path="m4129,3066l4029,3066m4129,2626l4029,2626m4129,2206l4029,2206m4129,1766l4029,1766m4129,1346l4029,1346m4129,906l4029,906m4129,486l4029,486m969,3164l3969,3164m969,3164l969,3124m1049,3164l1049,3124m1139,3164l1139,3124m1229,3164l1229,3124m1329,3164l1329,3124m1409,3164l1409,3124m1499,3164l1499,3124m1589,3164l1589,3124m1669,3164l1669,3124m1769,3164l1769,3124m1859,3164l1859,3124m1949,3164l1949,3124m2029,3164l2029,3124m2129,3164l2129,3124m2209,3164l2209,3124m2289,3164l2289,3124m2389,3164l2389,3124m2469,3164l2469,3124m2559,3164l2559,3124m2649,3164l2649,3124m2749,3164l2749,3124m2829,3164l2829,3124m2919,3164l2919,3124m3009,3164l3009,3124m3089,3164l3089,3124m3189,3164l3189,3124m3279,3164l3279,3124m3369,3164l3369,3124m3449,3164l3449,3124m3529,3164l3529,3124m3619,3164l3619,3124m3709,3164l3709,3124m3809,3164l3809,3124m3889,3164l3889,3124m3969,3164l3969,3124m969,3164l969,3064m1329,3164l1329,3064m1669,3164l1669,3064m2029,3164l2029,3064m2389,3164l2389,3064m2749,3164l2749,3064m3089,3164l3089,3064m3449,3164l3449,3064m3809,3164l3809,3064e" filled="false" stroked="true" strokeweight=".5pt" strokecolor="#000000">
              <v:path arrowok="t"/>
              <v:stroke dashstyle="solid"/>
            </v:shape>
            <v:shape style="position:absolute;left:3213;top:2153;width:137;height:342" type="#_x0000_t75" stroked="false">
              <v:imagedata r:id="rId23" o:title=""/>
            </v:shape>
            <w10:wrap type="none"/>
          </v:group>
        </w:pict>
      </w:r>
      <w:r>
        <w:rPr/>
        <w:pict>
          <v:line style="position:absolute;mso-position-horizontal-relative:page;mso-position-vertical-relative:paragraph;z-index:15773696" from="45.446999pt,2.318984pt" to="40.446999pt,2.318984pt" stroked="true" strokeweight=".5pt" strokecolor="#000000">
            <v:stroke dashstyle="solid"/>
            <w10:wrap type="none"/>
          </v:line>
        </w:pict>
      </w:r>
      <w:r>
        <w:rPr/>
        <w:pict>
          <v:line style="position:absolute;mso-position-horizontal-relative:page;mso-position-vertical-relative:paragraph;z-index:15774208" from="206.447006pt,2.318984pt" to="201.447006pt,2.318984pt" stroked="true" strokeweight=".5pt" strokecolor="#000000">
            <v:stroke dashstyle="solid"/>
            <w10:wrap type="none"/>
          </v:line>
        </w:pict>
      </w:r>
      <w:r>
        <w:rPr>
          <w:sz w:val="12"/>
        </w:rPr>
        <w:t>30</w:t>
      </w:r>
    </w:p>
    <w:p>
      <w:pPr>
        <w:pStyle w:val="BodyText"/>
        <w:rPr>
          <w:sz w:val="12"/>
        </w:rPr>
      </w:pPr>
    </w:p>
    <w:p>
      <w:pPr>
        <w:pStyle w:val="BodyText"/>
        <w:spacing w:before="3"/>
        <w:rPr>
          <w:sz w:val="14"/>
        </w:rPr>
      </w:pPr>
    </w:p>
    <w:p>
      <w:pPr>
        <w:spacing w:before="0"/>
        <w:ind w:left="0" w:right="38" w:firstLine="0"/>
        <w:jc w:val="right"/>
        <w:rPr>
          <w:sz w:val="12"/>
        </w:rPr>
      </w:pPr>
      <w:r>
        <w:rPr>
          <w:sz w:val="12"/>
        </w:rPr>
        <w:t>25</w:t>
      </w:r>
    </w:p>
    <w:p>
      <w:pPr>
        <w:spacing w:before="69"/>
        <w:ind w:left="0" w:right="684" w:firstLine="0"/>
        <w:jc w:val="right"/>
        <w:rPr>
          <w:sz w:val="12"/>
        </w:rPr>
      </w:pPr>
      <w:r>
        <w:rPr>
          <w:sz w:val="12"/>
        </w:rPr>
        <w:t>OFCs</w:t>
      </w:r>
    </w:p>
    <w:p>
      <w:pPr>
        <w:spacing w:before="75"/>
        <w:ind w:left="0" w:right="38" w:firstLine="0"/>
        <w:jc w:val="right"/>
        <w:rPr>
          <w:sz w:val="12"/>
        </w:rPr>
      </w:pPr>
      <w:r>
        <w:rPr>
          <w:sz w:val="12"/>
        </w:rPr>
        <w:t>20</w:t>
      </w:r>
    </w:p>
    <w:p>
      <w:pPr>
        <w:pStyle w:val="BodyText"/>
        <w:rPr>
          <w:sz w:val="12"/>
        </w:rPr>
      </w:pPr>
    </w:p>
    <w:p>
      <w:pPr>
        <w:pStyle w:val="BodyText"/>
        <w:spacing w:before="3"/>
        <w:rPr>
          <w:sz w:val="14"/>
        </w:rPr>
      </w:pPr>
    </w:p>
    <w:p>
      <w:pPr>
        <w:spacing w:before="0"/>
        <w:ind w:left="0" w:right="38" w:firstLine="0"/>
        <w:jc w:val="right"/>
        <w:rPr>
          <w:sz w:val="12"/>
        </w:rPr>
      </w:pPr>
      <w:r>
        <w:rPr>
          <w:sz w:val="12"/>
        </w:rPr>
        <w:t>15</w:t>
      </w:r>
    </w:p>
    <w:p>
      <w:pPr>
        <w:pStyle w:val="BodyText"/>
        <w:rPr>
          <w:sz w:val="12"/>
        </w:rPr>
      </w:pPr>
    </w:p>
    <w:p>
      <w:pPr>
        <w:pStyle w:val="BodyText"/>
        <w:spacing w:before="6"/>
        <w:rPr>
          <w:sz w:val="12"/>
        </w:rPr>
      </w:pPr>
    </w:p>
    <w:p>
      <w:pPr>
        <w:spacing w:before="0"/>
        <w:ind w:left="0" w:right="38" w:firstLine="0"/>
        <w:jc w:val="right"/>
        <w:rPr>
          <w:sz w:val="12"/>
        </w:rPr>
      </w:pPr>
      <w:r>
        <w:rPr>
          <w:sz w:val="12"/>
        </w:rPr>
        <w:t>10</w:t>
      </w:r>
    </w:p>
    <w:p>
      <w:pPr>
        <w:pStyle w:val="Heading4"/>
        <w:spacing w:line="242" w:lineRule="auto" w:before="207"/>
        <w:ind w:left="185" w:right="301"/>
      </w:pPr>
      <w:r>
        <w:rPr/>
        <w:br w:type="column"/>
      </w:r>
      <w:r>
        <w:rPr/>
        <w:t>year earlier rose in September and in Q3 as a whole, which could point to continued resilience in consumer spending (see Chart 1.8). It is unlikely to represent a rise in distress borrowing, as unemployment remains low by </w:t>
      </w:r>
      <w:hyperlink w:history="true" w:anchor="_bookmark17">
        <w:r>
          <w:rPr/>
          <w:t>recent historical standards (see Section 3)</w:t>
        </w:r>
      </w:hyperlink>
      <w:r>
        <w:rPr/>
        <w:t> and consumers’ finances are relatively healthy. Within M4 lending to individuals, year-on-year growth in unsecured lending has increased markedly during the past three years (see Chart 1.9). Annual growth in lending secured on dwellings did pick up in 1998 Q3, but has been</w:t>
      </w:r>
    </w:p>
    <w:p>
      <w:pPr>
        <w:spacing w:after="0" w:line="242" w:lineRule="auto"/>
        <w:sectPr>
          <w:type w:val="continuous"/>
          <w:pgSz w:w="11900" w:h="16840"/>
          <w:pgMar w:top="1220" w:bottom="280" w:left="620" w:right="520"/>
          <w:cols w:num="2" w:equalWidth="0">
            <w:col w:w="3719" w:space="1055"/>
            <w:col w:w="5986"/>
          </w:cols>
        </w:sectPr>
      </w:pPr>
    </w:p>
    <w:p>
      <w:pPr>
        <w:pStyle w:val="BodyText"/>
        <w:rPr>
          <w:sz w:val="17"/>
        </w:rPr>
      </w:pPr>
    </w:p>
    <w:p>
      <w:pPr>
        <w:spacing w:before="0"/>
        <w:ind w:left="458" w:right="0" w:firstLine="0"/>
        <w:jc w:val="left"/>
        <w:rPr>
          <w:sz w:val="12"/>
        </w:rPr>
      </w:pPr>
      <w:r>
        <w:rPr>
          <w:sz w:val="12"/>
        </w:rPr>
        <w:t>PNFCs</w:t>
      </w:r>
    </w:p>
    <w:p>
      <w:pPr>
        <w:spacing w:line="137" w:lineRule="exact" w:before="89"/>
        <w:ind w:left="1498" w:right="0" w:firstLine="0"/>
        <w:jc w:val="left"/>
        <w:rPr>
          <w:sz w:val="12"/>
        </w:rPr>
      </w:pPr>
      <w:r>
        <w:rPr/>
        <w:br w:type="column"/>
      </w:r>
      <w:r>
        <w:rPr>
          <w:sz w:val="12"/>
        </w:rPr>
        <w:t>5</w:t>
      </w:r>
    </w:p>
    <w:p>
      <w:pPr>
        <w:spacing w:line="183" w:lineRule="exact" w:before="0"/>
        <w:ind w:left="1365" w:right="0" w:firstLine="0"/>
        <w:jc w:val="left"/>
        <w:rPr>
          <w:sz w:val="16"/>
        </w:rPr>
      </w:pPr>
      <w:r>
        <w:rPr>
          <w:sz w:val="16"/>
        </w:rPr>
        <w:t>+</w:t>
      </w:r>
    </w:p>
    <w:p>
      <w:pPr>
        <w:spacing w:line="116" w:lineRule="exact" w:before="7"/>
        <w:ind w:left="458" w:right="0" w:firstLine="0"/>
        <w:jc w:val="left"/>
        <w:rPr>
          <w:sz w:val="12"/>
        </w:rPr>
      </w:pPr>
      <w:r>
        <w:rPr>
          <w:sz w:val="12"/>
        </w:rPr>
        <w:t>Households</w:t>
      </w:r>
    </w:p>
    <w:p>
      <w:pPr>
        <w:spacing w:line="105" w:lineRule="exact" w:before="0"/>
        <w:ind w:left="1498" w:right="0" w:firstLine="0"/>
        <w:jc w:val="left"/>
        <w:rPr>
          <w:sz w:val="12"/>
        </w:rPr>
      </w:pPr>
      <w:r>
        <w:rPr>
          <w:sz w:val="12"/>
        </w:rPr>
        <w:t>0</w:t>
      </w:r>
    </w:p>
    <w:p>
      <w:pPr>
        <w:spacing w:line="173" w:lineRule="exact" w:before="0"/>
        <w:ind w:left="1375" w:right="0" w:firstLine="0"/>
        <w:jc w:val="left"/>
        <w:rPr>
          <w:sz w:val="16"/>
        </w:rPr>
      </w:pPr>
      <w:r>
        <w:rPr>
          <w:sz w:val="16"/>
        </w:rPr>
        <w:t>_</w:t>
      </w:r>
    </w:p>
    <w:p>
      <w:pPr>
        <w:spacing w:before="140"/>
        <w:ind w:left="1498" w:right="0" w:firstLine="0"/>
        <w:jc w:val="left"/>
        <w:rPr>
          <w:sz w:val="12"/>
        </w:rPr>
      </w:pPr>
      <w:r>
        <w:rPr>
          <w:sz w:val="12"/>
        </w:rPr>
        <w:t>5</w:t>
      </w:r>
    </w:p>
    <w:p>
      <w:pPr>
        <w:pStyle w:val="Heading4"/>
        <w:spacing w:before="13"/>
        <w:ind w:left="458"/>
      </w:pPr>
      <w:r>
        <w:rPr/>
        <w:br w:type="column"/>
      </w:r>
      <w:r>
        <w:rPr/>
        <w:t>reasonably stable for the past five years.</w:t>
      </w:r>
    </w:p>
    <w:p>
      <w:pPr>
        <w:pStyle w:val="BodyText"/>
        <w:spacing w:before="7"/>
        <w:rPr>
          <w:sz w:val="31"/>
        </w:rPr>
      </w:pPr>
    </w:p>
    <w:p>
      <w:pPr>
        <w:pStyle w:val="Heading5"/>
        <w:ind w:left="458"/>
        <w:rPr>
          <w:i/>
        </w:rPr>
      </w:pPr>
      <w:r>
        <w:rPr>
          <w:i/>
          <w:color w:val="009483"/>
        </w:rPr>
        <w:t>Other financial corporations</w:t>
      </w:r>
    </w:p>
    <w:p>
      <w:pPr>
        <w:spacing w:after="0"/>
        <w:sectPr>
          <w:type w:val="continuous"/>
          <w:pgSz w:w="11900" w:h="16840"/>
          <w:pgMar w:top="1220" w:bottom="280" w:left="620" w:right="520"/>
          <w:cols w:num="3" w:equalWidth="0">
            <w:col w:w="846" w:space="1274"/>
            <w:col w:w="1599" w:space="782"/>
            <w:col w:w="6259"/>
          </w:cols>
        </w:sectPr>
      </w:pPr>
    </w:p>
    <w:p>
      <w:pPr>
        <w:tabs>
          <w:tab w:pos="1158" w:val="left" w:leader="none"/>
          <w:tab w:pos="1518" w:val="left" w:leader="none"/>
          <w:tab w:pos="1878" w:val="left" w:leader="none"/>
          <w:tab w:pos="2238" w:val="left" w:leader="none"/>
          <w:tab w:pos="2578" w:val="left" w:leader="none"/>
          <w:tab w:pos="2938" w:val="left" w:leader="none"/>
        </w:tabs>
        <w:spacing w:before="39"/>
        <w:ind w:left="398" w:right="0" w:firstLine="0"/>
        <w:jc w:val="left"/>
        <w:rPr>
          <w:sz w:val="12"/>
        </w:rPr>
      </w:pPr>
      <w:r>
        <w:rPr>
          <w:sz w:val="12"/>
        </w:rPr>
        <w:t>1990      91</w:t>
        <w:tab/>
        <w:t>92</w:t>
        <w:tab/>
        <w:t>93</w:t>
        <w:tab/>
        <w:t>94</w:t>
        <w:tab/>
        <w:t>95</w:t>
        <w:tab/>
        <w:t>96</w:t>
        <w:tab/>
        <w:t>97</w:t>
      </w:r>
      <w:r>
        <w:rPr>
          <w:spacing w:val="6"/>
          <w:sz w:val="12"/>
        </w:rPr>
        <w:t> </w:t>
      </w:r>
      <w:r>
        <w:rPr>
          <w:sz w:val="12"/>
        </w:rPr>
        <w:t>98</w:t>
      </w:r>
    </w:p>
    <w:p>
      <w:pPr>
        <w:pStyle w:val="BodyText"/>
        <w:spacing w:before="2"/>
        <w:rPr>
          <w:sz w:val="11"/>
        </w:rPr>
      </w:pPr>
    </w:p>
    <w:p>
      <w:pPr>
        <w:spacing w:before="0"/>
        <w:ind w:left="164" w:right="0" w:firstLine="0"/>
        <w:jc w:val="left"/>
        <w:rPr>
          <w:sz w:val="12"/>
        </w:rPr>
      </w:pPr>
      <w:r>
        <w:rPr>
          <w:sz w:val="12"/>
        </w:rPr>
        <w:t>Source: Bank of England.</w:t>
      </w:r>
    </w:p>
    <w:p>
      <w:pPr>
        <w:spacing w:before="102"/>
        <w:ind w:left="164" w:right="0" w:firstLine="0"/>
        <w:jc w:val="left"/>
        <w:rPr>
          <w:sz w:val="12"/>
        </w:rPr>
      </w:pPr>
      <w:r>
        <w:rPr>
          <w:sz w:val="12"/>
        </w:rPr>
        <w:t>(a) Excluding the effects of securitisations.</w:t>
      </w: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4"/>
        <w:rPr>
          <w:sz w:val="17"/>
        </w:rPr>
      </w:pPr>
    </w:p>
    <w:p>
      <w:pPr>
        <w:pStyle w:val="Heading7"/>
        <w:spacing w:before="0"/>
        <w:ind w:left="194"/>
      </w:pPr>
      <w:r>
        <w:rPr>
          <w:color w:val="0093C1"/>
        </w:rPr>
        <w:t>Chart 1.9</w:t>
      </w:r>
    </w:p>
    <w:p>
      <w:pPr>
        <w:spacing w:before="10"/>
        <w:ind w:left="194" w:right="0" w:firstLine="0"/>
        <w:jc w:val="left"/>
        <w:rPr>
          <w:sz w:val="12"/>
        </w:rPr>
      </w:pPr>
      <w:r>
        <w:rPr>
          <w:b/>
          <w:color w:val="0093C1"/>
          <w:sz w:val="20"/>
        </w:rPr>
        <w:t>M4 lending to individuals</w:t>
      </w:r>
      <w:r>
        <w:rPr>
          <w:position w:val="4"/>
          <w:sz w:val="12"/>
        </w:rPr>
        <w:t>(a)</w:t>
      </w:r>
    </w:p>
    <w:p>
      <w:pPr>
        <w:spacing w:before="98"/>
        <w:ind w:left="1767" w:right="0" w:firstLine="0"/>
        <w:jc w:val="left"/>
        <w:rPr>
          <w:sz w:val="12"/>
        </w:rPr>
      </w:pPr>
      <w:r>
        <w:rPr>
          <w:sz w:val="12"/>
        </w:rPr>
        <w:t>Percentage changes on a year earlier</w:t>
      </w:r>
    </w:p>
    <w:p>
      <w:pPr>
        <w:pStyle w:val="BodyText"/>
        <w:spacing w:before="4"/>
        <w:rPr>
          <w:sz w:val="3"/>
        </w:rPr>
      </w:pPr>
    </w:p>
    <w:p>
      <w:pPr>
        <w:tabs>
          <w:tab w:pos="3406" w:val="left" w:leader="none"/>
        </w:tabs>
        <w:spacing w:line="20" w:lineRule="exact"/>
        <w:ind w:left="186" w:right="-72" w:firstLine="0"/>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r>
        <w:rPr>
          <w:sz w:val="2"/>
        </w:rPr>
        <w:tab/>
      </w: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spacing w:after="1"/>
        <w:rPr>
          <w:sz w:val="10"/>
        </w:rPr>
      </w:pPr>
    </w:p>
    <w:p>
      <w:pPr>
        <w:pStyle w:val="BodyText"/>
        <w:ind w:left="186" w:right="-58"/>
        <w:rPr>
          <w:sz w:val="20"/>
        </w:rPr>
      </w:pPr>
      <w:r>
        <w:rPr>
          <w:sz w:val="20"/>
        </w:rPr>
        <w:pict>
          <v:group style="width:166pt;height:130pt;mso-position-horizontal-relative:char;mso-position-vertical-relative:line" coordorigin="0,0" coordsize="3320,2600">
            <v:shape style="position:absolute;left:160;top:510;width:3000;height:1640" coordorigin="160,510" coordsize="3000,1640" path="m160,510l240,530,340,650,420,890,500,1110,600,1270,680,1310,780,1390,860,1470,960,1550,1120,1790,1220,1890,1300,1930,1400,1970,1480,1910,1580,1870,1740,1870,1840,1910,1920,1950,2020,1990,2100,2070,2200,2130,2280,2150,2360,2110,2460,2070,2540,2010,2640,1950,2720,1930,2820,1930,2900,1970,2980,1990,3080,2010,3160,1990e" filled="false" stroked="true" strokeweight="1pt" strokecolor="#faab54">
              <v:path arrowok="t"/>
              <v:stroke dashstyle="solid"/>
            </v:shape>
            <v:shape style="position:absolute;left:160;top:10;width:3000;height:2580" coordorigin="160,10" coordsize="3000,2580" path="m160,690l240,1070,340,1310,420,1390,500,1610,680,1790,780,2010,860,2110,960,2370,1040,2430,1120,2550,1220,2590,1300,2470,1400,2470,1480,2290,1580,2130,1660,1790,1740,1590,1840,1350,1920,1050,2020,1070,2100,950,2200,770,2280,790,2360,630,2460,410,2540,410,2640,330,2720,170,2820,390,2900,310,2980,210,3080,250,3160,10e" filled="false" stroked="true" strokeweight="1pt" strokecolor="#522e91">
              <v:path arrowok="t"/>
              <v:stroke dashstyle="solid"/>
            </v:shape>
            <v:shape style="position:absolute;left:0;top:230;width:3320;height:2260" coordorigin="0,230" coordsize="3320,2260" path="m100,2490l0,2490m100,2110l0,2110m100,1750l0,1750m100,1370l0,1370m100,990l0,990m100,610l0,610m100,230l0,230m3320,2490l3220,2490m3320,2110l3220,2110m3320,1750l3220,1750m3320,1370l3220,1370m3320,990l3220,990m3320,610l3220,610m3320,230l3220,230e" filled="false" stroked="true" strokeweight=".5pt" strokecolor="#000000">
              <v:path arrowok="t"/>
              <v:stroke dashstyle="solid"/>
            </v:shape>
            <v:shape style="position:absolute;left:2090;top:133;width:534;height:133" type="#_x0000_t202" filled="false" stroked="false">
              <v:textbox inset="0,0,0,0">
                <w:txbxContent>
                  <w:p>
                    <w:pPr>
                      <w:spacing w:line="133" w:lineRule="exact" w:before="0"/>
                      <w:ind w:left="0" w:right="0" w:firstLine="0"/>
                      <w:jc w:val="left"/>
                      <w:rPr>
                        <w:sz w:val="12"/>
                      </w:rPr>
                    </w:pPr>
                    <w:r>
                      <w:rPr>
                        <w:sz w:val="12"/>
                      </w:rPr>
                      <w:t>Unsecured</w:t>
                    </w:r>
                  </w:p>
                </w:txbxContent>
              </v:textbox>
              <w10:wrap type="none"/>
            </v:shape>
            <v:shape style="position:absolute;left:2323;top:2133;width:407;height:133" type="#_x0000_t202" filled="false" stroked="false">
              <v:textbox inset="0,0,0,0">
                <w:txbxContent>
                  <w:p>
                    <w:pPr>
                      <w:spacing w:line="133" w:lineRule="exact" w:before="0"/>
                      <w:ind w:left="0" w:right="0" w:firstLine="0"/>
                      <w:jc w:val="left"/>
                      <w:rPr>
                        <w:sz w:val="12"/>
                      </w:rPr>
                    </w:pPr>
                    <w:r>
                      <w:rPr>
                        <w:sz w:val="12"/>
                      </w:rPr>
                      <w:t>Secured</w:t>
                    </w:r>
                  </w:p>
                </w:txbxContent>
              </v:textbox>
              <w10:wrap type="none"/>
            </v:shape>
          </v:group>
        </w:pict>
      </w:r>
      <w:r>
        <w:rPr>
          <w:sz w:val="20"/>
        </w:rPr>
      </w:r>
    </w:p>
    <w:p>
      <w:pPr>
        <w:pStyle w:val="BodyText"/>
        <w:spacing w:before="2"/>
        <w:rPr>
          <w:sz w:val="12"/>
        </w:rPr>
      </w:pPr>
    </w:p>
    <w:p>
      <w:pPr>
        <w:pStyle w:val="BodyText"/>
        <w:spacing w:line="110" w:lineRule="exact"/>
        <w:ind w:left="186" w:right="-72"/>
        <w:rPr>
          <w:sz w:val="11"/>
        </w:rPr>
      </w:pPr>
      <w:r>
        <w:rPr>
          <w:position w:val="-1"/>
          <w:sz w:val="11"/>
        </w:rPr>
        <w:pict>
          <v:group style="width:166pt;height:5.25pt;mso-position-horizontal-relative:char;mso-position-vertical-relative:line" coordorigin="0,0" coordsize="3320,105">
            <v:shape style="position:absolute;left:0;top:0;width:3320;height:100" coordorigin="0,0" coordsize="3320,100" path="m100,100l0,100m3320,100l3220,100m160,100l3160,100m160,100l160,60m240,100l240,60m320,100l320,60m420,100l420,60m500,100l500,60m600,100l600,60m680,100l680,60m780,100l780,60m860,100l860,60m960,100l960,60m1040,100l1040,60m1120,100l1120,60m1220,100l1220,60m1300,100l1300,60m1400,100l1400,60m1480,100l1480,60m1560,100l1560,60m1660,100l1660,60m1740,100l1740,60m1840,100l1840,60m1920,100l1920,60m2020,100l2020,60m2100,100l2100,60m2200,100l2200,60m2280,100l2280,60m2360,100l2360,60m2460,100l2460,60m2540,100l2540,60m2640,100l2640,60m2720,100l2720,60m2800,100l2800,60m2900,100l2900,60m2980,100l2980,60m3080,100l3080,60m3160,100l3160,60m160,100l160,0m500,100l500,0m860,100l860,0m1220,100l1220,0m1560,100l1560,0m1920,100l1920,0m2280,100l2280,0m2640,100l2640,0m2980,100l2980,0e" filled="false" stroked="true" strokeweight=".5pt" strokecolor="#000000">
              <v:path arrowok="t"/>
              <v:stroke dashstyle="solid"/>
            </v:shape>
          </v:group>
        </w:pict>
      </w:r>
      <w:r>
        <w:rPr>
          <w:position w:val="-1"/>
          <w:sz w:val="11"/>
        </w:rPr>
      </w:r>
    </w:p>
    <w:p>
      <w:pPr>
        <w:tabs>
          <w:tab w:pos="1161" w:val="left" w:leader="none"/>
          <w:tab w:pos="1521" w:val="left" w:leader="none"/>
          <w:tab w:pos="1861" w:val="left" w:leader="none"/>
          <w:tab w:pos="2221" w:val="left" w:leader="none"/>
          <w:tab w:pos="2581" w:val="left" w:leader="none"/>
          <w:tab w:pos="2921" w:val="left" w:leader="none"/>
        </w:tabs>
        <w:spacing w:before="6"/>
        <w:ind w:left="374" w:right="0" w:firstLine="0"/>
        <w:jc w:val="left"/>
        <w:rPr>
          <w:sz w:val="12"/>
        </w:rPr>
      </w:pPr>
      <w:r>
        <w:rPr>
          <w:sz w:val="12"/>
        </w:rPr>
        <w:t>1990     </w:t>
      </w:r>
      <w:r>
        <w:rPr>
          <w:spacing w:val="6"/>
          <w:sz w:val="12"/>
        </w:rPr>
        <w:t> </w:t>
      </w:r>
      <w:r>
        <w:rPr>
          <w:sz w:val="12"/>
        </w:rPr>
        <w:t>91</w:t>
        <w:tab/>
        <w:t>92</w:t>
        <w:tab/>
        <w:t>93</w:t>
        <w:tab/>
        <w:t>94</w:t>
        <w:tab/>
        <w:t>95</w:t>
        <w:tab/>
        <w:t>96</w:t>
        <w:tab/>
        <w:t>97</w:t>
      </w:r>
      <w:r>
        <w:rPr>
          <w:spacing w:val="20"/>
          <w:sz w:val="12"/>
        </w:rPr>
        <w:t> </w:t>
      </w:r>
      <w:r>
        <w:rPr>
          <w:sz w:val="12"/>
        </w:rPr>
        <w:t>98</w:t>
      </w:r>
    </w:p>
    <w:p>
      <w:pPr>
        <w:pStyle w:val="BodyText"/>
        <w:spacing w:before="4"/>
        <w:rPr>
          <w:sz w:val="10"/>
        </w:rPr>
      </w:pPr>
    </w:p>
    <w:p>
      <w:pPr>
        <w:spacing w:before="0"/>
        <w:ind w:left="194" w:right="0" w:firstLine="0"/>
        <w:jc w:val="left"/>
        <w:rPr>
          <w:sz w:val="12"/>
        </w:rPr>
      </w:pPr>
      <w:r>
        <w:rPr>
          <w:sz w:val="12"/>
        </w:rPr>
        <w:t>Source: Bank of England.</w:t>
      </w:r>
    </w:p>
    <w:p>
      <w:pPr>
        <w:spacing w:before="102"/>
        <w:ind w:left="194" w:right="0" w:firstLine="0"/>
        <w:jc w:val="left"/>
        <w:rPr>
          <w:sz w:val="12"/>
        </w:rPr>
      </w:pPr>
      <w:r>
        <w:rPr>
          <w:sz w:val="12"/>
        </w:rPr>
        <w:t>(a) Excluding the effects of securitisations.</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9"/>
        <w:rPr>
          <w:sz w:val="11"/>
        </w:rPr>
      </w:pPr>
    </w:p>
    <w:p>
      <w:pPr>
        <w:pStyle w:val="Heading7"/>
        <w:spacing w:before="0"/>
        <w:ind w:left="163"/>
      </w:pPr>
      <w:r>
        <w:rPr>
          <w:color w:val="0093C1"/>
        </w:rPr>
        <w:t>Table 1.B</w:t>
      </w:r>
    </w:p>
    <w:p>
      <w:pPr>
        <w:pStyle w:val="BodyText"/>
        <w:rPr>
          <w:b/>
          <w:sz w:val="12"/>
        </w:rPr>
      </w:pPr>
      <w:r>
        <w:rPr/>
        <w:br w:type="column"/>
      </w:r>
      <w:r>
        <w:rPr>
          <w:b/>
          <w:sz w:val="12"/>
        </w:rPr>
      </w: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spacing w:before="10"/>
        <w:rPr>
          <w:b/>
          <w:sz w:val="14"/>
        </w:rPr>
      </w:pPr>
    </w:p>
    <w:p>
      <w:pPr>
        <w:spacing w:before="0"/>
        <w:ind w:left="-9" w:right="0" w:firstLine="0"/>
        <w:jc w:val="left"/>
        <w:rPr>
          <w:sz w:val="12"/>
        </w:rPr>
      </w:pPr>
      <w:r>
        <w:rPr>
          <w:sz w:val="12"/>
        </w:rPr>
        <w:t>20.0</w:t>
      </w:r>
    </w:p>
    <w:p>
      <w:pPr>
        <w:pStyle w:val="BodyText"/>
        <w:rPr>
          <w:sz w:val="12"/>
        </w:rPr>
      </w:pPr>
    </w:p>
    <w:p>
      <w:pPr>
        <w:spacing w:before="84"/>
        <w:ind w:left="-9" w:right="0" w:firstLine="0"/>
        <w:jc w:val="left"/>
        <w:rPr>
          <w:sz w:val="12"/>
        </w:rPr>
      </w:pPr>
      <w:r>
        <w:rPr>
          <w:sz w:val="12"/>
        </w:rPr>
        <w:t>17.5</w:t>
      </w:r>
    </w:p>
    <w:p>
      <w:pPr>
        <w:pStyle w:val="BodyText"/>
        <w:rPr>
          <w:sz w:val="12"/>
        </w:rPr>
      </w:pPr>
    </w:p>
    <w:p>
      <w:pPr>
        <w:spacing w:before="104"/>
        <w:ind w:left="-9" w:right="0" w:firstLine="0"/>
        <w:jc w:val="left"/>
        <w:rPr>
          <w:sz w:val="12"/>
        </w:rPr>
      </w:pPr>
      <w:r>
        <w:rPr>
          <w:sz w:val="12"/>
        </w:rPr>
        <w:t>15.0</w:t>
      </w:r>
    </w:p>
    <w:p>
      <w:pPr>
        <w:pStyle w:val="BodyText"/>
        <w:rPr>
          <w:sz w:val="12"/>
        </w:rPr>
      </w:pPr>
    </w:p>
    <w:p>
      <w:pPr>
        <w:spacing w:before="104"/>
        <w:ind w:left="-9" w:right="0" w:firstLine="0"/>
        <w:jc w:val="left"/>
        <w:rPr>
          <w:sz w:val="12"/>
        </w:rPr>
      </w:pPr>
      <w:r>
        <w:rPr>
          <w:sz w:val="12"/>
        </w:rPr>
        <w:t>12.5</w:t>
      </w:r>
    </w:p>
    <w:p>
      <w:pPr>
        <w:pStyle w:val="BodyText"/>
        <w:rPr>
          <w:sz w:val="12"/>
        </w:rPr>
      </w:pPr>
    </w:p>
    <w:p>
      <w:pPr>
        <w:spacing w:before="104"/>
        <w:ind w:left="-9" w:right="0" w:firstLine="0"/>
        <w:jc w:val="left"/>
        <w:rPr>
          <w:sz w:val="12"/>
        </w:rPr>
      </w:pPr>
      <w:r>
        <w:rPr>
          <w:sz w:val="12"/>
        </w:rPr>
        <w:t>10.0</w:t>
      </w:r>
    </w:p>
    <w:p>
      <w:pPr>
        <w:pStyle w:val="BodyText"/>
        <w:rPr>
          <w:sz w:val="12"/>
        </w:rPr>
      </w:pPr>
    </w:p>
    <w:p>
      <w:pPr>
        <w:spacing w:before="104"/>
        <w:ind w:left="51" w:right="0" w:firstLine="0"/>
        <w:jc w:val="left"/>
        <w:rPr>
          <w:sz w:val="12"/>
        </w:rPr>
      </w:pPr>
      <w:r>
        <w:rPr>
          <w:sz w:val="12"/>
        </w:rPr>
        <w:t>7.5</w:t>
      </w:r>
    </w:p>
    <w:p>
      <w:pPr>
        <w:pStyle w:val="BodyText"/>
        <w:rPr>
          <w:sz w:val="12"/>
        </w:rPr>
      </w:pPr>
    </w:p>
    <w:p>
      <w:pPr>
        <w:spacing w:before="84"/>
        <w:ind w:left="51" w:right="0" w:firstLine="0"/>
        <w:jc w:val="left"/>
        <w:rPr>
          <w:sz w:val="12"/>
        </w:rPr>
      </w:pPr>
      <w:r>
        <w:rPr>
          <w:sz w:val="12"/>
        </w:rPr>
        <w:t>5.0</w:t>
      </w:r>
    </w:p>
    <w:p>
      <w:pPr>
        <w:pStyle w:val="BodyText"/>
        <w:rPr>
          <w:sz w:val="12"/>
        </w:rPr>
      </w:pPr>
    </w:p>
    <w:p>
      <w:pPr>
        <w:spacing w:before="104"/>
        <w:ind w:left="51" w:right="0" w:firstLine="0"/>
        <w:jc w:val="left"/>
        <w:rPr>
          <w:sz w:val="12"/>
        </w:rPr>
      </w:pPr>
      <w:r>
        <w:rPr>
          <w:sz w:val="12"/>
        </w:rPr>
        <w:t>2.5</w:t>
      </w:r>
    </w:p>
    <w:p>
      <w:pPr>
        <w:pStyle w:val="BodyText"/>
        <w:rPr>
          <w:sz w:val="12"/>
        </w:rPr>
      </w:pPr>
    </w:p>
    <w:p>
      <w:pPr>
        <w:spacing w:before="104"/>
        <w:ind w:left="51" w:right="0" w:firstLine="0"/>
        <w:jc w:val="left"/>
        <w:rPr>
          <w:sz w:val="12"/>
        </w:rPr>
      </w:pPr>
      <w:r>
        <w:rPr>
          <w:sz w:val="12"/>
        </w:rPr>
        <w:t>0.0</w:t>
      </w:r>
    </w:p>
    <w:p>
      <w:pPr>
        <w:pStyle w:val="Heading4"/>
        <w:spacing w:line="242" w:lineRule="auto" w:before="5"/>
        <w:ind w:left="163" w:right="355"/>
      </w:pPr>
      <w:r>
        <w:rPr/>
        <w:br w:type="column"/>
      </w:r>
      <w:r>
        <w:rPr/>
        <w:t>The year-on-year growth in bank and building society credit extended to OFCs increased in 1998 Q3, though it was below the growth rates seen in 1997. As with other sectors’ credit, there were no signs in the statistics of a sharp reduction in credit availability in September.</w:t>
      </w:r>
    </w:p>
    <w:p>
      <w:pPr>
        <w:pStyle w:val="BodyText"/>
        <w:spacing w:before="7"/>
        <w:rPr>
          <w:sz w:val="28"/>
        </w:rPr>
      </w:pPr>
    </w:p>
    <w:p>
      <w:pPr>
        <w:pStyle w:val="ListParagraph"/>
        <w:numPr>
          <w:ilvl w:val="1"/>
          <w:numId w:val="2"/>
        </w:numPr>
        <w:tabs>
          <w:tab w:pos="1903" w:val="left" w:leader="none"/>
          <w:tab w:pos="1904" w:val="left" w:leader="none"/>
          <w:tab w:pos="5683" w:val="left" w:leader="none"/>
        </w:tabs>
        <w:spacing w:line="240" w:lineRule="auto" w:before="0" w:after="0"/>
        <w:ind w:left="1903" w:right="0" w:hanging="1741"/>
        <w:jc w:val="left"/>
        <w:rPr>
          <w:b/>
          <w:sz w:val="28"/>
        </w:rPr>
      </w:pPr>
      <w:r>
        <w:rPr>
          <w:b/>
          <w:color w:val="009483"/>
          <w:sz w:val="28"/>
          <w:u w:val="thick" w:color="0093C1"/>
        </w:rPr>
        <w:t>Interest rates and asset</w:t>
      </w:r>
      <w:r>
        <w:rPr>
          <w:b/>
          <w:color w:val="009483"/>
          <w:spacing w:val="-6"/>
          <w:sz w:val="28"/>
          <w:u w:val="thick" w:color="0093C1"/>
        </w:rPr>
        <w:t> </w:t>
      </w:r>
      <w:r>
        <w:rPr>
          <w:b/>
          <w:color w:val="009483"/>
          <w:sz w:val="28"/>
          <w:u w:val="thick" w:color="0093C1"/>
        </w:rPr>
        <w:t>prices</w:t>
        <w:tab/>
      </w:r>
    </w:p>
    <w:p>
      <w:pPr>
        <w:pStyle w:val="BodyText"/>
        <w:rPr>
          <w:b/>
          <w:sz w:val="24"/>
        </w:rPr>
      </w:pPr>
    </w:p>
    <w:p>
      <w:pPr>
        <w:pStyle w:val="Heading5"/>
        <w:ind w:left="163"/>
        <w:rPr>
          <w:i/>
        </w:rPr>
      </w:pPr>
      <w:r>
        <w:rPr>
          <w:i/>
          <w:color w:val="009483"/>
        </w:rPr>
        <w:t>Short-term interest rates</w:t>
      </w:r>
    </w:p>
    <w:p>
      <w:pPr>
        <w:spacing w:line="242" w:lineRule="auto" w:before="164"/>
        <w:ind w:left="163" w:right="155" w:firstLine="0"/>
        <w:jc w:val="left"/>
        <w:rPr>
          <w:sz w:val="24"/>
        </w:rPr>
      </w:pPr>
      <w:r>
        <w:rPr>
          <w:sz w:val="24"/>
        </w:rPr>
        <w:t>The official repo rate was left unchanged when the Monetary Polic</w:t>
      </w:r>
      <w:hyperlink w:history="true" w:anchor="_bookmark33">
        <w:r>
          <w:rPr>
            <w:sz w:val="24"/>
          </w:rPr>
          <w:t>y Committee met on 9–10 September.</w:t>
        </w:r>
      </w:hyperlink>
      <w:r>
        <w:rPr>
          <w:sz w:val="24"/>
        </w:rPr>
        <w:t> At its meeting on </w:t>
      </w:r>
      <w:hyperlink w:history="true" w:anchor="_bookmark35">
        <w:r>
          <w:rPr>
            <w:sz w:val="24"/>
          </w:rPr>
          <w:t>7–8 October,</w:t>
        </w:r>
      </w:hyperlink>
      <w:r>
        <w:rPr>
          <w:sz w:val="24"/>
        </w:rPr>
        <w:t> the MPC voted to cut the Bank’s repo rate by 0.25%. On 4–5 November, the MPC voted to reduce the Bank’s repo rate by 0.50% to 6.75%.</w:t>
      </w:r>
    </w:p>
    <w:p>
      <w:pPr>
        <w:pStyle w:val="BodyText"/>
        <w:spacing w:before="10"/>
        <w:rPr>
          <w:sz w:val="24"/>
        </w:rPr>
      </w:pPr>
    </w:p>
    <w:p>
      <w:pPr>
        <w:spacing w:line="242" w:lineRule="auto" w:before="0"/>
        <w:ind w:left="163" w:right="355" w:firstLine="0"/>
        <w:jc w:val="left"/>
        <w:rPr>
          <w:sz w:val="24"/>
        </w:rPr>
      </w:pPr>
      <w:r>
        <w:rPr>
          <w:sz w:val="24"/>
        </w:rPr>
        <w:t>Risk-neutral probability distributions derived from option prices of expected three-month market rates are shown in Chart 1.10. These suggest that markets had revised down substantially their expectation of the most likely outcome for interest rates during the past three months, shown by the darkest blue band in each chart. But their uncertainty about the future path of interest rates, shown by the width of the blue fan, had increased markedly.</w:t>
      </w:r>
    </w:p>
    <w:p>
      <w:pPr>
        <w:spacing w:after="0" w:line="242" w:lineRule="auto"/>
        <w:jc w:val="left"/>
        <w:rPr>
          <w:sz w:val="24"/>
        </w:rPr>
        <w:sectPr>
          <w:type w:val="continuous"/>
          <w:pgSz w:w="11900" w:h="16840"/>
          <w:pgMar w:top="1220" w:bottom="280" w:left="620" w:right="520"/>
          <w:cols w:num="3" w:equalWidth="0">
            <w:col w:w="3517" w:space="40"/>
            <w:col w:w="242" w:space="997"/>
            <w:col w:w="5964"/>
          </w:cols>
        </w:sectPr>
      </w:pPr>
    </w:p>
    <w:p>
      <w:pPr>
        <w:pStyle w:val="Heading7"/>
        <w:spacing w:line="249" w:lineRule="auto"/>
        <w:ind w:left="163" w:right="21"/>
      </w:pPr>
      <w:r>
        <w:rPr>
          <w:color w:val="0093C1"/>
        </w:rPr>
        <w:t>Official interest rates in euro-area countries— 4 November</w:t>
      </w:r>
    </w:p>
    <w:p>
      <w:pPr>
        <w:spacing w:before="98"/>
        <w:ind w:left="163" w:right="0" w:firstLine="0"/>
        <w:jc w:val="left"/>
        <w:rPr>
          <w:sz w:val="14"/>
        </w:rPr>
      </w:pPr>
      <w:r>
        <w:rPr>
          <w:sz w:val="14"/>
        </w:rPr>
        <w:t>Per cent</w:t>
      </w:r>
    </w:p>
    <w:p>
      <w:pPr>
        <w:pStyle w:val="BodyText"/>
        <w:spacing w:before="10"/>
        <w:rPr>
          <w:sz w:val="10"/>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5"/>
        <w:gridCol w:w="1539"/>
        <w:gridCol w:w="1444"/>
      </w:tblGrid>
      <w:tr>
        <w:trPr>
          <w:trHeight w:val="217" w:hRule="atLeast"/>
        </w:trPr>
        <w:tc>
          <w:tcPr>
            <w:tcW w:w="1385" w:type="dxa"/>
          </w:tcPr>
          <w:p>
            <w:pPr>
              <w:pStyle w:val="TableParagraph"/>
              <w:rPr>
                <w:sz w:val="14"/>
              </w:rPr>
            </w:pPr>
          </w:p>
        </w:tc>
        <w:tc>
          <w:tcPr>
            <w:tcW w:w="1539" w:type="dxa"/>
          </w:tcPr>
          <w:p>
            <w:pPr>
              <w:pStyle w:val="TableParagraph"/>
              <w:spacing w:line="155" w:lineRule="exact"/>
              <w:ind w:left="71" w:right="78"/>
              <w:jc w:val="center"/>
              <w:rPr>
                <w:sz w:val="12"/>
              </w:rPr>
            </w:pPr>
            <w:r>
              <w:rPr>
                <w:sz w:val="14"/>
                <w:u w:val="single"/>
              </w:rPr>
              <w:t>Official interest rates </w:t>
            </w:r>
            <w:r>
              <w:rPr>
                <w:sz w:val="12"/>
                <w:u w:val="single"/>
              </w:rPr>
              <w:t>(a</w:t>
            </w:r>
            <w:r>
              <w:rPr>
                <w:sz w:val="12"/>
              </w:rPr>
              <w:t>)</w:t>
            </w:r>
          </w:p>
        </w:tc>
        <w:tc>
          <w:tcPr>
            <w:tcW w:w="1444" w:type="dxa"/>
          </w:tcPr>
          <w:p>
            <w:pPr>
              <w:pStyle w:val="TableParagraph"/>
              <w:spacing w:line="155" w:lineRule="exact"/>
              <w:ind w:left="98"/>
              <w:rPr>
                <w:sz w:val="14"/>
              </w:rPr>
            </w:pPr>
            <w:r>
              <w:rPr>
                <w:sz w:val="14"/>
                <w:u w:val="single"/>
              </w:rPr>
              <w:t>Change since 5 August</w:t>
            </w:r>
          </w:p>
        </w:tc>
      </w:tr>
      <w:tr>
        <w:trPr>
          <w:trHeight w:val="210" w:hRule="atLeast"/>
        </w:trPr>
        <w:tc>
          <w:tcPr>
            <w:tcW w:w="1385" w:type="dxa"/>
          </w:tcPr>
          <w:p>
            <w:pPr>
              <w:pStyle w:val="TableParagraph"/>
              <w:spacing w:line="133" w:lineRule="exact" w:before="56"/>
              <w:ind w:left="50"/>
              <w:rPr>
                <w:sz w:val="14"/>
              </w:rPr>
            </w:pPr>
            <w:r>
              <w:rPr>
                <w:sz w:val="14"/>
              </w:rPr>
              <w:t>Austria</w:t>
            </w:r>
          </w:p>
        </w:tc>
        <w:tc>
          <w:tcPr>
            <w:tcW w:w="1539" w:type="dxa"/>
          </w:tcPr>
          <w:p>
            <w:pPr>
              <w:pStyle w:val="TableParagraph"/>
              <w:spacing w:line="133" w:lineRule="exact" w:before="56"/>
              <w:ind w:left="71" w:right="46"/>
              <w:jc w:val="center"/>
              <w:rPr>
                <w:sz w:val="14"/>
              </w:rPr>
            </w:pPr>
            <w:r>
              <w:rPr>
                <w:sz w:val="14"/>
              </w:rPr>
              <w:t>3.20</w:t>
            </w:r>
          </w:p>
        </w:tc>
        <w:tc>
          <w:tcPr>
            <w:tcW w:w="1444" w:type="dxa"/>
          </w:tcPr>
          <w:p>
            <w:pPr>
              <w:pStyle w:val="TableParagraph"/>
              <w:spacing w:line="133" w:lineRule="exact" w:before="56"/>
              <w:ind w:left="509" w:right="556"/>
              <w:jc w:val="center"/>
              <w:rPr>
                <w:sz w:val="14"/>
              </w:rPr>
            </w:pPr>
            <w:r>
              <w:rPr>
                <w:sz w:val="14"/>
              </w:rPr>
              <w:t>0.00</w:t>
            </w:r>
          </w:p>
        </w:tc>
      </w:tr>
      <w:tr>
        <w:trPr>
          <w:trHeight w:val="140" w:hRule="atLeast"/>
        </w:trPr>
        <w:tc>
          <w:tcPr>
            <w:tcW w:w="1385" w:type="dxa"/>
          </w:tcPr>
          <w:p>
            <w:pPr>
              <w:pStyle w:val="TableParagraph"/>
              <w:spacing w:line="120" w:lineRule="exact"/>
              <w:ind w:left="50"/>
              <w:rPr>
                <w:sz w:val="14"/>
              </w:rPr>
            </w:pPr>
            <w:r>
              <w:rPr>
                <w:sz w:val="14"/>
              </w:rPr>
              <w:t>Belgium/Luxembourg</w:t>
            </w:r>
          </w:p>
        </w:tc>
        <w:tc>
          <w:tcPr>
            <w:tcW w:w="1539" w:type="dxa"/>
          </w:tcPr>
          <w:p>
            <w:pPr>
              <w:pStyle w:val="TableParagraph"/>
              <w:spacing w:line="120" w:lineRule="exact"/>
              <w:ind w:left="71" w:right="46"/>
              <w:jc w:val="center"/>
              <w:rPr>
                <w:sz w:val="14"/>
              </w:rPr>
            </w:pPr>
            <w:r>
              <w:rPr>
                <w:sz w:val="14"/>
              </w:rPr>
              <w:t>3.30</w:t>
            </w:r>
          </w:p>
        </w:tc>
        <w:tc>
          <w:tcPr>
            <w:tcW w:w="1444" w:type="dxa"/>
          </w:tcPr>
          <w:p>
            <w:pPr>
              <w:pStyle w:val="TableParagraph"/>
              <w:spacing w:line="120" w:lineRule="exact"/>
              <w:ind w:left="509" w:right="556"/>
              <w:jc w:val="center"/>
              <w:rPr>
                <w:sz w:val="14"/>
              </w:rPr>
            </w:pPr>
            <w:r>
              <w:rPr>
                <w:sz w:val="14"/>
              </w:rPr>
              <w:t>0.00</w:t>
            </w:r>
          </w:p>
        </w:tc>
      </w:tr>
      <w:tr>
        <w:trPr>
          <w:trHeight w:val="140" w:hRule="atLeast"/>
        </w:trPr>
        <w:tc>
          <w:tcPr>
            <w:tcW w:w="1385" w:type="dxa"/>
          </w:tcPr>
          <w:p>
            <w:pPr>
              <w:pStyle w:val="TableParagraph"/>
              <w:spacing w:line="120" w:lineRule="exact"/>
              <w:ind w:left="50"/>
              <w:rPr>
                <w:sz w:val="14"/>
              </w:rPr>
            </w:pPr>
            <w:r>
              <w:rPr>
                <w:sz w:val="14"/>
              </w:rPr>
              <w:t>Finland</w:t>
            </w:r>
          </w:p>
        </w:tc>
        <w:tc>
          <w:tcPr>
            <w:tcW w:w="1539" w:type="dxa"/>
          </w:tcPr>
          <w:p>
            <w:pPr>
              <w:pStyle w:val="TableParagraph"/>
              <w:spacing w:line="120" w:lineRule="exact"/>
              <w:ind w:left="71" w:right="47"/>
              <w:jc w:val="center"/>
              <w:rPr>
                <w:sz w:val="14"/>
              </w:rPr>
            </w:pPr>
            <w:r>
              <w:rPr>
                <w:sz w:val="14"/>
              </w:rPr>
              <w:t>3.40</w:t>
            </w:r>
          </w:p>
        </w:tc>
        <w:tc>
          <w:tcPr>
            <w:tcW w:w="1444" w:type="dxa"/>
          </w:tcPr>
          <w:p>
            <w:pPr>
              <w:pStyle w:val="TableParagraph"/>
              <w:spacing w:line="120" w:lineRule="exact"/>
              <w:ind w:left="509" w:right="556"/>
              <w:jc w:val="center"/>
              <w:rPr>
                <w:sz w:val="14"/>
              </w:rPr>
            </w:pPr>
            <w:r>
              <w:rPr>
                <w:sz w:val="14"/>
              </w:rPr>
              <w:t>0.00</w:t>
            </w:r>
          </w:p>
        </w:tc>
      </w:tr>
      <w:tr>
        <w:trPr>
          <w:trHeight w:val="140" w:hRule="atLeast"/>
        </w:trPr>
        <w:tc>
          <w:tcPr>
            <w:tcW w:w="1385" w:type="dxa"/>
          </w:tcPr>
          <w:p>
            <w:pPr>
              <w:pStyle w:val="TableParagraph"/>
              <w:spacing w:line="120" w:lineRule="exact"/>
              <w:ind w:left="50"/>
              <w:rPr>
                <w:sz w:val="14"/>
              </w:rPr>
            </w:pPr>
            <w:r>
              <w:rPr>
                <w:sz w:val="14"/>
              </w:rPr>
              <w:t>France</w:t>
            </w:r>
          </w:p>
        </w:tc>
        <w:tc>
          <w:tcPr>
            <w:tcW w:w="1539" w:type="dxa"/>
          </w:tcPr>
          <w:p>
            <w:pPr>
              <w:pStyle w:val="TableParagraph"/>
              <w:spacing w:line="120" w:lineRule="exact"/>
              <w:ind w:left="71" w:right="46"/>
              <w:jc w:val="center"/>
              <w:rPr>
                <w:sz w:val="14"/>
              </w:rPr>
            </w:pPr>
            <w:r>
              <w:rPr>
                <w:sz w:val="14"/>
              </w:rPr>
              <w:t>3.30</w:t>
            </w:r>
          </w:p>
        </w:tc>
        <w:tc>
          <w:tcPr>
            <w:tcW w:w="1444" w:type="dxa"/>
          </w:tcPr>
          <w:p>
            <w:pPr>
              <w:pStyle w:val="TableParagraph"/>
              <w:spacing w:line="120" w:lineRule="exact"/>
              <w:ind w:left="509" w:right="556"/>
              <w:jc w:val="center"/>
              <w:rPr>
                <w:sz w:val="14"/>
              </w:rPr>
            </w:pPr>
            <w:r>
              <w:rPr>
                <w:sz w:val="14"/>
              </w:rPr>
              <w:t>0.00</w:t>
            </w:r>
          </w:p>
        </w:tc>
      </w:tr>
      <w:tr>
        <w:trPr>
          <w:trHeight w:val="140" w:hRule="atLeast"/>
        </w:trPr>
        <w:tc>
          <w:tcPr>
            <w:tcW w:w="1385" w:type="dxa"/>
          </w:tcPr>
          <w:p>
            <w:pPr>
              <w:pStyle w:val="TableParagraph"/>
              <w:spacing w:line="120" w:lineRule="exact"/>
              <w:ind w:left="50"/>
              <w:rPr>
                <w:sz w:val="14"/>
              </w:rPr>
            </w:pPr>
            <w:r>
              <w:rPr>
                <w:sz w:val="14"/>
              </w:rPr>
              <w:t>Germany</w:t>
            </w:r>
          </w:p>
        </w:tc>
        <w:tc>
          <w:tcPr>
            <w:tcW w:w="1539" w:type="dxa"/>
          </w:tcPr>
          <w:p>
            <w:pPr>
              <w:pStyle w:val="TableParagraph"/>
              <w:spacing w:line="120" w:lineRule="exact"/>
              <w:ind w:left="71" w:right="46"/>
              <w:jc w:val="center"/>
              <w:rPr>
                <w:sz w:val="14"/>
              </w:rPr>
            </w:pPr>
            <w:r>
              <w:rPr>
                <w:sz w:val="14"/>
              </w:rPr>
              <w:t>3.30</w:t>
            </w:r>
          </w:p>
        </w:tc>
        <w:tc>
          <w:tcPr>
            <w:tcW w:w="1444" w:type="dxa"/>
          </w:tcPr>
          <w:p>
            <w:pPr>
              <w:pStyle w:val="TableParagraph"/>
              <w:spacing w:line="120" w:lineRule="exact"/>
              <w:ind w:left="509" w:right="556"/>
              <w:jc w:val="center"/>
              <w:rPr>
                <w:sz w:val="14"/>
              </w:rPr>
            </w:pPr>
            <w:r>
              <w:rPr>
                <w:sz w:val="14"/>
              </w:rPr>
              <w:t>0.00</w:t>
            </w:r>
          </w:p>
        </w:tc>
      </w:tr>
      <w:tr>
        <w:trPr>
          <w:trHeight w:val="140" w:hRule="atLeast"/>
        </w:trPr>
        <w:tc>
          <w:tcPr>
            <w:tcW w:w="1385" w:type="dxa"/>
          </w:tcPr>
          <w:p>
            <w:pPr>
              <w:pStyle w:val="TableParagraph"/>
              <w:spacing w:line="120" w:lineRule="exact"/>
              <w:ind w:left="50"/>
              <w:rPr>
                <w:sz w:val="14"/>
              </w:rPr>
            </w:pPr>
            <w:r>
              <w:rPr>
                <w:sz w:val="14"/>
              </w:rPr>
              <w:t>Ireland</w:t>
            </w:r>
          </w:p>
        </w:tc>
        <w:tc>
          <w:tcPr>
            <w:tcW w:w="1539" w:type="dxa"/>
          </w:tcPr>
          <w:p>
            <w:pPr>
              <w:pStyle w:val="TableParagraph"/>
              <w:spacing w:line="120" w:lineRule="exact"/>
              <w:ind w:left="71" w:right="47"/>
              <w:jc w:val="center"/>
              <w:rPr>
                <w:sz w:val="14"/>
              </w:rPr>
            </w:pPr>
            <w:r>
              <w:rPr>
                <w:sz w:val="14"/>
              </w:rPr>
              <w:t>4.94</w:t>
            </w:r>
          </w:p>
        </w:tc>
        <w:tc>
          <w:tcPr>
            <w:tcW w:w="1444" w:type="dxa"/>
          </w:tcPr>
          <w:p>
            <w:pPr>
              <w:pStyle w:val="TableParagraph"/>
              <w:spacing w:line="120" w:lineRule="exact"/>
              <w:ind w:left="509" w:right="603"/>
              <w:jc w:val="center"/>
              <w:rPr>
                <w:sz w:val="14"/>
              </w:rPr>
            </w:pPr>
            <w:r>
              <w:rPr>
                <w:sz w:val="14"/>
              </w:rPr>
              <w:t>-1.25</w:t>
            </w:r>
          </w:p>
        </w:tc>
      </w:tr>
      <w:tr>
        <w:trPr>
          <w:trHeight w:val="140" w:hRule="atLeast"/>
        </w:trPr>
        <w:tc>
          <w:tcPr>
            <w:tcW w:w="1385" w:type="dxa"/>
          </w:tcPr>
          <w:p>
            <w:pPr>
              <w:pStyle w:val="TableParagraph"/>
              <w:spacing w:line="120" w:lineRule="exact"/>
              <w:ind w:left="50"/>
              <w:rPr>
                <w:sz w:val="14"/>
              </w:rPr>
            </w:pPr>
            <w:r>
              <w:rPr>
                <w:sz w:val="14"/>
              </w:rPr>
              <w:t>Italy</w:t>
            </w:r>
          </w:p>
        </w:tc>
        <w:tc>
          <w:tcPr>
            <w:tcW w:w="1539" w:type="dxa"/>
          </w:tcPr>
          <w:p>
            <w:pPr>
              <w:pStyle w:val="TableParagraph"/>
              <w:spacing w:line="120" w:lineRule="exact"/>
              <w:ind w:left="71" w:right="47"/>
              <w:jc w:val="center"/>
              <w:rPr>
                <w:sz w:val="14"/>
              </w:rPr>
            </w:pPr>
            <w:r>
              <w:rPr>
                <w:sz w:val="14"/>
              </w:rPr>
              <w:t>4.00</w:t>
            </w:r>
          </w:p>
        </w:tc>
        <w:tc>
          <w:tcPr>
            <w:tcW w:w="1444" w:type="dxa"/>
          </w:tcPr>
          <w:p>
            <w:pPr>
              <w:pStyle w:val="TableParagraph"/>
              <w:spacing w:line="120" w:lineRule="exact"/>
              <w:ind w:left="509" w:right="603"/>
              <w:jc w:val="center"/>
              <w:rPr>
                <w:sz w:val="14"/>
              </w:rPr>
            </w:pPr>
            <w:r>
              <w:rPr>
                <w:sz w:val="14"/>
              </w:rPr>
              <w:t>-1.00</w:t>
            </w:r>
          </w:p>
        </w:tc>
      </w:tr>
      <w:tr>
        <w:trPr>
          <w:trHeight w:val="140" w:hRule="atLeast"/>
        </w:trPr>
        <w:tc>
          <w:tcPr>
            <w:tcW w:w="1385" w:type="dxa"/>
          </w:tcPr>
          <w:p>
            <w:pPr>
              <w:pStyle w:val="TableParagraph"/>
              <w:spacing w:line="120" w:lineRule="exact"/>
              <w:ind w:left="50"/>
              <w:rPr>
                <w:sz w:val="14"/>
              </w:rPr>
            </w:pPr>
            <w:r>
              <w:rPr>
                <w:sz w:val="14"/>
              </w:rPr>
              <w:t>Netherlands</w:t>
            </w:r>
          </w:p>
        </w:tc>
        <w:tc>
          <w:tcPr>
            <w:tcW w:w="1539" w:type="dxa"/>
          </w:tcPr>
          <w:p>
            <w:pPr>
              <w:pStyle w:val="TableParagraph"/>
              <w:spacing w:line="120" w:lineRule="exact"/>
              <w:ind w:left="71" w:right="47"/>
              <w:jc w:val="center"/>
              <w:rPr>
                <w:sz w:val="14"/>
              </w:rPr>
            </w:pPr>
            <w:r>
              <w:rPr>
                <w:sz w:val="14"/>
              </w:rPr>
              <w:t>3.30</w:t>
            </w:r>
          </w:p>
        </w:tc>
        <w:tc>
          <w:tcPr>
            <w:tcW w:w="1444" w:type="dxa"/>
          </w:tcPr>
          <w:p>
            <w:pPr>
              <w:pStyle w:val="TableParagraph"/>
              <w:spacing w:line="120" w:lineRule="exact"/>
              <w:ind w:left="509" w:right="556"/>
              <w:jc w:val="center"/>
              <w:rPr>
                <w:sz w:val="14"/>
              </w:rPr>
            </w:pPr>
            <w:r>
              <w:rPr>
                <w:sz w:val="14"/>
              </w:rPr>
              <w:t>0.00</w:t>
            </w:r>
          </w:p>
        </w:tc>
      </w:tr>
      <w:tr>
        <w:trPr>
          <w:trHeight w:val="140" w:hRule="atLeast"/>
        </w:trPr>
        <w:tc>
          <w:tcPr>
            <w:tcW w:w="1385" w:type="dxa"/>
          </w:tcPr>
          <w:p>
            <w:pPr>
              <w:pStyle w:val="TableParagraph"/>
              <w:spacing w:line="120" w:lineRule="exact"/>
              <w:ind w:left="50"/>
              <w:rPr>
                <w:sz w:val="14"/>
              </w:rPr>
            </w:pPr>
            <w:r>
              <w:rPr>
                <w:sz w:val="14"/>
              </w:rPr>
              <w:t>Portugal</w:t>
            </w:r>
          </w:p>
        </w:tc>
        <w:tc>
          <w:tcPr>
            <w:tcW w:w="1539" w:type="dxa"/>
          </w:tcPr>
          <w:p>
            <w:pPr>
              <w:pStyle w:val="TableParagraph"/>
              <w:spacing w:line="120" w:lineRule="exact"/>
              <w:ind w:left="71" w:right="47"/>
              <w:jc w:val="center"/>
              <w:rPr>
                <w:sz w:val="14"/>
              </w:rPr>
            </w:pPr>
            <w:r>
              <w:rPr>
                <w:sz w:val="14"/>
              </w:rPr>
              <w:t>3.75</w:t>
            </w:r>
          </w:p>
        </w:tc>
        <w:tc>
          <w:tcPr>
            <w:tcW w:w="1444" w:type="dxa"/>
          </w:tcPr>
          <w:p>
            <w:pPr>
              <w:pStyle w:val="TableParagraph"/>
              <w:spacing w:line="120" w:lineRule="exact"/>
              <w:ind w:left="509" w:right="603"/>
              <w:jc w:val="center"/>
              <w:rPr>
                <w:sz w:val="14"/>
              </w:rPr>
            </w:pPr>
            <w:r>
              <w:rPr>
                <w:sz w:val="14"/>
              </w:rPr>
              <w:t>-0.75</w:t>
            </w:r>
          </w:p>
        </w:tc>
      </w:tr>
      <w:tr>
        <w:trPr>
          <w:trHeight w:val="218" w:hRule="atLeast"/>
        </w:trPr>
        <w:tc>
          <w:tcPr>
            <w:tcW w:w="1385" w:type="dxa"/>
          </w:tcPr>
          <w:p>
            <w:pPr>
              <w:pStyle w:val="TableParagraph"/>
              <w:spacing w:line="148" w:lineRule="exact"/>
              <w:ind w:left="50"/>
              <w:rPr>
                <w:sz w:val="14"/>
              </w:rPr>
            </w:pPr>
            <w:r>
              <w:rPr>
                <w:sz w:val="14"/>
              </w:rPr>
              <w:t>Spain</w:t>
            </w:r>
          </w:p>
        </w:tc>
        <w:tc>
          <w:tcPr>
            <w:tcW w:w="1539" w:type="dxa"/>
          </w:tcPr>
          <w:p>
            <w:pPr>
              <w:pStyle w:val="TableParagraph"/>
              <w:spacing w:line="148" w:lineRule="exact"/>
              <w:ind w:left="71" w:right="46"/>
              <w:jc w:val="center"/>
              <w:rPr>
                <w:sz w:val="14"/>
              </w:rPr>
            </w:pPr>
            <w:r>
              <w:rPr>
                <w:sz w:val="14"/>
              </w:rPr>
              <w:t>3.50</w:t>
            </w:r>
          </w:p>
        </w:tc>
        <w:tc>
          <w:tcPr>
            <w:tcW w:w="1444" w:type="dxa"/>
          </w:tcPr>
          <w:p>
            <w:pPr>
              <w:pStyle w:val="TableParagraph"/>
              <w:spacing w:line="148" w:lineRule="exact"/>
              <w:ind w:left="509" w:right="603"/>
              <w:jc w:val="center"/>
              <w:rPr>
                <w:sz w:val="14"/>
              </w:rPr>
            </w:pPr>
            <w:r>
              <w:rPr>
                <w:sz w:val="14"/>
              </w:rPr>
              <w:t>-0.75</w:t>
            </w:r>
          </w:p>
        </w:tc>
      </w:tr>
      <w:tr>
        <w:trPr>
          <w:trHeight w:val="204" w:hRule="atLeast"/>
        </w:trPr>
        <w:tc>
          <w:tcPr>
            <w:tcW w:w="1385" w:type="dxa"/>
          </w:tcPr>
          <w:p>
            <w:pPr>
              <w:pStyle w:val="TableParagraph"/>
              <w:spacing w:line="118" w:lineRule="exact" w:before="66"/>
              <w:ind w:left="50"/>
              <w:rPr>
                <w:sz w:val="12"/>
              </w:rPr>
            </w:pPr>
            <w:r>
              <w:rPr>
                <w:sz w:val="12"/>
              </w:rPr>
              <w:t>Source: Bloomberg.</w:t>
            </w:r>
          </w:p>
        </w:tc>
        <w:tc>
          <w:tcPr>
            <w:tcW w:w="1539" w:type="dxa"/>
          </w:tcPr>
          <w:p>
            <w:pPr>
              <w:pStyle w:val="TableParagraph"/>
              <w:rPr>
                <w:sz w:val="14"/>
              </w:rPr>
            </w:pPr>
          </w:p>
        </w:tc>
        <w:tc>
          <w:tcPr>
            <w:tcW w:w="1444" w:type="dxa"/>
          </w:tcPr>
          <w:p>
            <w:pPr>
              <w:pStyle w:val="TableParagraph"/>
              <w:rPr>
                <w:sz w:val="14"/>
              </w:rPr>
            </w:pPr>
          </w:p>
        </w:tc>
      </w:tr>
    </w:tbl>
    <w:p>
      <w:pPr>
        <w:spacing w:before="142"/>
        <w:ind w:left="163" w:right="0" w:firstLine="0"/>
        <w:jc w:val="left"/>
        <w:rPr>
          <w:sz w:val="12"/>
        </w:rPr>
      </w:pPr>
      <w:r>
        <w:rPr>
          <w:sz w:val="12"/>
        </w:rPr>
        <w:t>(a) All rates are tender rates, apart from Italy, which is a discount rate.</w:t>
      </w:r>
    </w:p>
    <w:p>
      <w:pPr>
        <w:pStyle w:val="Heading4"/>
        <w:spacing w:line="242" w:lineRule="auto" w:before="221"/>
        <w:ind w:left="163" w:right="288"/>
      </w:pPr>
      <w:r>
        <w:rPr/>
        <w:br w:type="column"/>
      </w:r>
      <w:r>
        <w:rPr/>
        <w:t>The US Federal Reserve cut its official rate by 0.25% in September and again in October, reflecting concerns about the potential impact of the </w:t>
      </w:r>
      <w:r>
        <w:rPr>
          <w:spacing w:val="-3"/>
        </w:rPr>
        <w:t>world’s </w:t>
      </w:r>
      <w:r>
        <w:rPr/>
        <w:t>economic problems and of tightening US credit conditions. In the prospective euro area, while German and French official rates </w:t>
      </w:r>
      <w:r>
        <w:rPr>
          <w:spacing w:val="-3"/>
        </w:rPr>
        <w:t>have </w:t>
      </w:r>
      <w:r>
        <w:rPr/>
        <w:t>remained unchanged at 3.30%, interest rates </w:t>
      </w:r>
      <w:r>
        <w:rPr>
          <w:spacing w:val="-8"/>
        </w:rPr>
        <w:t>in </w:t>
      </w:r>
      <w:r>
        <w:rPr/>
        <w:t>other economies </w:t>
      </w:r>
      <w:r>
        <w:rPr>
          <w:spacing w:val="-3"/>
        </w:rPr>
        <w:t>have </w:t>
      </w:r>
      <w:r>
        <w:rPr/>
        <w:t>fallen towards this rate.  But further convergence is necessary before the euro comes into being on 1 January 1999 (see </w:t>
      </w:r>
      <w:r>
        <w:rPr>
          <w:spacing w:val="-4"/>
        </w:rPr>
        <w:t>Table </w:t>
      </w:r>
      <w:r>
        <w:rPr/>
        <w:t>1.B). If the higher rates were to fall to the levels currently prevailing in Germany and France, this would constitute a slight monetary loosening within the prospective euro</w:t>
      </w:r>
      <w:r>
        <w:rPr>
          <w:spacing w:val="-5"/>
        </w:rPr>
        <w:t> </w:t>
      </w:r>
      <w:r>
        <w:rPr/>
        <w:t>area</w:t>
      </w:r>
    </w:p>
    <w:p>
      <w:pPr>
        <w:spacing w:after="0" w:line="242" w:lineRule="auto"/>
        <w:sectPr>
          <w:type w:val="continuous"/>
          <w:pgSz w:w="11900" w:h="16840"/>
          <w:pgMar w:top="1220" w:bottom="280" w:left="620" w:right="520"/>
          <w:cols w:num="2" w:equalWidth="0">
            <w:col w:w="4153" w:space="643"/>
            <w:col w:w="5964"/>
          </w:cols>
        </w:sectPr>
      </w:pPr>
    </w:p>
    <w:p>
      <w:pPr>
        <w:pStyle w:val="BodyText"/>
        <w:rPr>
          <w:sz w:val="20"/>
        </w:rPr>
      </w:pPr>
    </w:p>
    <w:p>
      <w:pPr>
        <w:spacing w:after="0"/>
        <w:rPr>
          <w:sz w:val="20"/>
        </w:rPr>
        <w:sectPr>
          <w:headerReference w:type="even" r:id="rId24"/>
          <w:headerReference w:type="default" r:id="rId25"/>
          <w:footerReference w:type="even" r:id="rId26"/>
          <w:footerReference w:type="default" r:id="rId27"/>
          <w:pgSz w:w="11900" w:h="16840"/>
          <w:pgMar w:header="586" w:footer="597" w:top="780" w:bottom="780" w:left="620" w:right="520"/>
          <w:pgNumType w:start="8"/>
        </w:sectPr>
      </w:pPr>
    </w:p>
    <w:p>
      <w:pPr>
        <w:pStyle w:val="BodyText"/>
        <w:spacing w:before="3"/>
        <w:rPr>
          <w:sz w:val="21"/>
        </w:rPr>
      </w:pPr>
    </w:p>
    <w:p>
      <w:pPr>
        <w:pStyle w:val="Heading7"/>
        <w:spacing w:before="0"/>
        <w:ind w:left="212"/>
      </w:pPr>
      <w:bookmarkStart w:name="Long-term interest rates" w:id="21"/>
      <w:bookmarkEnd w:id="21"/>
      <w:r>
        <w:rPr>
          <w:b w:val="0"/>
        </w:rPr>
      </w:r>
      <w:bookmarkStart w:name="Equity prices" w:id="22"/>
      <w:bookmarkEnd w:id="22"/>
      <w:r>
        <w:rPr>
          <w:b w:val="0"/>
        </w:rPr>
      </w:r>
      <w:bookmarkStart w:name="_bookmark5" w:id="23"/>
      <w:bookmarkEnd w:id="23"/>
      <w:r>
        <w:rPr>
          <w:b w:val="0"/>
        </w:rPr>
      </w:r>
      <w:r>
        <w:rPr>
          <w:color w:val="0093C1"/>
        </w:rPr>
        <w:t>Chart 1.10</w:t>
      </w:r>
    </w:p>
    <w:p>
      <w:pPr>
        <w:spacing w:line="249" w:lineRule="auto" w:before="10"/>
        <w:ind w:left="212" w:right="0" w:firstLine="0"/>
        <w:jc w:val="left"/>
        <w:rPr>
          <w:b/>
          <w:sz w:val="20"/>
        </w:rPr>
      </w:pPr>
      <w:r>
        <w:rPr>
          <w:b/>
          <w:color w:val="0093C1"/>
          <w:sz w:val="20"/>
        </w:rPr>
        <w:t>Implied distributions for sterling three-month interest rates</w:t>
      </w:r>
    </w:p>
    <w:p>
      <w:pPr>
        <w:spacing w:before="77"/>
        <w:ind w:left="316" w:right="0" w:firstLine="0"/>
        <w:jc w:val="left"/>
        <w:rPr>
          <w:sz w:val="12"/>
        </w:rPr>
      </w:pPr>
      <w:r>
        <w:rPr>
          <w:sz w:val="12"/>
        </w:rPr>
        <w:t>Expectations as at c.o.b. 5 August 1998</w:t>
      </w:r>
    </w:p>
    <w:p>
      <w:pPr>
        <w:pStyle w:val="BodyText"/>
        <w:spacing w:line="20" w:lineRule="exact"/>
        <w:ind w:left="301"/>
        <w:rPr>
          <w:sz w:val="2"/>
        </w:rPr>
      </w:pPr>
      <w:r>
        <w:rPr>
          <w:sz w:val="2"/>
        </w:rPr>
        <w:pict>
          <v:group style="width:3.6pt;height:.5pt;mso-position-horizontal-relative:char;mso-position-vertical-relative:line" coordorigin="0,0" coordsize="72,10">
            <v:line style="position:absolute" from="72,5" to="0,5" stroked="true" strokeweight=".5pt" strokecolor="#000000">
              <v:stroke dashstyle="solid"/>
            </v:line>
          </v:group>
        </w:pict>
      </w:r>
      <w:r>
        <w:rPr>
          <w:sz w:val="2"/>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0"/>
        </w:rPr>
      </w:pPr>
      <w:r>
        <w:rPr/>
        <w:pict>
          <v:shape style="position:absolute;margin-left:45.841pt;margin-top:8.420963pt;width:3.6pt;height:.1pt;mso-position-horizontal-relative:page;mso-position-vertical-relative:paragraph;z-index:-15682048;mso-wrap-distance-left:0;mso-wrap-distance-right:0" coordorigin="917,168" coordsize="72,0" path="m989,168l917,168e" filled="false" stroked="true" strokeweight=".5pt" strokecolor="#000000">
            <v:path arrowok="t"/>
            <v:stroke dashstyle="solid"/>
            <w10:wrap type="topAndBottom"/>
          </v:shape>
        </w:pict>
      </w:r>
      <w:r>
        <w:rPr/>
        <w:pict>
          <v:shape style="position:absolute;margin-left:45.841pt;margin-top:26.213963pt;width:3.6pt;height:.1pt;mso-position-horizontal-relative:page;mso-position-vertical-relative:paragraph;z-index:-15681536;mso-wrap-distance-left:0;mso-wrap-distance-right:0" coordorigin="917,524" coordsize="72,0" path="m989,524l917,524e" filled="false" stroked="true" strokeweight=".5pt" strokecolor="#000000">
            <v:path arrowok="t"/>
            <v:stroke dashstyle="solid"/>
            <w10:wrap type="topAndBottom"/>
          </v:shape>
        </w:pict>
      </w:r>
      <w:r>
        <w:rPr/>
        <w:pict>
          <v:shape style="position:absolute;margin-left:45.841pt;margin-top:44.006962pt;width:3.6pt;height:.1pt;mso-position-horizontal-relative:page;mso-position-vertical-relative:paragraph;z-index:-15681024;mso-wrap-distance-left:0;mso-wrap-distance-right:0" coordorigin="917,880" coordsize="72,0" path="m989,880l917,880e" filled="false" stroked="true" strokeweight=".5pt" strokecolor="#000000">
            <v:path arrowok="t"/>
            <v:stroke dashstyle="solid"/>
            <w10:wrap type="topAndBottom"/>
          </v:shape>
        </w:pict>
      </w:r>
    </w:p>
    <w:p>
      <w:pPr>
        <w:pStyle w:val="BodyText"/>
        <w:spacing w:before="1"/>
        <w:rPr>
          <w:sz w:val="24"/>
        </w:rPr>
      </w:pPr>
    </w:p>
    <w:p>
      <w:pPr>
        <w:pStyle w:val="BodyText"/>
        <w:spacing w:before="1"/>
        <w:rPr>
          <w:sz w:val="24"/>
        </w:rPr>
      </w:pP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spacing w:before="120"/>
        <w:ind w:left="-9" w:right="0" w:firstLine="0"/>
        <w:jc w:val="left"/>
        <w:rPr>
          <w:sz w:val="12"/>
        </w:rPr>
      </w:pPr>
      <w:r>
        <w:rPr>
          <w:sz w:val="12"/>
        </w:rPr>
        <w:t>Per cent</w:t>
      </w:r>
      <w:r>
        <w:rPr>
          <w:spacing w:val="11"/>
          <w:sz w:val="12"/>
        </w:rPr>
        <w:t> </w:t>
      </w:r>
      <w:r>
        <w:rPr>
          <w:color w:val="231F20"/>
          <w:position w:val="-6"/>
          <w:sz w:val="12"/>
        </w:rPr>
        <w:t>8.75</w:t>
      </w:r>
    </w:p>
    <w:p>
      <w:pPr>
        <w:spacing w:before="117"/>
        <w:ind w:left="421" w:right="0" w:firstLine="0"/>
        <w:jc w:val="left"/>
        <w:rPr>
          <w:sz w:val="12"/>
        </w:rPr>
      </w:pPr>
      <w:r>
        <w:rPr/>
        <w:pict>
          <v:group style="position:absolute;margin-left:45.841pt;margin-top:6.425827pt;width:141.950pt;height:69.25pt;mso-position-horizontal-relative:page;mso-position-vertical-relative:paragraph;z-index:15778816" coordorigin="917,129" coordsize="2839,1385">
            <v:shape style="position:absolute;left:3192;top:128;width:564;height:1247" coordorigin="3192,129" coordsize="564,1247" path="m3756,129l3695,133,3655,138,3595,143,3554,162,3494,181,3454,200,3333,283,3293,325,3233,400,3192,475,3233,564,3293,653,3333,727,3454,875,3494,969,3554,1063,3595,1157,3655,1229,3695,1302,3756,1375,3756,129xe" filled="true" fillcolor="#bfd0e6" stroked="false">
              <v:path arrowok="t"/>
              <v:fill type="solid"/>
            </v:shape>
            <v:shape style="position:absolute;left:3192;top:360;width:564;height:820" coordorigin="3192,360" coordsize="564,820" path="m3454,360l3333,382,3293,392,3233,436,3192,480,3233,540,3293,599,3333,652,3454,757,3494,824,3554,890,3595,956,3655,1031,3695,1105,3756,1179,3756,396,3695,391,3655,387,3595,382,3554,375,3494,367,3454,360xe" filled="true" fillcolor="#8aadd3" stroked="false">
              <v:path arrowok="t"/>
              <v:fill type="solid"/>
            </v:shape>
            <v:shape style="position:absolute;left:3192;top:429;width:564;height:626" coordorigin="3192,430" coordsize="564,626" path="m3293,430l3233,455,3192,481,3233,523,3293,564,3333,606,3454,691,3494,746,3554,800,3595,855,3655,921,3695,988,3756,1055,3756,546,3695,528,3655,511,3595,493,3554,475,3494,457,3454,439,3333,433,3293,430xe" filled="true" fillcolor="#5991c2" stroked="false">
              <v:path arrowok="t"/>
              <v:fill type="solid"/>
            </v:shape>
            <v:shape style="position:absolute;left:3192;top:454;width:564;height:493" coordorigin="3192,455" coordsize="564,493" path="m3293,455l3233,466,3192,477,3233,504,3293,532,3333,566,3454,634,3494,681,3554,727,3595,773,3655,831,3695,889,3756,947,3756,657,3695,628,3655,599,3595,570,3554,544,3494,518,3454,492,3333,467,3293,455xe" filled="true" fillcolor="#0e7ab3" stroked="false">
              <v:path arrowok="t"/>
              <v:fill type="solid"/>
            </v:shape>
            <v:shape style="position:absolute;left:3192;top:479;width:564;height:376" coordorigin="3192,480" coordsize="564,376" path="m3192,480l3233,494,3293,509,3333,536,3454,590,3494,630,3554,669,3595,708,3655,757,3695,806,3756,855,3756,760,3695,721,3655,682,3595,643,3554,610,3494,577,3454,544,3333,504,3293,484,3233,482,3192,480xe" filled="true" fillcolor="#0066a5" stroked="false">
              <v:path arrowok="t"/>
              <v:fill type="solid"/>
            </v:shape>
            <v:shape style="position:absolute;left:1036;top:977;width:101;height:95" coordorigin="1037,978" coordsize="101,95" path="m1077,978l1037,1072m1137,1020l1077,978e" filled="false" stroked="true" strokeweight="1pt" strokecolor="#0066a5">
              <v:path arrowok="t"/>
              <v:stroke dashstyle="solid"/>
            </v:shape>
            <v:line style="position:absolute" from="1127,1018" to="1188,1018" stroked="true" strokeweight="1.233pt" strokecolor="#0066a5">
              <v:stroke dashstyle="solid"/>
            </v:line>
            <v:shape style="position:absolute;left:1177;top:951;width:161;height:84" coordorigin="1178,952" coordsize="161,84" path="m1238,991l1178,1016m1278,1035l1238,991m1339,952l1278,1035e" filled="false" stroked="true" strokeweight="1pt" strokecolor="#0066a5">
              <v:path arrowok="t"/>
              <v:stroke dashstyle="solid"/>
            </v:shape>
            <v:line style="position:absolute" from="1329,954" to="1389,954" stroked="true" strokeweight="1.160pt" strokecolor="#0066a5">
              <v:stroke dashstyle="solid"/>
            </v:line>
            <v:shape style="position:absolute;left:1378;top:955;width:564;height:549" coordorigin="1379,955" coordsize="564,549" path="m1439,994l1379,955m1479,986l1439,994m1540,1033l1479,986m1600,1115l1540,1033m1640,1176l1600,1115m1701,1278l1640,1176m1741,1336l1701,1278m1801,1367l1741,1336m1841,1351l1801,1367m1902,1444l1841,1351m1942,1503l1902,1444e" filled="false" stroked="true" strokeweight="1pt" strokecolor="#0066a5">
              <v:path arrowok="t"/>
              <v:stroke dashstyle="solid"/>
            </v:shape>
            <v:line style="position:absolute" from="1932,1500" to="2012,1500" stroked="true" strokeweight="1.3pt" strokecolor="#0066a5">
              <v:stroke dashstyle="solid"/>
            </v:line>
            <v:shape style="position:absolute;left:2002;top:478;width:1187;height:1020" coordorigin="2002,478" coordsize="1187,1020" path="m2063,1482l2002,1497m2103,1395l2063,1482m2163,1207l2103,1395m2203,1181l2163,1207m2264,1197l2203,1181m2304,1262l2264,1197m2364,1262l2304,1262m2404,1168l2364,1262m2465,1134l2404,1168m2525,1022l2465,1134m2565,867l2525,1022m2626,766l2565,867m2666,736l2626,766m2726,712l2666,736m2766,566l2726,712m2827,523l2766,566m2867,599l2827,523m2927,608l2867,599m2988,599l2927,608m3028,621l2988,599m3088,635l3028,621m3088,635l3129,523m3189,478l3129,523e" filled="false" stroked="true" strokeweight="1pt" strokecolor="#0066a5">
              <v:path arrowok="t"/>
              <v:stroke dashstyle="solid"/>
            </v:shape>
            <v:shape style="position:absolute;left:916;top:308;width:78;height:1063" coordorigin="917,309" coordsize="78,1063" path="m989,1372l917,1372m989,1016l917,1016m989,660l917,660m994,309l922,309e" filled="false" stroked="true" strokeweight=".5pt" strokecolor="#000000">
              <v:path arrowok="t"/>
              <v:stroke dashstyle="solid"/>
            </v:shape>
            <w10:wrap type="none"/>
          </v:group>
        </w:pict>
      </w:r>
      <w:r>
        <w:rPr/>
        <w:pict>
          <v:line style="position:absolute;mso-position-horizontal-relative:page;mso-position-vertical-relative:paragraph;z-index:15784448" from="201.643996pt,10.503827pt" to="198.048996pt,10.503827pt" stroked="true" strokeweight=".5pt" strokecolor="#231f20">
            <v:stroke dashstyle="solid"/>
            <w10:wrap type="none"/>
          </v:line>
        </w:pict>
      </w:r>
      <w:r>
        <w:rPr/>
        <w:pict>
          <v:line style="position:absolute;mso-position-horizontal-relative:page;mso-position-vertical-relative:paragraph;z-index:-21703680" from="201.643996pt,-2.437173pt" to="198.048996pt,-2.437173pt" stroked="true" strokeweight=".5pt" strokecolor="#231f20">
            <v:stroke dashstyle="solid"/>
            <w10:wrap type="none"/>
          </v:line>
        </w:pict>
      </w:r>
      <w:r>
        <w:rPr>
          <w:color w:val="231F20"/>
          <w:sz w:val="12"/>
        </w:rPr>
        <w:t>8.25</w:t>
      </w:r>
    </w:p>
    <w:p>
      <w:pPr>
        <w:pStyle w:val="BodyText"/>
        <w:spacing w:before="6"/>
        <w:rPr>
          <w:sz w:val="10"/>
        </w:rPr>
      </w:pPr>
    </w:p>
    <w:p>
      <w:pPr>
        <w:spacing w:before="0"/>
        <w:ind w:left="421" w:right="0" w:firstLine="0"/>
        <w:jc w:val="left"/>
        <w:rPr>
          <w:sz w:val="12"/>
        </w:rPr>
      </w:pPr>
      <w:r>
        <w:rPr/>
        <w:pict>
          <v:line style="position:absolute;mso-position-horizontal-relative:page;mso-position-vertical-relative:paragraph;z-index:15783936" from="201.643996pt,4.652482pt" to="198.048996pt,4.652482pt" stroked="true" strokeweight=".5pt" strokecolor="#231f20">
            <v:stroke dashstyle="solid"/>
            <w10:wrap type="none"/>
          </v:line>
        </w:pict>
      </w:r>
      <w:r>
        <w:rPr>
          <w:color w:val="231F20"/>
          <w:sz w:val="12"/>
        </w:rPr>
        <w:t>7.75</w:t>
      </w:r>
    </w:p>
    <w:p>
      <w:pPr>
        <w:pStyle w:val="BodyText"/>
        <w:spacing w:before="6"/>
        <w:rPr>
          <w:sz w:val="10"/>
        </w:rPr>
      </w:pPr>
    </w:p>
    <w:p>
      <w:pPr>
        <w:spacing w:before="0"/>
        <w:ind w:left="421" w:right="0" w:firstLine="0"/>
        <w:jc w:val="left"/>
        <w:rPr>
          <w:sz w:val="12"/>
        </w:rPr>
      </w:pPr>
      <w:r>
        <w:rPr/>
        <w:pict>
          <v:line style="position:absolute;mso-position-horizontal-relative:page;mso-position-vertical-relative:paragraph;z-index:15783424" from="201.643996pt,4.650137pt" to="198.048996pt,4.650137pt" stroked="true" strokeweight=".5pt" strokecolor="#231f20">
            <v:stroke dashstyle="solid"/>
            <w10:wrap type="none"/>
          </v:line>
        </w:pict>
      </w:r>
      <w:r>
        <w:rPr>
          <w:color w:val="231F20"/>
          <w:sz w:val="12"/>
        </w:rPr>
        <w:t>7.25</w:t>
      </w:r>
    </w:p>
    <w:p>
      <w:pPr>
        <w:pStyle w:val="BodyText"/>
        <w:spacing w:before="6"/>
        <w:rPr>
          <w:sz w:val="10"/>
        </w:rPr>
      </w:pPr>
    </w:p>
    <w:p>
      <w:pPr>
        <w:spacing w:before="0"/>
        <w:ind w:left="421" w:right="0" w:firstLine="0"/>
        <w:jc w:val="left"/>
        <w:rPr>
          <w:sz w:val="12"/>
        </w:rPr>
      </w:pPr>
      <w:r>
        <w:rPr/>
        <w:pict>
          <v:line style="position:absolute;mso-position-horizontal-relative:page;mso-position-vertical-relative:paragraph;z-index:15782912" from="201.643996pt,4.649853pt" to="198.048996pt,4.649853pt" stroked="true" strokeweight=".5pt" strokecolor="#231f20">
            <v:stroke dashstyle="solid"/>
            <w10:wrap type="none"/>
          </v:line>
        </w:pict>
      </w:r>
      <w:r>
        <w:rPr>
          <w:color w:val="231F20"/>
          <w:sz w:val="12"/>
        </w:rPr>
        <w:t>6.75</w:t>
      </w:r>
    </w:p>
    <w:p>
      <w:pPr>
        <w:pStyle w:val="BodyText"/>
        <w:spacing w:before="6"/>
        <w:rPr>
          <w:sz w:val="10"/>
        </w:rPr>
      </w:pPr>
    </w:p>
    <w:p>
      <w:pPr>
        <w:spacing w:before="0"/>
        <w:ind w:left="421" w:right="0" w:firstLine="0"/>
        <w:jc w:val="left"/>
        <w:rPr>
          <w:sz w:val="12"/>
        </w:rPr>
      </w:pPr>
      <w:r>
        <w:rPr/>
        <w:pict>
          <v:line style="position:absolute;mso-position-horizontal-relative:page;mso-position-vertical-relative:paragraph;z-index:15782400" from="201.643996pt,4.648507pt" to="198.048996pt,4.648507pt" stroked="true" strokeweight=".5pt" strokecolor="#231f20">
            <v:stroke dashstyle="solid"/>
            <w10:wrap type="none"/>
          </v:line>
        </w:pict>
      </w:r>
      <w:r>
        <w:rPr>
          <w:color w:val="231F20"/>
          <w:sz w:val="12"/>
        </w:rPr>
        <w:t>6.25</w:t>
      </w:r>
    </w:p>
    <w:p>
      <w:pPr>
        <w:pStyle w:val="BodyText"/>
        <w:spacing w:before="5"/>
        <w:rPr>
          <w:sz w:val="10"/>
        </w:rPr>
      </w:pPr>
    </w:p>
    <w:p>
      <w:pPr>
        <w:spacing w:before="1"/>
        <w:ind w:left="421" w:right="0" w:firstLine="0"/>
        <w:jc w:val="left"/>
        <w:rPr>
          <w:sz w:val="12"/>
        </w:rPr>
      </w:pPr>
      <w:r>
        <w:rPr/>
        <w:pict>
          <v:line style="position:absolute;mso-position-horizontal-relative:page;mso-position-vertical-relative:paragraph;z-index:15781888" from="201.643996pt,4.698162pt" to="198.048996pt,4.698162pt" stroked="true" strokeweight=".5pt" strokecolor="#231f20">
            <v:stroke dashstyle="solid"/>
            <w10:wrap type="none"/>
          </v:line>
        </w:pict>
      </w:r>
      <w:r>
        <w:rPr>
          <w:color w:val="231F20"/>
          <w:sz w:val="12"/>
        </w:rPr>
        <w:t>5.75</w:t>
      </w:r>
    </w:p>
    <w:p>
      <w:pPr>
        <w:pStyle w:val="BodyText"/>
        <w:spacing w:before="5"/>
        <w:rPr>
          <w:sz w:val="10"/>
        </w:rPr>
      </w:pPr>
    </w:p>
    <w:p>
      <w:pPr>
        <w:spacing w:before="1"/>
        <w:ind w:left="421" w:right="0" w:firstLine="0"/>
        <w:jc w:val="left"/>
        <w:rPr>
          <w:sz w:val="12"/>
        </w:rPr>
      </w:pPr>
      <w:r>
        <w:rPr/>
        <w:pict>
          <v:line style="position:absolute;mso-position-horizontal-relative:page;mso-position-vertical-relative:paragraph;z-index:15781376" from="201.643996pt,4.697878pt" to="198.048996pt,4.697878pt" stroked="true" strokeweight=".5pt" strokecolor="#231f20">
            <v:stroke dashstyle="solid"/>
            <w10:wrap type="none"/>
          </v:line>
        </w:pict>
      </w:r>
      <w:r>
        <w:rPr>
          <w:color w:val="231F20"/>
          <w:sz w:val="12"/>
        </w:rPr>
        <w:t>5.25</w:t>
      </w:r>
    </w:p>
    <w:p>
      <w:pPr>
        <w:pStyle w:val="BodyText"/>
        <w:spacing w:before="5"/>
        <w:rPr>
          <w:sz w:val="10"/>
        </w:rPr>
      </w:pPr>
    </w:p>
    <w:p>
      <w:pPr>
        <w:spacing w:before="0"/>
        <w:ind w:left="421" w:right="0" w:firstLine="0"/>
        <w:jc w:val="left"/>
        <w:rPr>
          <w:sz w:val="12"/>
        </w:rPr>
      </w:pPr>
      <w:r>
        <w:rPr/>
        <w:pict>
          <v:line style="position:absolute;mso-position-horizontal-relative:page;mso-position-vertical-relative:paragraph;z-index:15780864" from="201.643996pt,4.646533pt" to="198.048996pt,4.646533pt" stroked="true" strokeweight=".5pt" strokecolor="#231f20">
            <v:stroke dashstyle="solid"/>
            <w10:wrap type="none"/>
          </v:line>
        </w:pict>
      </w:r>
      <w:r>
        <w:rPr>
          <w:color w:val="231F20"/>
          <w:sz w:val="12"/>
        </w:rPr>
        <w:t>4.75</w:t>
      </w:r>
    </w:p>
    <w:p>
      <w:pPr>
        <w:pStyle w:val="BodyText"/>
        <w:spacing w:before="6"/>
        <w:rPr>
          <w:sz w:val="10"/>
        </w:rPr>
      </w:pPr>
    </w:p>
    <w:p>
      <w:pPr>
        <w:spacing w:before="0"/>
        <w:ind w:left="421" w:right="0" w:firstLine="0"/>
        <w:jc w:val="left"/>
        <w:rPr>
          <w:sz w:val="12"/>
        </w:rPr>
      </w:pPr>
      <w:r>
        <w:rPr/>
        <w:pict>
          <v:line style="position:absolute;mso-position-horizontal-relative:page;mso-position-vertical-relative:paragraph;z-index:15780352" from="201.643996pt,4.644187pt" to="198.048996pt,4.644187pt" stroked="true" strokeweight=".5pt" strokecolor="#231f20">
            <v:stroke dashstyle="solid"/>
            <w10:wrap type="none"/>
          </v:line>
        </w:pict>
      </w:r>
      <w:r>
        <w:rPr>
          <w:color w:val="231F20"/>
          <w:sz w:val="12"/>
        </w:rPr>
        <w:t>4.25</w:t>
      </w:r>
    </w:p>
    <w:p>
      <w:pPr>
        <w:pStyle w:val="BodyText"/>
        <w:spacing w:before="6"/>
        <w:rPr>
          <w:sz w:val="10"/>
        </w:rPr>
      </w:pPr>
    </w:p>
    <w:p>
      <w:pPr>
        <w:spacing w:before="0"/>
        <w:ind w:left="421" w:right="0" w:firstLine="0"/>
        <w:jc w:val="left"/>
        <w:rPr>
          <w:sz w:val="12"/>
        </w:rPr>
      </w:pPr>
      <w:r>
        <w:rPr/>
        <w:pict>
          <v:line style="position:absolute;mso-position-horizontal-relative:page;mso-position-vertical-relative:paragraph;z-index:15779840" from="201.643996pt,4.642903pt" to="198.048996pt,4.642903pt" stroked="true" strokeweight=".5pt" strokecolor="#231f20">
            <v:stroke dashstyle="solid"/>
            <w10:wrap type="none"/>
          </v:line>
        </w:pict>
      </w:r>
      <w:r>
        <w:rPr>
          <w:color w:val="231F20"/>
          <w:sz w:val="12"/>
        </w:rPr>
        <w:t>3.75</w:t>
      </w:r>
    </w:p>
    <w:p>
      <w:pPr>
        <w:pStyle w:val="BodyText"/>
        <w:spacing w:before="6"/>
        <w:rPr>
          <w:sz w:val="10"/>
        </w:rPr>
      </w:pPr>
    </w:p>
    <w:p>
      <w:pPr>
        <w:spacing w:line="136" w:lineRule="exact" w:before="0"/>
        <w:ind w:left="421" w:right="0" w:firstLine="0"/>
        <w:jc w:val="left"/>
        <w:rPr>
          <w:sz w:val="12"/>
        </w:rPr>
      </w:pPr>
      <w:r>
        <w:rPr/>
        <w:pict>
          <v:group style="position:absolute;margin-left:45.841pt;margin-top:4.237558pt;width:158.25pt;height:8.15pt;mso-position-horizontal-relative:page;mso-position-vertical-relative:paragraph;z-index:15779328" coordorigin="917,85" coordsize="3165,163">
            <v:line style="position:absolute" from="4033,93" to="3961,93" stroked="true" strokeweight=".5pt" strokecolor="#231f20">
              <v:stroke dashstyle="solid"/>
            </v:line>
            <v:shape style="position:absolute;left:916;top:89;width:3160;height:158" coordorigin="917,90" coordsize="3160,158" path="m4056,98l4056,125,4036,141,4076,155,4036,175,4076,191,4053,201,4052,225m989,90l917,90m993,97l993,124,973,140,1013,154,973,174,1013,190,989,200,989,224m3393,239l3393,159m4066,237l931,237m1035,247l1035,116m1085,232l1085,152m1135,232l1135,152m1185,232l1185,152m1235,233l1235,153m1285,239l1285,146m1335,232l1335,152m1385,232l1385,152m1435,232l1435,152m1535,239l1535,149m1585,241l1585,151m1485,231l1485,140m1641,243l1641,113m1694,232l1694,152m1747,232l1747,152m1800,232l1800,152m1853,233l1853,153m1906,236l1906,156m1959,232l1959,152m2012,232l2012,152m2118,232l2118,152m2065,239l2065,149m2171,236l2171,156m2224,238l2224,149m2277,239l2277,106m2327,232l2327,152m2426,232l2426,152m2376,232l2376,152m2475,233l2475,153m2525,239l2525,149m2575,232l2575,152m2624,232l2624,152m2674,232l2674,152m2723,239l2723,146m2773,242l2773,149m2822,239l2822,149m2872,239l2872,106m2976,232l2976,152m2924,232l2924,152m3028,232l3028,152m3080,233l3080,153m3289,239l3289,149m3132,232l3132,152m3185,232l3185,152m3237,232l3237,152m3341,239l3341,159m3445,238l3445,158m3498,240l3498,120m3713,240l3713,160m3767,240l3767,160m3821,240l3821,160m3875,240l3875,160m3929,240l3929,162m3605,240l3605,160m3659,240l3659,160m3551,240l3551,160e" filled="false" stroked="true" strokeweight=".5pt" strokecolor="#000000">
              <v:path arrowok="t"/>
              <v:stroke dashstyle="solid"/>
            </v:shape>
            <w10:wrap type="none"/>
          </v:group>
        </w:pict>
      </w:r>
      <w:r>
        <w:rPr>
          <w:color w:val="231F20"/>
          <w:sz w:val="12"/>
        </w:rPr>
        <w:t>3.25</w:t>
      </w:r>
    </w:p>
    <w:p>
      <w:pPr>
        <w:pStyle w:val="Heading4"/>
        <w:spacing w:line="242" w:lineRule="auto" w:before="207"/>
        <w:ind w:left="212" w:right="335"/>
        <w:rPr>
          <w:sz w:val="16"/>
        </w:rPr>
      </w:pPr>
      <w:r>
        <w:rPr/>
        <w:br w:type="column"/>
      </w:r>
      <w:r>
        <w:rPr/>
        <w:t>relative to a situation in which rates converge on the average of current rates.</w:t>
      </w:r>
      <w:r>
        <w:rPr>
          <w:position w:val="5"/>
          <w:sz w:val="16"/>
        </w:rPr>
        <w:t>(1)</w:t>
      </w:r>
    </w:p>
    <w:p>
      <w:pPr>
        <w:pStyle w:val="BodyText"/>
        <w:spacing w:before="6"/>
        <w:rPr>
          <w:sz w:val="31"/>
        </w:rPr>
      </w:pPr>
    </w:p>
    <w:p>
      <w:pPr>
        <w:pStyle w:val="Heading5"/>
        <w:ind w:left="212"/>
        <w:rPr>
          <w:i/>
        </w:rPr>
      </w:pPr>
      <w:r>
        <w:rPr>
          <w:i/>
          <w:color w:val="009483"/>
        </w:rPr>
        <w:t>Long-term interest rates</w:t>
      </w:r>
    </w:p>
    <w:p>
      <w:pPr>
        <w:spacing w:line="242" w:lineRule="auto" w:before="164"/>
        <w:ind w:left="212" w:right="335" w:firstLine="0"/>
        <w:jc w:val="left"/>
        <w:rPr>
          <w:sz w:val="24"/>
        </w:rPr>
      </w:pPr>
      <w:r>
        <w:rPr>
          <w:sz w:val="24"/>
        </w:rPr>
        <w:t>The yields on longer-dated UK government bonds have fallen since 1996. This downward trend accelerated in August: the redemption yield on ten-year gilts fell by 111 basis points between 13 August and 5 October (see Chart 1.11). The financial problems that affected emerging markets, and reduced appetite for risk, made less risky assets such as developed economies’ government bonds relatively more attractive. In the United Kingdom, nominal yields on conventional gilts</w:t>
      </w:r>
    </w:p>
    <w:p>
      <w:pPr>
        <w:spacing w:after="0" w:line="242" w:lineRule="auto"/>
        <w:jc w:val="left"/>
        <w:rPr>
          <w:sz w:val="24"/>
        </w:rPr>
        <w:sectPr>
          <w:type w:val="continuous"/>
          <w:pgSz w:w="11900" w:h="16840"/>
          <w:pgMar w:top="1220" w:bottom="280" w:left="620" w:right="520"/>
          <w:cols w:num="3" w:equalWidth="0">
            <w:col w:w="3019" w:space="40"/>
            <w:col w:w="673" w:space="1035"/>
            <w:col w:w="5993"/>
          </w:cols>
        </w:sectPr>
      </w:pPr>
    </w:p>
    <w:p>
      <w:pPr>
        <w:pStyle w:val="BodyText"/>
        <w:spacing w:before="5"/>
        <w:rPr>
          <w:sz w:val="12"/>
        </w:rPr>
      </w:pPr>
    </w:p>
    <w:p>
      <w:pPr>
        <w:spacing w:before="0"/>
        <w:ind w:left="0" w:right="0" w:firstLine="0"/>
        <w:jc w:val="right"/>
        <w:rPr>
          <w:sz w:val="12"/>
        </w:rPr>
      </w:pPr>
      <w:r>
        <w:rPr>
          <w:color w:val="231F20"/>
          <w:sz w:val="12"/>
        </w:rPr>
        <w:t>1995</w:t>
      </w:r>
    </w:p>
    <w:p>
      <w:pPr>
        <w:pStyle w:val="BodyText"/>
        <w:spacing w:before="5"/>
        <w:rPr>
          <w:sz w:val="12"/>
        </w:rPr>
      </w:pPr>
      <w:r>
        <w:rPr/>
        <w:br w:type="column"/>
      </w:r>
      <w:r>
        <w:rPr>
          <w:sz w:val="12"/>
        </w:rPr>
      </w:r>
    </w:p>
    <w:p>
      <w:pPr>
        <w:tabs>
          <w:tab w:pos="1021" w:val="left" w:leader="none"/>
        </w:tabs>
        <w:spacing w:before="0"/>
        <w:ind w:left="391" w:right="0" w:firstLine="0"/>
        <w:jc w:val="left"/>
        <w:rPr>
          <w:sz w:val="12"/>
        </w:rPr>
      </w:pPr>
      <w:r>
        <w:rPr>
          <w:color w:val="231F20"/>
          <w:sz w:val="12"/>
        </w:rPr>
        <w:t>96</w:t>
        <w:tab/>
      </w:r>
      <w:r>
        <w:rPr>
          <w:color w:val="231F20"/>
          <w:spacing w:val="-10"/>
          <w:sz w:val="12"/>
        </w:rPr>
        <w:t>97</w:t>
      </w:r>
    </w:p>
    <w:p>
      <w:pPr>
        <w:pStyle w:val="BodyText"/>
        <w:spacing w:before="5"/>
        <w:rPr>
          <w:sz w:val="12"/>
        </w:rPr>
      </w:pPr>
      <w:r>
        <w:rPr/>
        <w:br w:type="column"/>
      </w:r>
      <w:r>
        <w:rPr>
          <w:sz w:val="12"/>
        </w:rPr>
      </w:r>
    </w:p>
    <w:p>
      <w:pPr>
        <w:tabs>
          <w:tab w:pos="973" w:val="left" w:leader="none"/>
        </w:tabs>
        <w:spacing w:before="0"/>
        <w:ind w:left="429" w:right="0" w:firstLine="0"/>
        <w:jc w:val="left"/>
        <w:rPr>
          <w:sz w:val="12"/>
        </w:rPr>
      </w:pPr>
      <w:r>
        <w:rPr>
          <w:color w:val="231F20"/>
          <w:sz w:val="12"/>
        </w:rPr>
        <w:t>98</w:t>
        <w:tab/>
      </w:r>
      <w:r>
        <w:rPr>
          <w:color w:val="231F20"/>
          <w:spacing w:val="-10"/>
          <w:sz w:val="12"/>
        </w:rPr>
        <w:t>99</w:t>
      </w:r>
    </w:p>
    <w:p>
      <w:pPr>
        <w:spacing w:line="133" w:lineRule="exact" w:before="0"/>
        <w:ind w:left="272" w:right="0" w:firstLine="0"/>
        <w:jc w:val="left"/>
        <w:rPr>
          <w:sz w:val="12"/>
        </w:rPr>
      </w:pPr>
      <w:r>
        <w:rPr/>
        <w:br w:type="column"/>
      </w:r>
      <w:r>
        <w:rPr>
          <w:sz w:val="12"/>
        </w:rPr>
        <w:t>0.00</w:t>
      </w:r>
    </w:p>
    <w:p>
      <w:pPr>
        <w:pStyle w:val="Heading4"/>
        <w:spacing w:line="274" w:lineRule="exact"/>
        <w:ind w:left="610"/>
      </w:pPr>
      <w:r>
        <w:rPr/>
        <w:br w:type="column"/>
      </w:r>
      <w:r>
        <w:rPr/>
        <w:t>fell by more than real yields on index-linked gilts over</w:t>
      </w:r>
    </w:p>
    <w:p>
      <w:pPr>
        <w:spacing w:after="0" w:line="274" w:lineRule="exact"/>
        <w:sectPr>
          <w:type w:val="continuous"/>
          <w:pgSz w:w="11900" w:h="16840"/>
          <w:pgMar w:top="1220" w:bottom="280" w:left="620" w:right="520"/>
          <w:cols w:num="5" w:equalWidth="0">
            <w:col w:w="851" w:space="40"/>
            <w:col w:w="1142" w:space="39"/>
            <w:col w:w="1094" w:space="40"/>
            <w:col w:w="523" w:space="641"/>
            <w:col w:w="6390"/>
          </w:cols>
        </w:sectPr>
      </w:pPr>
    </w:p>
    <w:p>
      <w:pPr>
        <w:pStyle w:val="BodyText"/>
        <w:spacing w:before="2"/>
        <w:rPr>
          <w:sz w:val="12"/>
        </w:rPr>
      </w:pPr>
    </w:p>
    <w:p>
      <w:pPr>
        <w:spacing w:before="0"/>
        <w:ind w:left="286" w:right="0" w:firstLine="0"/>
        <w:jc w:val="left"/>
        <w:rPr>
          <w:sz w:val="12"/>
        </w:rPr>
      </w:pPr>
      <w:r>
        <w:rPr>
          <w:sz w:val="12"/>
        </w:rPr>
        <w:t>Expectations as at c.o.b. 4 November 1998</w:t>
      </w:r>
    </w:p>
    <w:p>
      <w:pPr>
        <w:pStyle w:val="BodyText"/>
        <w:spacing w:line="20" w:lineRule="exact"/>
        <w:ind w:left="281"/>
        <w:rPr>
          <w:sz w:val="2"/>
        </w:rPr>
      </w:pPr>
      <w:r>
        <w:rPr>
          <w:sz w:val="2"/>
        </w:rPr>
        <w:pict>
          <v:group style="width:3.6pt;height:.5pt;mso-position-horizontal-relative:char;mso-position-vertical-relative:line" coordorigin="0,0" coordsize="72,10">
            <v:line style="position:absolute" from="72,5" to="0,5" stroked="true" strokeweight=".5pt" strokecolor="#000000">
              <v:stroke dashstyle="solid"/>
            </v:line>
          </v:group>
        </w:pict>
      </w:r>
      <w:r>
        <w:rPr>
          <w:sz w:val="2"/>
        </w:rPr>
      </w:r>
    </w:p>
    <w:p>
      <w:pPr>
        <w:pStyle w:val="BodyText"/>
        <w:spacing w:before="4"/>
        <w:rPr>
          <w:sz w:val="27"/>
        </w:rPr>
      </w:pPr>
      <w:r>
        <w:rPr/>
        <w:pict>
          <v:shape style="position:absolute;margin-left:45.111pt;margin-top:17.938007pt;width:3.6pt;height:.1pt;mso-position-horizontal-relative:page;mso-position-vertical-relative:paragraph;z-index:-15680000;mso-wrap-distance-left:0;mso-wrap-distance-right:0" coordorigin="902,359" coordsize="72,0" path="m974,359l902,359e" filled="false" stroked="true" strokeweight=".5pt" strokecolor="#000000">
            <v:path arrowok="t"/>
            <v:stroke dashstyle="solid"/>
            <w10:wrap type="topAndBottom"/>
          </v:shape>
        </w:pict>
      </w:r>
    </w:p>
    <w:p>
      <w:pPr>
        <w:pStyle w:val="BodyText"/>
        <w:spacing w:before="2"/>
        <w:rPr>
          <w:sz w:val="12"/>
        </w:rPr>
      </w:pPr>
      <w:r>
        <w:rPr/>
        <w:br w:type="column"/>
      </w:r>
      <w:r>
        <w:rPr>
          <w:sz w:val="12"/>
        </w:rPr>
      </w:r>
    </w:p>
    <w:p>
      <w:pPr>
        <w:spacing w:before="0"/>
        <w:ind w:left="286" w:right="0" w:firstLine="0"/>
        <w:jc w:val="left"/>
        <w:rPr>
          <w:sz w:val="12"/>
        </w:rPr>
      </w:pPr>
      <w:r>
        <w:rPr>
          <w:sz w:val="12"/>
        </w:rPr>
        <w:t>Per cent</w:t>
      </w:r>
    </w:p>
    <w:p>
      <w:pPr>
        <w:pStyle w:val="BodyText"/>
        <w:spacing w:line="20" w:lineRule="exact"/>
        <w:ind w:left="584" w:right="-58"/>
        <w:rPr>
          <w:sz w:val="2"/>
        </w:rPr>
      </w:pPr>
      <w:r>
        <w:rPr>
          <w:sz w:val="2"/>
        </w:rPr>
        <w:pict>
          <v:group style="width:3.6pt;height:.5pt;mso-position-horizontal-relative:char;mso-position-vertical-relative:line" coordorigin="0,0" coordsize="72,10">
            <v:line style="position:absolute" from="72,5" to="0,5" stroked="true" strokeweight=".5pt" strokecolor="#231f20">
              <v:stroke dashstyle="solid"/>
            </v:line>
          </v:group>
        </w:pict>
      </w:r>
      <w:r>
        <w:rPr>
          <w:sz w:val="2"/>
        </w:rPr>
      </w:r>
    </w:p>
    <w:p>
      <w:pPr>
        <w:pStyle w:val="BodyText"/>
        <w:spacing w:before="9"/>
      </w:pPr>
      <w:r>
        <w:rPr/>
        <w:pict>
          <v:shape style="position:absolute;margin-left:197.632996pt;margin-top:13.011007pt;width:3.6pt;height:.1pt;mso-position-horizontal-relative:page;mso-position-vertical-relative:paragraph;z-index:-15678976;mso-wrap-distance-left:0;mso-wrap-distance-right:0" coordorigin="3953,260" coordsize="72,0" path="m4025,260l3953,260e" filled="false" stroked="true" strokeweight=".5pt" strokecolor="#231f20">
            <v:path arrowok="t"/>
            <v:stroke dashstyle="solid"/>
            <w10:wrap type="topAndBottom"/>
          </v:shape>
        </w:pict>
      </w:r>
    </w:p>
    <w:p>
      <w:pPr>
        <w:pStyle w:val="BodyText"/>
        <w:spacing w:before="10"/>
        <w:rPr>
          <w:sz w:val="17"/>
        </w:rPr>
      </w:pPr>
      <w:r>
        <w:rPr/>
        <w:br w:type="column"/>
      </w:r>
      <w:r>
        <w:rPr>
          <w:sz w:val="17"/>
        </w:rPr>
      </w:r>
    </w:p>
    <w:p>
      <w:pPr>
        <w:spacing w:before="1"/>
        <w:ind w:left="0" w:right="0" w:firstLine="0"/>
        <w:jc w:val="left"/>
        <w:rPr>
          <w:sz w:val="12"/>
        </w:rPr>
      </w:pPr>
      <w:r>
        <w:rPr>
          <w:color w:val="231F20"/>
          <w:sz w:val="12"/>
        </w:rPr>
        <w:t>8.75</w:t>
      </w:r>
    </w:p>
    <w:p>
      <w:pPr>
        <w:pStyle w:val="BodyText"/>
        <w:spacing w:before="5"/>
        <w:rPr>
          <w:sz w:val="10"/>
        </w:rPr>
      </w:pPr>
    </w:p>
    <w:p>
      <w:pPr>
        <w:spacing w:before="0"/>
        <w:ind w:left="0" w:right="0" w:firstLine="0"/>
        <w:jc w:val="left"/>
        <w:rPr>
          <w:sz w:val="12"/>
        </w:rPr>
      </w:pPr>
      <w:r>
        <w:rPr>
          <w:color w:val="231F20"/>
          <w:sz w:val="12"/>
        </w:rPr>
        <w:t>8.25</w:t>
      </w:r>
    </w:p>
    <w:p>
      <w:pPr>
        <w:pStyle w:val="BodyText"/>
        <w:spacing w:before="6"/>
        <w:rPr>
          <w:sz w:val="10"/>
        </w:rPr>
      </w:pPr>
    </w:p>
    <w:p>
      <w:pPr>
        <w:spacing w:before="0"/>
        <w:ind w:left="0" w:right="0" w:firstLine="0"/>
        <w:jc w:val="left"/>
        <w:rPr>
          <w:sz w:val="12"/>
        </w:rPr>
      </w:pPr>
      <w:r>
        <w:rPr>
          <w:color w:val="231F20"/>
          <w:sz w:val="12"/>
        </w:rPr>
        <w:t>7.75</w:t>
      </w:r>
    </w:p>
    <w:p>
      <w:pPr>
        <w:pStyle w:val="BodyText"/>
        <w:spacing w:before="6"/>
        <w:rPr>
          <w:sz w:val="10"/>
        </w:rPr>
      </w:pPr>
    </w:p>
    <w:p>
      <w:pPr>
        <w:spacing w:before="0"/>
        <w:ind w:left="0" w:right="0" w:firstLine="0"/>
        <w:jc w:val="left"/>
        <w:rPr>
          <w:sz w:val="12"/>
        </w:rPr>
      </w:pPr>
      <w:r>
        <w:rPr>
          <w:color w:val="231F20"/>
          <w:sz w:val="12"/>
        </w:rPr>
        <w:t>7.25</w:t>
      </w:r>
    </w:p>
    <w:p>
      <w:pPr>
        <w:pStyle w:val="BodyText"/>
        <w:spacing w:before="6"/>
        <w:rPr>
          <w:sz w:val="10"/>
        </w:rPr>
      </w:pPr>
    </w:p>
    <w:p>
      <w:pPr>
        <w:spacing w:before="0"/>
        <w:ind w:left="0" w:right="0" w:firstLine="0"/>
        <w:jc w:val="left"/>
        <w:rPr>
          <w:sz w:val="12"/>
        </w:rPr>
      </w:pPr>
      <w:r>
        <w:rPr>
          <w:color w:val="231F20"/>
          <w:sz w:val="12"/>
        </w:rPr>
        <w:t>6.75</w:t>
      </w:r>
    </w:p>
    <w:p>
      <w:pPr>
        <w:pStyle w:val="BodyText"/>
        <w:spacing w:before="6"/>
        <w:rPr>
          <w:sz w:val="10"/>
        </w:rPr>
      </w:pPr>
    </w:p>
    <w:p>
      <w:pPr>
        <w:spacing w:before="0"/>
        <w:ind w:left="0" w:right="0" w:firstLine="0"/>
        <w:jc w:val="left"/>
        <w:rPr>
          <w:sz w:val="12"/>
        </w:rPr>
      </w:pPr>
      <w:r>
        <w:rPr>
          <w:color w:val="231F20"/>
          <w:sz w:val="12"/>
        </w:rPr>
        <w:t>6.25</w:t>
      </w:r>
    </w:p>
    <w:p>
      <w:pPr>
        <w:pStyle w:val="BodyText"/>
        <w:spacing w:before="5"/>
        <w:rPr>
          <w:sz w:val="10"/>
        </w:rPr>
      </w:pPr>
    </w:p>
    <w:p>
      <w:pPr>
        <w:spacing w:before="1"/>
        <w:ind w:left="0" w:right="0" w:firstLine="0"/>
        <w:jc w:val="left"/>
        <w:rPr>
          <w:sz w:val="12"/>
        </w:rPr>
      </w:pPr>
      <w:r>
        <w:rPr>
          <w:color w:val="231F20"/>
          <w:sz w:val="12"/>
        </w:rPr>
        <w:t>5.75</w:t>
      </w:r>
    </w:p>
    <w:p>
      <w:pPr>
        <w:pStyle w:val="BodyText"/>
        <w:spacing w:before="5"/>
        <w:rPr>
          <w:sz w:val="10"/>
        </w:rPr>
      </w:pPr>
    </w:p>
    <w:p>
      <w:pPr>
        <w:spacing w:before="0"/>
        <w:ind w:left="0" w:right="0" w:firstLine="0"/>
        <w:jc w:val="left"/>
        <w:rPr>
          <w:sz w:val="12"/>
        </w:rPr>
      </w:pPr>
      <w:r>
        <w:rPr>
          <w:color w:val="231F20"/>
          <w:sz w:val="12"/>
        </w:rPr>
        <w:t>5.25</w:t>
      </w:r>
    </w:p>
    <w:p>
      <w:pPr>
        <w:pStyle w:val="BodyText"/>
        <w:spacing w:before="6"/>
        <w:rPr>
          <w:sz w:val="10"/>
        </w:rPr>
      </w:pPr>
    </w:p>
    <w:p>
      <w:pPr>
        <w:spacing w:before="0"/>
        <w:ind w:left="0" w:right="0" w:firstLine="0"/>
        <w:jc w:val="left"/>
        <w:rPr>
          <w:sz w:val="12"/>
        </w:rPr>
      </w:pPr>
      <w:r>
        <w:rPr>
          <w:color w:val="231F20"/>
          <w:sz w:val="12"/>
        </w:rPr>
        <w:t>4.75</w:t>
      </w:r>
    </w:p>
    <w:p>
      <w:pPr>
        <w:pStyle w:val="BodyText"/>
        <w:spacing w:before="6"/>
        <w:rPr>
          <w:sz w:val="10"/>
        </w:rPr>
      </w:pPr>
    </w:p>
    <w:p>
      <w:pPr>
        <w:spacing w:before="0"/>
        <w:ind w:left="0" w:right="0" w:firstLine="0"/>
        <w:jc w:val="left"/>
        <w:rPr>
          <w:sz w:val="12"/>
        </w:rPr>
      </w:pPr>
      <w:r>
        <w:rPr>
          <w:color w:val="231F20"/>
          <w:sz w:val="12"/>
        </w:rPr>
        <w:t>4.25</w:t>
      </w:r>
    </w:p>
    <w:p>
      <w:pPr>
        <w:pStyle w:val="BodyText"/>
        <w:spacing w:before="6"/>
        <w:rPr>
          <w:sz w:val="10"/>
        </w:rPr>
      </w:pPr>
    </w:p>
    <w:p>
      <w:pPr>
        <w:spacing w:before="0"/>
        <w:ind w:left="0" w:right="0" w:firstLine="0"/>
        <w:jc w:val="left"/>
        <w:rPr>
          <w:sz w:val="12"/>
        </w:rPr>
      </w:pPr>
      <w:r>
        <w:rPr>
          <w:color w:val="231F20"/>
          <w:sz w:val="12"/>
        </w:rPr>
        <w:t>3.75</w:t>
      </w:r>
    </w:p>
    <w:p>
      <w:pPr>
        <w:pStyle w:val="BodyText"/>
        <w:spacing w:before="6"/>
        <w:rPr>
          <w:sz w:val="10"/>
        </w:rPr>
      </w:pPr>
    </w:p>
    <w:p>
      <w:pPr>
        <w:spacing w:line="134" w:lineRule="exact" w:before="0"/>
        <w:ind w:left="0" w:right="0" w:firstLine="0"/>
        <w:jc w:val="left"/>
        <w:rPr>
          <w:sz w:val="12"/>
        </w:rPr>
      </w:pPr>
      <w:r>
        <w:rPr>
          <w:color w:val="231F20"/>
          <w:sz w:val="12"/>
        </w:rPr>
        <w:t>3.25</w:t>
      </w:r>
    </w:p>
    <w:p>
      <w:pPr>
        <w:spacing w:line="134" w:lineRule="exact" w:before="0"/>
        <w:ind w:left="-2" w:right="0" w:firstLine="0"/>
        <w:jc w:val="left"/>
        <w:rPr>
          <w:sz w:val="12"/>
        </w:rPr>
      </w:pPr>
      <w:r>
        <w:rPr>
          <w:sz w:val="12"/>
        </w:rPr>
        <w:t>0.00</w:t>
      </w:r>
    </w:p>
    <w:p>
      <w:pPr>
        <w:pStyle w:val="Heading4"/>
        <w:spacing w:line="242" w:lineRule="auto"/>
        <w:ind w:left="286" w:right="557"/>
      </w:pPr>
      <w:r>
        <w:rPr/>
        <w:br w:type="column"/>
      </w:r>
      <w:r>
        <w:rPr/>
        <w:t>this period. In part, this probably reflected lower inflation expectations, as market forecasts for UK and world growth were reduced as a result of the world financial turmoil. But in addition, investors may have preferred the nominal gilt market to the less liquid index-linked market at a time of high uncertainty.</w:t>
      </w:r>
    </w:p>
    <w:p>
      <w:pPr>
        <w:spacing w:line="242" w:lineRule="auto" w:before="4"/>
        <w:ind w:left="286" w:right="267" w:firstLine="0"/>
        <w:jc w:val="left"/>
        <w:rPr>
          <w:sz w:val="24"/>
        </w:rPr>
      </w:pPr>
      <w:r>
        <w:rPr>
          <w:sz w:val="24"/>
        </w:rPr>
        <w:t>Market contacts suggested that the fall in nominal yields was also driven by speculation about hedge fund positions that implied strong short-term future demand for conventional gilts.</w:t>
      </w:r>
    </w:p>
    <w:p>
      <w:pPr>
        <w:pStyle w:val="BodyText"/>
        <w:spacing w:before="9"/>
        <w:rPr>
          <w:sz w:val="24"/>
        </w:rPr>
      </w:pPr>
    </w:p>
    <w:p>
      <w:pPr>
        <w:spacing w:line="250" w:lineRule="exact" w:before="0"/>
        <w:ind w:left="286" w:right="0" w:firstLine="0"/>
        <w:jc w:val="left"/>
        <w:rPr>
          <w:sz w:val="24"/>
        </w:rPr>
      </w:pPr>
      <w:r>
        <w:rPr>
          <w:sz w:val="24"/>
        </w:rPr>
        <w:t>There was a sharp reversal in UK government bond</w:t>
      </w:r>
    </w:p>
    <w:p>
      <w:pPr>
        <w:spacing w:after="0" w:line="250" w:lineRule="exact"/>
        <w:jc w:val="left"/>
        <w:rPr>
          <w:sz w:val="24"/>
        </w:rPr>
        <w:sectPr>
          <w:type w:val="continuous"/>
          <w:pgSz w:w="11900" w:h="16840"/>
          <w:pgMar w:top="1220" w:bottom="280" w:left="620" w:right="520"/>
          <w:cols w:num="4" w:equalWidth="0">
            <w:col w:w="2383" w:space="361"/>
            <w:col w:w="677" w:space="39"/>
            <w:col w:w="252" w:space="982"/>
            <w:col w:w="6066"/>
          </w:cols>
        </w:sectPr>
      </w:pPr>
    </w:p>
    <w:p>
      <w:pPr>
        <w:spacing w:line="134" w:lineRule="exact" w:before="0"/>
        <w:ind w:left="0" w:right="0" w:firstLine="0"/>
        <w:jc w:val="right"/>
        <w:rPr>
          <w:sz w:val="12"/>
        </w:rPr>
      </w:pPr>
      <w:r>
        <w:rPr/>
        <w:pict>
          <v:group style="position:absolute;margin-left:44.841pt;margin-top:-125.700813pt;width:156.4pt;height:110.5pt;mso-position-horizontal-relative:page;mso-position-vertical-relative:paragraph;z-index:15785472" coordorigin="897,-2514" coordsize="3128,2210">
            <v:shape style="position:absolute;left:3314;top:-2439;width:584;height:2135" coordorigin="3315,-2439" coordsize="584,2135" path="m3898,-2439l3777,-2336,3737,-2284,3677,-2267,3637,-2249,3576,-2231,3536,-2214,3476,-2197,3436,-2180,3315,-2201,3436,-1600,3476,-1391,3536,-1181,3576,-972,3637,-846,3677,-720,3737,-594,3777,-498,3898,-304,3898,-2439xe" filled="true" fillcolor="#bfd0e6" stroked="false">
              <v:path arrowok="t"/>
              <v:fill type="solid"/>
            </v:shape>
            <v:shape style="position:absolute;left:3314;top:-2207;width:584;height:1459" coordorigin="3315,-2207" coordsize="584,1459" path="m3315,-2207l3436,-1784,3476,-1620,3536,-1457,3576,-1293,3637,-1185,3677,-1077,3737,-970,3777,-896,3898,-748,3898,-2009,3777,-1985,3737,-1973,3677,-1990,3637,-2006,3576,-2023,3536,-2043,3476,-2062,3436,-2082,3315,-2207xe" filled="true" fillcolor="#8aadd3" stroked="false">
              <v:path arrowok="t"/>
              <v:fill type="solid"/>
            </v:shape>
            <v:shape style="position:absolute;left:3314;top:-2201;width:584;height:1236" coordorigin="3315,-2200" coordsize="584,1236" path="m3315,-2200l3436,-1846,3476,-1709,3536,-1573,3576,-1436,3637,-1342,3677,-1248,3777,-1091,3898,-965,3898,-1764,3777,-1780,3737,-1788,3677,-1823,3637,-1859,3576,-1894,3536,-1938,3476,-1982,3436,-2026,3315,-2200xe" filled="true" fillcolor="#5991c2" stroked="false">
              <v:path arrowok="t"/>
              <v:fill type="solid"/>
            </v:shape>
            <v:shape style="position:absolute;left:3314;top:-2208;width:584;height:1070" coordorigin="3315,-2207" coordsize="584,1070" path="m3315,-2207l3436,-1896,3476,-1779,3536,-1663,3576,-1547,3637,-1464,3677,-1382,3737,-1299,3777,-1245,3898,-1138,3898,-1590,3777,-1635,3737,-1657,3677,-1706,3637,-1755,3576,-1804,3536,-1868,3476,-1932,3436,-1996,3315,-2207xe" filled="true" fillcolor="#0e7ab3" stroked="false">
              <v:path arrowok="t"/>
              <v:fill type="solid"/>
            </v:shape>
            <v:shape style="position:absolute;left:3314;top:-2198;width:584;height:921" coordorigin="3315,-2198" coordsize="584,921" path="m3315,-2198l3436,-1921,3476,-1823,3536,-1724,3576,-1625,3637,-1554,3677,-1482,3737,-1410,3777,-1366,3898,-1277,3898,-1424,3777,-1492,3737,-1526,3677,-1587,3637,-1648,3576,-1709,3536,-1790,3476,-1872,3315,-2198xe" filled="true" fillcolor="#0066a5" stroked="false">
              <v:path arrowok="t"/>
              <v:fill type="solid"/>
            </v:shape>
            <v:shape style="position:absolute;left:3944;top:-2510;width:81;height:2071" coordorigin="3944,-2509" coordsize="81,2071" path="m4025,-439l3953,-439m4016,-697l3944,-697m4025,-956l3953,-956m4025,-1215l3953,-1215m4025,-1474l3953,-1474m4025,-1733l3953,-1733m4025,-1991l3953,-1991m4025,-2250l3953,-2250m4025,-2509l3953,-2509e" filled="false" stroked="true" strokeweight=".5pt" strokecolor="#231f20">
              <v:path arrowok="t"/>
              <v:stroke dashstyle="solid"/>
            </v:shape>
            <v:shape style="position:absolute;left:1016;top:-2001;width:101;height:95" coordorigin="1017,-2000" coordsize="101,95" path="m1057,-2000l1017,-1906m1117,-1957l1057,-2000e" filled="false" stroked="true" strokeweight="1pt" strokecolor="#0066a5">
              <v:path arrowok="t"/>
              <v:stroke dashstyle="solid"/>
            </v:shape>
            <v:line style="position:absolute" from="1107,-1960" to="1168,-1960" stroked="true" strokeweight="1.233pt" strokecolor="#0066a5">
              <v:stroke dashstyle="solid"/>
            </v:line>
            <v:shape style="position:absolute;left:1157;top:-2026;width:161;height:84" coordorigin="1158,-2026" coordsize="161,84" path="m1218,-1987l1158,-1962m1258,-1942l1218,-1987m1319,-2026l1258,-1942e" filled="false" stroked="true" strokeweight="1pt" strokecolor="#0066a5">
              <v:path arrowok="t"/>
              <v:stroke dashstyle="solid"/>
            </v:shape>
            <v:line style="position:absolute" from="1309,-2024" to="1369,-2024" stroked="true" strokeweight="1.160pt" strokecolor="#0066a5">
              <v:stroke dashstyle="solid"/>
            </v:line>
            <v:shape style="position:absolute;left:1358;top:-2023;width:564;height:549" coordorigin="1359,-2023" coordsize="564,549" path="m1419,-1984l1359,-2023m1459,-1992l1419,-1984m1520,-1945l1459,-1992m1580,-1863l1520,-1945m1620,-1802l1580,-1863m1681,-1700l1620,-1802m1721,-1642l1681,-1700m1781,-1611l1721,-1642m1821,-1627l1781,-1611m1882,-1534l1821,-1627m1922,-1474l1882,-1534e" filled="false" stroked="true" strokeweight="1pt" strokecolor="#0066a5">
              <v:path arrowok="t"/>
              <v:stroke dashstyle="solid"/>
            </v:shape>
            <v:line style="position:absolute" from="1912,-1477" to="1992,-1477" stroked="true" strokeweight="1.3pt" strokecolor="#0066a5">
              <v:stroke dashstyle="solid"/>
            </v:line>
            <v:shape style="position:absolute;left:1982;top:-2500;width:1328;height:1020" coordorigin="1982,-2500" coordsize="1328,1020" path="m2043,-1496l1982,-1480m2083,-1583l2043,-1496m2143,-1771l2083,-1583m2183,-1797l2143,-1771m2244,-1781l2183,-1797m2284,-1716l2244,-1781m2344,-1715l2284,-1716m2384,-1810l2344,-1715m2445,-1844l2384,-1810m2505,-1956l2445,-1844m2545,-2111l2505,-1956m2606,-2212l2545,-2111m2646,-2242l2606,-2212m2706,-2266l2646,-2242m2746,-2412l2706,-2266m2807,-2455l2746,-2412m2847,-2379l2807,-2455m2907,-2370l2847,-2379m2968,-2379l2907,-2370m3008,-2357l2968,-2379m3068,-2343l3008,-2357m3068,-2343l3109,-2455m3169,-2500l3109,-2455m3169,-2500l3209,-2473m3209,-2473l3269,-2331m3310,-2201l3269,-2331e" filled="false" stroked="true" strokeweight="1pt" strokecolor="#0066a5">
              <v:path arrowok="t"/>
              <v:stroke dashstyle="solid"/>
            </v:shape>
            <v:shape style="position:absolute;left:896;top:-2319;width:72;height:1780" coordorigin="897,-2318" coordsize="72,1780" path="m969,-539l897,-539m969,-895l897,-895m969,-1250l897,-1250m969,-1606l897,-1606m969,-1962l897,-1962m969,-2318l897,-2318e" filled="false" stroked="true" strokeweight=".5pt" strokecolor="#000000">
              <v:path arrowok="t"/>
              <v:stroke dashstyle="solid"/>
            </v:shape>
            <w10:wrap type="none"/>
          </v:group>
        </w:pict>
      </w:r>
      <w:r>
        <w:rPr/>
        <w:pict>
          <v:group style="position:absolute;margin-left:44.841pt;margin-top:-9.393812pt;width:158.25pt;height:7.7pt;mso-position-horizontal-relative:page;mso-position-vertical-relative:paragraph;z-index:15785984" coordorigin="897,-188" coordsize="3165,154">
            <v:line style="position:absolute" from="4025,-180" to="3953,-180" stroked="true" strokeweight=".5pt" strokecolor="#231f20">
              <v:stroke dashstyle="solid"/>
            </v:line>
            <v:shape style="position:absolute;left:896;top:-183;width:3160;height:149" coordorigin="897,-183" coordsize="3160,149" path="m4036,-174l4036,-148,4016,-132,4056,-118,4016,-98,4056,-81,4033,-71,4032,-48m969,-183l897,-183m973,-176l973,-149,953,-133,993,-119,953,-99,993,-82,969,-72,969,-49m3360,-42l3360,-122m4032,-44l898,-44m1002,-34l1002,-165m1052,-49l1052,-129m1102,-49l1102,-129m1152,-49l1152,-129m1202,-48l1202,-128m1252,-42l1252,-135m1302,-49l1302,-129m1352,-49l1352,-129m1402,-49l1402,-129m1501,-42l1501,-132m1551,-40l1551,-130m1451,-50l1451,-141m1608,-38l1608,-168m1661,-49l1661,-129m1714,-49l1714,-129m1767,-49l1767,-129m1820,-48l1820,-128m1873,-45l1873,-125m1926,-49l1926,-129m1979,-49l1979,-129m2085,-49l2085,-129m2032,-42l2032,-132m2138,-45l2138,-125m2191,-43l2191,-132m2244,-42l2244,-175m2294,-49l2294,-129m2393,-49l2393,-129m2343,-49l2343,-129m2442,-48l2442,-128m2492,-42l2492,-132m2541,-49l2541,-129m2591,-49l2591,-129m2640,-49l2640,-129m2690,-42l2690,-135m2739,-39l2739,-132m2789,-42l2789,-132m2838,-42l2838,-175m2943,-49l2943,-129m2890,-49l2890,-129m2995,-49l2995,-129m3047,-48l3047,-128m3256,-42l3256,-132m3099,-49l3099,-129m3151,-49l3151,-129m3203,-49l3203,-129m3308,-42l3308,-122m3412,-43l3412,-123m3464,-41l3464,-161m3680,-41l3680,-121m3734,-41l3734,-121m3787,-41l3787,-121m3841,-41l3841,-121m3895,-41l3895,-119m3572,-41l3572,-121m3626,-41l3626,-121m3518,-41l3518,-121e" filled="false" stroked="true" strokeweight=".5pt" strokecolor="#000000">
              <v:path arrowok="t"/>
              <v:stroke dashstyle="solid"/>
            </v:shape>
            <w10:wrap type="none"/>
          </v:group>
        </w:pict>
      </w:r>
      <w:r>
        <w:rPr>
          <w:color w:val="231F20"/>
          <w:sz w:val="12"/>
        </w:rPr>
        <w:t>1995</w:t>
      </w:r>
    </w:p>
    <w:p>
      <w:pPr>
        <w:tabs>
          <w:tab w:pos="1028" w:val="left" w:leader="none"/>
        </w:tabs>
        <w:spacing w:line="134" w:lineRule="exact" w:before="0"/>
        <w:ind w:left="394" w:right="0" w:firstLine="0"/>
        <w:jc w:val="left"/>
        <w:rPr>
          <w:sz w:val="12"/>
        </w:rPr>
      </w:pPr>
      <w:r>
        <w:rPr/>
        <w:br w:type="column"/>
      </w:r>
      <w:r>
        <w:rPr>
          <w:color w:val="231F20"/>
          <w:sz w:val="12"/>
        </w:rPr>
        <w:t>96</w:t>
        <w:tab/>
      </w:r>
      <w:r>
        <w:rPr>
          <w:color w:val="231F20"/>
          <w:spacing w:val="-10"/>
          <w:sz w:val="12"/>
        </w:rPr>
        <w:t>97</w:t>
      </w:r>
    </w:p>
    <w:p>
      <w:pPr>
        <w:tabs>
          <w:tab w:pos="957" w:val="left" w:leader="none"/>
        </w:tabs>
        <w:spacing w:line="134" w:lineRule="exact" w:before="0"/>
        <w:ind w:left="426" w:right="0" w:firstLine="0"/>
        <w:jc w:val="left"/>
        <w:rPr>
          <w:sz w:val="12"/>
        </w:rPr>
      </w:pPr>
      <w:r>
        <w:rPr/>
        <w:br w:type="column"/>
      </w:r>
      <w:r>
        <w:rPr>
          <w:color w:val="231F20"/>
          <w:sz w:val="12"/>
        </w:rPr>
        <w:t>98</w:t>
        <w:tab/>
        <w:t>99</w:t>
      </w:r>
    </w:p>
    <w:p>
      <w:pPr>
        <w:pStyle w:val="Heading4"/>
        <w:spacing w:before="31"/>
        <w:ind w:left="569"/>
      </w:pPr>
      <w:r>
        <w:rPr/>
        <w:br w:type="column"/>
      </w:r>
      <w:r>
        <w:rPr/>
        <w:t>yields in the week beginning 5 October (see Chart 1.11).</w:t>
      </w:r>
    </w:p>
    <w:p>
      <w:pPr>
        <w:spacing w:after="0"/>
        <w:sectPr>
          <w:type w:val="continuous"/>
          <w:pgSz w:w="11900" w:h="16840"/>
          <w:pgMar w:top="1220" w:bottom="280" w:left="620" w:right="520"/>
          <w:cols w:num="4" w:equalWidth="0">
            <w:col w:w="810" w:space="40"/>
            <w:col w:w="1149" w:space="39"/>
            <w:col w:w="1118" w:space="1255"/>
            <w:col w:w="6349"/>
          </w:cols>
        </w:sectPr>
      </w:pPr>
    </w:p>
    <w:p>
      <w:pPr>
        <w:spacing w:before="0"/>
        <w:ind w:left="197" w:right="0" w:firstLine="0"/>
        <w:jc w:val="left"/>
        <w:rPr>
          <w:sz w:val="12"/>
        </w:rPr>
      </w:pPr>
      <w:r>
        <w:rPr>
          <w:sz w:val="12"/>
        </w:rPr>
        <w:t>Sources: LIFFE and Bank of England.</w:t>
      </w:r>
    </w:p>
    <w:p>
      <w:pPr>
        <w:pStyle w:val="BodyText"/>
        <w:spacing w:before="1"/>
        <w:rPr>
          <w:sz w:val="10"/>
        </w:rPr>
      </w:pPr>
    </w:p>
    <w:p>
      <w:pPr>
        <w:spacing w:line="208" w:lineRule="auto" w:before="0"/>
        <w:ind w:left="197" w:right="39" w:firstLine="0"/>
        <w:jc w:val="left"/>
        <w:rPr>
          <w:sz w:val="12"/>
        </w:rPr>
      </w:pPr>
      <w:r>
        <w:rPr>
          <w:sz w:val="12"/>
        </w:rPr>
        <w:t>The chart depicts the probability distribution for short-term interest rates and is rather like a contour map. So at any given point, the depth of shading represents the height of the probability density function implied by the markets over a range of outcomes for short-term interest rates. The markets judge that there is a 10% chance of interest rates being within the darkest, central band at any date. Each successive pair of bands covers a further 20% of the probability distribution until 90% of the distribution is covered. The bands widen as the time horizon is extended, indicating increased uncertainty about interest rate outcomes.</w:t>
      </w:r>
    </w:p>
    <w:p>
      <w:pPr>
        <w:pStyle w:val="BodyText"/>
        <w:rPr>
          <w:sz w:val="12"/>
        </w:rPr>
      </w:pPr>
    </w:p>
    <w:p>
      <w:pPr>
        <w:pStyle w:val="BodyText"/>
        <w:rPr>
          <w:sz w:val="12"/>
        </w:rPr>
      </w:pPr>
    </w:p>
    <w:p>
      <w:pPr>
        <w:pStyle w:val="BodyText"/>
        <w:rPr>
          <w:sz w:val="15"/>
        </w:rPr>
      </w:pPr>
    </w:p>
    <w:p>
      <w:pPr>
        <w:pStyle w:val="Heading7"/>
        <w:spacing w:before="0"/>
        <w:ind w:left="214"/>
      </w:pPr>
      <w:r>
        <w:rPr>
          <w:color w:val="0093C1"/>
        </w:rPr>
        <w:t>Chart 1.11</w:t>
      </w:r>
    </w:p>
    <w:p>
      <w:pPr>
        <w:spacing w:line="249" w:lineRule="auto" w:before="10"/>
        <w:ind w:left="214" w:right="282" w:firstLine="0"/>
        <w:jc w:val="left"/>
        <w:rPr>
          <w:b/>
          <w:sz w:val="20"/>
        </w:rPr>
      </w:pPr>
      <w:r>
        <w:rPr>
          <w:b/>
          <w:color w:val="0093C1"/>
          <w:sz w:val="20"/>
        </w:rPr>
        <w:t>Ten-year redemption yield on nominal UK government stock</w:t>
      </w:r>
    </w:p>
    <w:p>
      <w:pPr>
        <w:spacing w:before="117"/>
        <w:ind w:left="3119" w:right="0" w:firstLine="0"/>
        <w:jc w:val="left"/>
        <w:rPr>
          <w:sz w:val="12"/>
        </w:rPr>
      </w:pPr>
      <w:r>
        <w:rPr/>
        <w:pict>
          <v:line style="position:absolute;mso-position-horizontal-relative:page;mso-position-vertical-relative:paragraph;z-index:15787008" from="46.220001pt,13.952158pt" to="41.220001pt,13.952158pt" stroked="true" strokeweight=".5pt" strokecolor="#000000">
            <v:stroke dashstyle="solid"/>
            <w10:wrap type="none"/>
          </v:line>
        </w:pict>
      </w:r>
      <w:r>
        <w:rPr/>
        <w:pict>
          <v:line style="position:absolute;mso-position-horizontal-relative:page;mso-position-vertical-relative:paragraph;z-index:15787520" from="206.220001pt,13.952158pt" to="201.220001pt,13.952158pt" stroked="true" strokeweight=".5pt" strokecolor="#000000">
            <v:stroke dashstyle="solid"/>
            <w10:wrap type="none"/>
          </v:line>
        </w:pict>
      </w:r>
      <w:r>
        <w:rPr>
          <w:sz w:val="12"/>
        </w:rPr>
        <w:t>Per cent</w:t>
      </w:r>
      <w:r>
        <w:rPr>
          <w:spacing w:val="15"/>
          <w:sz w:val="12"/>
        </w:rPr>
        <w:t> </w:t>
      </w:r>
      <w:r>
        <w:rPr>
          <w:position w:val="-5"/>
          <w:sz w:val="12"/>
        </w:rPr>
        <w:t>6.50</w:t>
      </w:r>
    </w:p>
    <w:p>
      <w:pPr>
        <w:pStyle w:val="BodyText"/>
        <w:rPr>
          <w:sz w:val="21"/>
        </w:rPr>
      </w:pPr>
    </w:p>
    <w:p>
      <w:pPr>
        <w:spacing w:before="0"/>
        <w:ind w:left="0" w:right="38" w:firstLine="0"/>
        <w:jc w:val="right"/>
        <w:rPr>
          <w:sz w:val="12"/>
        </w:rPr>
      </w:pPr>
      <w:r>
        <w:rPr/>
        <w:pict>
          <v:group style="position:absolute;margin-left:41.220001pt;margin-top:2.601959pt;width:166.4pt;height:141.75pt;mso-position-horizontal-relative:page;mso-position-vertical-relative:paragraph;z-index:15786496" coordorigin="824,52" coordsize="3328,2835">
            <v:shape style="position:absolute;left:984;top:62;width:1660;height:980" coordorigin="984,62" coordsize="1660,980" path="m984,62l1004,282,1004,342,1024,322,1044,382,1044,462,1064,522,1084,502,1084,442,1104,382,1124,362,1164,362,1184,402,1184,382,1204,362,1224,362,1224,322,1244,362m1244,362l1264,422,1284,362,1284,382,1304,322,1324,342,1344,342,1344,322,1364,442,1384,522,1384,562,1404,562,1424,602,1444,562,1464,562,1484,522,1484,482,1504,442,1524,422m1524,422l1524,422,1544,322,1564,442,1564,322,1584,322,1604,362,1624,422,1624,502,1644,502,1664,482,1664,562,1684,542,1704,602,1724,602,1744,522,1764,602,1784,622m1784,622l1804,602,1824,562,1844,562,1864,622,1864,602,1904,842,1924,842,1924,802,1944,842,1964,842,1964,862,1984,842,2004,802,2004,822,2024,822,2044,802,2064,702m2064,702l2064,702,2084,762,2104,602,2104,622,2124,682,2144,722,2144,862,2164,762,2184,742,2204,662,2204,682,2224,682,2244,642,2244,622,2264,602,2284,522,2304,562,2304,582,2324,662m2324,662l2344,722,2364,842,2384,822m2384,822l2384,822,2404,942,2424,982,2444,962,2444,942,2464,822,2484,842,2504,842,2504,822,2524,942,2544,1042,2564,1042,2584,862,2584,682,2604,682,2624,582,2644,682e" filled="false" stroked="true" strokeweight="1pt" strokecolor="#008256">
              <v:path arrowok="t"/>
              <v:stroke dashstyle="solid"/>
            </v:shape>
            <v:shape style="position:absolute;left:2634;top:652;width:300;height:160" type="#_x0000_t75" stroked="false">
              <v:imagedata r:id="rId28" o:title=""/>
            </v:shape>
            <v:shape style="position:absolute;left:2924;top:562;width:1060;height:2140" coordorigin="2924,562" coordsize="1060,2140" path="m2924,682l2924,682,2944,602,2964,602,2964,562,2984,582,3004,722,3024,822,3024,762,3064,922,3064,942,3084,902,3124,1022,3124,1082,3164,1162,3164,1042,3204,1082,3224,1062,3244,1162,3264,1302,3264,1282,3284,1322,3304,1282,3304,1462,3324,1522,3344,1402,3364,1402,3364,1502,3384,1462,3404,1562,3404,1482,3424,1602,3444,1842,3444,1762m3444,1762l3464,1762,3484,1842,3504,1862,3504,2022,3524,2022,3544,2142,3544,2062,3564,1962,3584,1962,3604,2002,3604,2122,3624,2102,3644,2222,3644,2502,3664,2642,3684,2702,3704,2542,3704,2502,3724,2302m3724,2302l3744,1802,3744,1662,3764,1842,3784,1962m3784,1962l3784,1982,3804,1982,3824,2082,3844,1982,3844,1962,3864,1882,3884,1742,3884,1862,3904,1982,3924,1902,3924,2002,3944,1962,3964,1902,3984,2102,3984,2002e" filled="false" stroked="true" strokeweight="1pt" strokecolor="#008256">
              <v:path arrowok="t"/>
              <v:stroke dashstyle="solid"/>
            </v:shape>
            <v:shape style="position:absolute;left:824;top:102;width:3300;height:2780" coordorigin="824,102" coordsize="3300,2780" path="m924,2362l824,2362m924,2742l824,2742m924,1982l824,1982m924,1602l824,1602m924,1222l824,1222m924,842l824,842m924,482l824,482m924,102l824,102m4124,2362l4024,2362m4124,2742l4024,2742m4124,1982l4024,1982m4124,1602l4024,1602m4124,1222l4024,1222m4124,842l4024,842m4124,482l4024,482m4124,102l4024,102m4124,2882l4024,2882m924,2882l824,2882m984,2882l3984,2882m984,2882l984,2842m1264,2882l1264,2842m1544,2882l1544,2842m1864,2882l1864,2842m2144,2882l2144,2842m2424,2882l2424,2842m3064,2882l3064,2842m3344,2882l3344,2842m3977,2882l3977,2842m984,2762l984,2882m2724,2882l2724,2842m3664,2882l3664,2842m4042,2882l3984,2882e" filled="false" stroked="true" strokeweight=".5pt" strokecolor="#000000">
              <v:path arrowok="t"/>
              <v:stroke dashstyle="solid"/>
            </v:shape>
            <v:shape style="position:absolute;left:906;top:2748;width:3240;height:128" coordorigin="907,2749" coordsize="3240,128" path="m4126,2749l4126,2775,4106,2792,4146,2805,4106,2825,4146,2842,4123,2852,4123,2875m927,2749l927,2776,907,2792,947,2806,907,2826,947,2843,924,2853,923,2876e" filled="false" stroked="true" strokeweight=".5pt" strokecolor="#000000">
              <v:path arrowok="t"/>
              <v:stroke dashstyle="solid"/>
            </v:shape>
            <w10:wrap type="none"/>
          </v:group>
        </w:pict>
      </w:r>
      <w:r>
        <w:rPr>
          <w:sz w:val="12"/>
        </w:rPr>
        <w:t>6.25</w:t>
      </w:r>
    </w:p>
    <w:p>
      <w:pPr>
        <w:pStyle w:val="BodyText"/>
        <w:rPr>
          <w:sz w:val="12"/>
        </w:rPr>
      </w:pPr>
    </w:p>
    <w:p>
      <w:pPr>
        <w:spacing w:before="104"/>
        <w:ind w:left="0" w:right="38" w:firstLine="0"/>
        <w:jc w:val="right"/>
        <w:rPr>
          <w:sz w:val="12"/>
        </w:rPr>
      </w:pPr>
      <w:r>
        <w:rPr>
          <w:sz w:val="12"/>
        </w:rPr>
        <w:t>6.00</w:t>
      </w:r>
    </w:p>
    <w:p>
      <w:pPr>
        <w:pStyle w:val="BodyText"/>
        <w:rPr>
          <w:sz w:val="12"/>
        </w:rPr>
      </w:pPr>
    </w:p>
    <w:p>
      <w:pPr>
        <w:spacing w:before="84"/>
        <w:ind w:left="0" w:right="38" w:firstLine="0"/>
        <w:jc w:val="right"/>
        <w:rPr>
          <w:sz w:val="12"/>
        </w:rPr>
      </w:pPr>
      <w:r>
        <w:rPr>
          <w:sz w:val="12"/>
        </w:rPr>
        <w:t>5.75</w:t>
      </w:r>
    </w:p>
    <w:p>
      <w:pPr>
        <w:pStyle w:val="BodyText"/>
        <w:rPr>
          <w:sz w:val="12"/>
        </w:rPr>
      </w:pPr>
    </w:p>
    <w:p>
      <w:pPr>
        <w:spacing w:before="104"/>
        <w:ind w:left="0" w:right="38" w:firstLine="0"/>
        <w:jc w:val="right"/>
        <w:rPr>
          <w:sz w:val="12"/>
        </w:rPr>
      </w:pPr>
      <w:r>
        <w:rPr>
          <w:sz w:val="12"/>
        </w:rPr>
        <w:t>5.50</w:t>
      </w:r>
    </w:p>
    <w:p>
      <w:pPr>
        <w:pStyle w:val="BodyText"/>
        <w:rPr>
          <w:sz w:val="12"/>
        </w:rPr>
      </w:pPr>
    </w:p>
    <w:p>
      <w:pPr>
        <w:spacing w:before="104"/>
        <w:ind w:left="0" w:right="38" w:firstLine="0"/>
        <w:jc w:val="right"/>
        <w:rPr>
          <w:sz w:val="12"/>
        </w:rPr>
      </w:pPr>
      <w:r>
        <w:rPr>
          <w:sz w:val="12"/>
        </w:rPr>
        <w:t>5.25</w:t>
      </w:r>
    </w:p>
    <w:p>
      <w:pPr>
        <w:pStyle w:val="BodyText"/>
        <w:rPr>
          <w:sz w:val="12"/>
        </w:rPr>
      </w:pPr>
    </w:p>
    <w:p>
      <w:pPr>
        <w:spacing w:before="104"/>
        <w:ind w:left="0" w:right="38" w:firstLine="0"/>
        <w:jc w:val="right"/>
        <w:rPr>
          <w:sz w:val="12"/>
        </w:rPr>
      </w:pPr>
      <w:r>
        <w:rPr>
          <w:sz w:val="12"/>
        </w:rPr>
        <w:t>5.00</w:t>
      </w:r>
    </w:p>
    <w:p>
      <w:pPr>
        <w:pStyle w:val="BodyText"/>
        <w:rPr>
          <w:sz w:val="12"/>
        </w:rPr>
      </w:pPr>
    </w:p>
    <w:p>
      <w:pPr>
        <w:spacing w:before="104"/>
        <w:ind w:left="0" w:right="38" w:firstLine="0"/>
        <w:jc w:val="right"/>
        <w:rPr>
          <w:sz w:val="12"/>
        </w:rPr>
      </w:pPr>
      <w:r>
        <w:rPr>
          <w:sz w:val="12"/>
        </w:rPr>
        <w:t>4.75</w:t>
      </w:r>
    </w:p>
    <w:p>
      <w:pPr>
        <w:pStyle w:val="BodyText"/>
        <w:rPr>
          <w:sz w:val="12"/>
        </w:rPr>
      </w:pPr>
    </w:p>
    <w:p>
      <w:pPr>
        <w:spacing w:before="104"/>
        <w:ind w:left="0" w:right="38" w:firstLine="0"/>
        <w:jc w:val="right"/>
        <w:rPr>
          <w:sz w:val="12"/>
        </w:rPr>
      </w:pPr>
      <w:r>
        <w:rPr>
          <w:sz w:val="12"/>
        </w:rPr>
        <w:t>4.50</w:t>
      </w:r>
    </w:p>
    <w:p>
      <w:pPr>
        <w:pStyle w:val="Heading4"/>
        <w:spacing w:line="242" w:lineRule="auto" w:before="4"/>
        <w:ind w:left="197" w:right="275"/>
      </w:pPr>
      <w:r>
        <w:rPr/>
        <w:br w:type="column"/>
      </w:r>
      <w:r>
        <w:rPr/>
        <w:t>This was influenced by developments in the US bond markets. Additionally, in the United Kingdom, market speculation about hedge funds’ need to buy large amounts of nominal gilts was not realised, which contributed to the fall in gilt prices.</w:t>
      </w:r>
    </w:p>
    <w:p>
      <w:pPr>
        <w:pStyle w:val="BodyText"/>
        <w:spacing w:before="10"/>
        <w:rPr>
          <w:sz w:val="24"/>
        </w:rPr>
      </w:pPr>
    </w:p>
    <w:p>
      <w:pPr>
        <w:spacing w:line="242" w:lineRule="auto" w:before="0"/>
        <w:ind w:left="197" w:right="275" w:firstLine="0"/>
        <w:jc w:val="left"/>
        <w:rPr>
          <w:sz w:val="24"/>
        </w:rPr>
      </w:pPr>
      <w:r>
        <w:rPr>
          <w:sz w:val="24"/>
        </w:rPr>
        <w:t>Government bond yields have followed similar paths across the G7. Overall, nominal yields remain below the levels in August (see Table 1.C).</w:t>
      </w:r>
    </w:p>
    <w:p>
      <w:pPr>
        <w:pStyle w:val="BodyText"/>
        <w:spacing w:before="7"/>
        <w:rPr>
          <w:sz w:val="31"/>
        </w:rPr>
      </w:pPr>
    </w:p>
    <w:p>
      <w:pPr>
        <w:pStyle w:val="Heading5"/>
        <w:ind w:left="197"/>
        <w:rPr>
          <w:i/>
        </w:rPr>
      </w:pPr>
      <w:r>
        <w:rPr>
          <w:i/>
          <w:color w:val="009483"/>
        </w:rPr>
        <w:t>Equity prices</w:t>
      </w:r>
    </w:p>
    <w:p>
      <w:pPr>
        <w:spacing w:line="242" w:lineRule="auto" w:before="164"/>
        <w:ind w:left="197" w:right="275" w:firstLine="0"/>
        <w:jc w:val="left"/>
        <w:rPr>
          <w:sz w:val="24"/>
        </w:rPr>
      </w:pPr>
      <w:r>
        <w:rPr>
          <w:sz w:val="24"/>
        </w:rPr>
        <w:t>The F</w:t>
      </w:r>
      <w:r>
        <w:rPr>
          <w:sz w:val="20"/>
        </w:rPr>
        <w:t>T-SE </w:t>
      </w:r>
      <w:r>
        <w:rPr>
          <w:sz w:val="24"/>
        </w:rPr>
        <w:t>All-Share index fell by around 25% between its peak on 20 July and 5 October, when it reached a low for 1998. But it subsequently rose so that the 15-day average up to 4 November (used as the starting-point for equity prices in the inflation projection) was 2,442— approximately the level of the index at the beginning of 1998. Chart 1.12 shows the correlation between the</w:t>
      </w:r>
    </w:p>
    <w:p>
      <w:pPr>
        <w:spacing w:line="242" w:lineRule="auto" w:before="9"/>
        <w:ind w:left="197" w:right="275" w:firstLine="0"/>
        <w:jc w:val="left"/>
        <w:rPr>
          <w:sz w:val="24"/>
        </w:rPr>
      </w:pPr>
      <w:r>
        <w:rPr>
          <w:sz w:val="24"/>
        </w:rPr>
        <w:t>F</w:t>
      </w:r>
      <w:r>
        <w:rPr>
          <w:sz w:val="20"/>
        </w:rPr>
        <w:t>T-SE </w:t>
      </w:r>
      <w:r>
        <w:rPr>
          <w:sz w:val="24"/>
        </w:rPr>
        <w:t>All-Share and other countries’ share indices. This confirms that the proximate cause of recent movements</w:t>
      </w:r>
    </w:p>
    <w:p>
      <w:pPr>
        <w:spacing w:after="0" w:line="242" w:lineRule="auto"/>
        <w:jc w:val="left"/>
        <w:rPr>
          <w:sz w:val="24"/>
        </w:rPr>
        <w:sectPr>
          <w:type w:val="continuous"/>
          <w:pgSz w:w="11900" w:h="16840"/>
          <w:pgMar w:top="1220" w:bottom="280" w:left="620" w:right="520"/>
          <w:cols w:num="2" w:equalWidth="0">
            <w:col w:w="3805" w:space="977"/>
            <w:col w:w="5978"/>
          </w:cols>
        </w:sectPr>
      </w:pPr>
    </w:p>
    <w:p>
      <w:pPr>
        <w:pStyle w:val="BodyText"/>
        <w:spacing w:before="2"/>
        <w:rPr>
          <w:sz w:val="10"/>
        </w:rPr>
      </w:pPr>
    </w:p>
    <w:p>
      <w:pPr>
        <w:spacing w:before="0"/>
        <w:ind w:left="394" w:right="0" w:firstLine="0"/>
        <w:jc w:val="left"/>
        <w:rPr>
          <w:sz w:val="12"/>
        </w:rPr>
      </w:pPr>
      <w:r>
        <w:rPr>
          <w:sz w:val="12"/>
        </w:rPr>
        <w:t>Jan. Feb. Mar. Apr. May</w:t>
      </w:r>
    </w:p>
    <w:p>
      <w:pPr>
        <w:pStyle w:val="BodyText"/>
        <w:spacing w:before="2"/>
        <w:rPr>
          <w:sz w:val="10"/>
        </w:rPr>
      </w:pPr>
      <w:r>
        <w:rPr/>
        <w:br w:type="column"/>
      </w:r>
      <w:r>
        <w:rPr>
          <w:sz w:val="10"/>
        </w:rPr>
      </w:r>
    </w:p>
    <w:p>
      <w:pPr>
        <w:spacing w:before="0"/>
        <w:ind w:left="60" w:right="0" w:firstLine="0"/>
        <w:jc w:val="left"/>
        <w:rPr>
          <w:sz w:val="12"/>
        </w:rPr>
      </w:pPr>
      <w:r>
        <w:rPr>
          <w:sz w:val="12"/>
        </w:rPr>
        <w:t>June July Aug. Sept. Oct.</w:t>
      </w:r>
    </w:p>
    <w:p>
      <w:pPr>
        <w:tabs>
          <w:tab w:pos="1602" w:val="left" w:leader="none"/>
          <w:tab w:pos="7149" w:val="left" w:leader="none"/>
        </w:tabs>
        <w:spacing w:before="37"/>
        <w:ind w:left="196" w:right="0" w:firstLine="0"/>
        <w:jc w:val="left"/>
        <w:rPr>
          <w:sz w:val="12"/>
        </w:rPr>
      </w:pPr>
      <w:r>
        <w:rPr/>
        <w:br w:type="column"/>
      </w:r>
      <w:r>
        <w:rPr>
          <w:sz w:val="12"/>
        </w:rPr>
        <w:t>0.00</w:t>
        <w:tab/>
      </w:r>
      <w:r>
        <w:rPr>
          <w:sz w:val="12"/>
          <w:u w:val="single"/>
        </w:rPr>
        <w:t> </w:t>
        <w:tab/>
      </w:r>
    </w:p>
    <w:p>
      <w:pPr>
        <w:spacing w:after="0"/>
        <w:jc w:val="left"/>
        <w:rPr>
          <w:sz w:val="12"/>
        </w:rPr>
        <w:sectPr>
          <w:type w:val="continuous"/>
          <w:pgSz w:w="11900" w:h="16840"/>
          <w:pgMar w:top="1220" w:bottom="280" w:left="620" w:right="520"/>
          <w:cols w:num="3" w:equalWidth="0">
            <w:col w:w="1775" w:space="40"/>
            <w:col w:w="1504" w:space="39"/>
            <w:col w:w="7402"/>
          </w:cols>
        </w:sectPr>
      </w:pPr>
    </w:p>
    <w:p>
      <w:pPr>
        <w:pStyle w:val="BodyText"/>
        <w:rPr>
          <w:sz w:val="12"/>
        </w:rPr>
      </w:pPr>
    </w:p>
    <w:p>
      <w:pPr>
        <w:spacing w:before="88"/>
        <w:ind w:left="220" w:right="0" w:firstLine="0"/>
        <w:jc w:val="left"/>
        <w:rPr>
          <w:sz w:val="12"/>
        </w:rPr>
      </w:pPr>
      <w:r>
        <w:rPr>
          <w:sz w:val="12"/>
        </w:rPr>
        <w:t>Source: Bank of England.</w:t>
      </w:r>
    </w:p>
    <w:p>
      <w:pPr>
        <w:spacing w:before="29"/>
        <w:ind w:left="171" w:right="0" w:firstLine="0"/>
        <w:jc w:val="left"/>
        <w:rPr>
          <w:sz w:val="12"/>
        </w:rPr>
      </w:pPr>
      <w:r>
        <w:rPr/>
        <w:br w:type="column"/>
      </w:r>
      <w:r>
        <w:rPr>
          <w:sz w:val="12"/>
        </w:rPr>
        <w:t>1998</w:t>
      </w:r>
    </w:p>
    <w:p>
      <w:pPr>
        <w:spacing w:line="208" w:lineRule="auto" w:before="13"/>
        <w:ind w:left="460" w:right="724" w:hanging="240"/>
        <w:jc w:val="left"/>
        <w:rPr>
          <w:sz w:val="16"/>
        </w:rPr>
      </w:pPr>
      <w:r>
        <w:rPr/>
        <w:br w:type="column"/>
      </w:r>
      <w:r>
        <w:rPr>
          <w:sz w:val="16"/>
        </w:rPr>
        <w:t>(1) For a detailed discussion of international economic and financial developments, see ‘The international environment’ article in the </w:t>
      </w:r>
      <w:r>
        <w:rPr>
          <w:i/>
          <w:sz w:val="16"/>
        </w:rPr>
        <w:t>Quarterly </w:t>
      </w:r>
      <w:r>
        <w:rPr>
          <w:i/>
          <w:sz w:val="16"/>
        </w:rPr>
        <w:t>Bulletin</w:t>
      </w:r>
      <w:r>
        <w:rPr>
          <w:sz w:val="16"/>
        </w:rPr>
        <w:t>, November 1998, pages 314–23.</w:t>
      </w:r>
    </w:p>
    <w:p>
      <w:pPr>
        <w:spacing w:after="0" w:line="208" w:lineRule="auto"/>
        <w:jc w:val="left"/>
        <w:rPr>
          <w:sz w:val="16"/>
        </w:rPr>
        <w:sectPr>
          <w:type w:val="continuous"/>
          <w:pgSz w:w="11900" w:h="16840"/>
          <w:pgMar w:top="1220" w:bottom="280" w:left="620" w:right="520"/>
          <w:cols w:num="3" w:equalWidth="0">
            <w:col w:w="1490" w:space="40"/>
            <w:col w:w="452" w:space="2797"/>
            <w:col w:w="5981"/>
          </w:cols>
        </w:sectPr>
      </w:pPr>
    </w:p>
    <w:p>
      <w:pPr>
        <w:pStyle w:val="BodyText"/>
        <w:rPr>
          <w:sz w:val="20"/>
        </w:rPr>
      </w:pPr>
    </w:p>
    <w:p>
      <w:pPr>
        <w:spacing w:after="0"/>
        <w:rPr>
          <w:sz w:val="20"/>
        </w:rPr>
        <w:sectPr>
          <w:pgSz w:w="11900" w:h="16840"/>
          <w:pgMar w:header="586" w:footer="617" w:top="780" w:bottom="800" w:left="620" w:right="520"/>
        </w:sectPr>
      </w:pPr>
    </w:p>
    <w:p>
      <w:pPr>
        <w:pStyle w:val="BodyText"/>
        <w:spacing w:before="6"/>
        <w:rPr>
          <w:sz w:val="20"/>
        </w:rPr>
      </w:pPr>
    </w:p>
    <w:p>
      <w:pPr>
        <w:pStyle w:val="Heading7"/>
        <w:spacing w:before="0"/>
        <w:ind w:left="160"/>
      </w:pPr>
      <w:bookmarkStart w:name="Property prices" w:id="24"/>
      <w:bookmarkEnd w:id="24"/>
      <w:r>
        <w:rPr>
          <w:b w:val="0"/>
        </w:rPr>
      </w:r>
      <w:bookmarkStart w:name="Exchange rates" w:id="25"/>
      <w:bookmarkEnd w:id="25"/>
      <w:r>
        <w:rPr>
          <w:b w:val="0"/>
        </w:rPr>
      </w:r>
      <w:bookmarkStart w:name="_bookmark6" w:id="26"/>
      <w:bookmarkEnd w:id="26"/>
      <w:r>
        <w:rPr>
          <w:b w:val="0"/>
        </w:rPr>
      </w:r>
      <w:r>
        <w:rPr>
          <w:color w:val="0093C1"/>
        </w:rPr>
        <w:t>Table 1.C</w:t>
      </w:r>
    </w:p>
    <w:p>
      <w:pPr>
        <w:spacing w:before="10"/>
        <w:ind w:left="160" w:right="0" w:firstLine="0"/>
        <w:jc w:val="left"/>
        <w:rPr>
          <w:b/>
          <w:sz w:val="20"/>
        </w:rPr>
      </w:pPr>
      <w:r>
        <w:rPr>
          <w:b/>
          <w:color w:val="0093C1"/>
          <w:sz w:val="20"/>
        </w:rPr>
        <w:t>G7 ten-year bond yields</w:t>
      </w:r>
    </w:p>
    <w:p>
      <w:pPr>
        <w:spacing w:line="150" w:lineRule="exact" w:before="106"/>
        <w:ind w:left="160" w:right="0" w:firstLine="0"/>
        <w:jc w:val="left"/>
        <w:rPr>
          <w:sz w:val="14"/>
        </w:rPr>
      </w:pPr>
      <w:r>
        <w:rPr>
          <w:sz w:val="14"/>
        </w:rPr>
        <w:t>Per cent</w:t>
      </w:r>
    </w:p>
    <w:p>
      <w:pPr>
        <w:spacing w:line="150" w:lineRule="exact" w:before="0"/>
        <w:ind w:left="1451" w:right="0" w:firstLine="0"/>
        <w:jc w:val="left"/>
        <w:rPr>
          <w:sz w:val="12"/>
        </w:rPr>
      </w:pPr>
      <w:r>
        <w:rPr>
          <w:sz w:val="14"/>
          <w:u w:val="single"/>
        </w:rPr>
        <w:t>Rate on 5 Augus</w:t>
      </w:r>
      <w:r>
        <w:rPr>
          <w:sz w:val="14"/>
        </w:rPr>
        <w:t>t </w:t>
      </w:r>
      <w:r>
        <w:rPr>
          <w:sz w:val="14"/>
          <w:u w:val="single"/>
        </w:rPr>
        <w:t>Rate on 4 November</w:t>
      </w:r>
      <w:r>
        <w:rPr>
          <w:sz w:val="14"/>
        </w:rPr>
        <w:t> </w:t>
      </w:r>
      <w:r>
        <w:rPr>
          <w:sz w:val="14"/>
          <w:u w:val="single"/>
        </w:rPr>
        <w:t>Change </w:t>
      </w:r>
      <w:r>
        <w:rPr>
          <w:sz w:val="12"/>
          <w:u w:val="single"/>
        </w:rPr>
        <w:t>(a</w:t>
      </w:r>
      <w:r>
        <w:rPr>
          <w:sz w:val="12"/>
        </w:rPr>
        <w:t>)</w:t>
      </w:r>
    </w:p>
    <w:p>
      <w:pPr>
        <w:pStyle w:val="BodyText"/>
        <w:spacing w:before="10"/>
        <w:rPr>
          <w:sz w:val="10"/>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22"/>
        <w:gridCol w:w="901"/>
        <w:gridCol w:w="1001"/>
        <w:gridCol w:w="686"/>
      </w:tblGrid>
      <w:tr>
        <w:trPr>
          <w:trHeight w:val="147" w:hRule="atLeast"/>
        </w:trPr>
        <w:tc>
          <w:tcPr>
            <w:tcW w:w="1522" w:type="dxa"/>
          </w:tcPr>
          <w:p>
            <w:pPr>
              <w:pStyle w:val="TableParagraph"/>
              <w:spacing w:line="128" w:lineRule="exact"/>
              <w:ind w:left="50"/>
              <w:rPr>
                <w:sz w:val="14"/>
              </w:rPr>
            </w:pPr>
            <w:r>
              <w:rPr>
                <w:sz w:val="14"/>
              </w:rPr>
              <w:t>United Kingdom</w:t>
            </w:r>
          </w:p>
        </w:tc>
        <w:tc>
          <w:tcPr>
            <w:tcW w:w="901" w:type="dxa"/>
          </w:tcPr>
          <w:p>
            <w:pPr>
              <w:pStyle w:val="TableParagraph"/>
              <w:spacing w:line="128" w:lineRule="exact"/>
              <w:ind w:left="244"/>
              <w:rPr>
                <w:sz w:val="14"/>
              </w:rPr>
            </w:pPr>
            <w:r>
              <w:rPr>
                <w:sz w:val="14"/>
              </w:rPr>
              <w:t>5.71</w:t>
            </w:r>
          </w:p>
        </w:tc>
        <w:tc>
          <w:tcPr>
            <w:tcW w:w="1001" w:type="dxa"/>
          </w:tcPr>
          <w:p>
            <w:pPr>
              <w:pStyle w:val="TableParagraph"/>
              <w:spacing w:line="128" w:lineRule="exact"/>
              <w:ind w:right="341"/>
              <w:jc w:val="right"/>
              <w:rPr>
                <w:sz w:val="14"/>
              </w:rPr>
            </w:pPr>
            <w:r>
              <w:rPr>
                <w:sz w:val="14"/>
              </w:rPr>
              <w:t>5.03</w:t>
            </w:r>
          </w:p>
        </w:tc>
        <w:tc>
          <w:tcPr>
            <w:tcW w:w="686" w:type="dxa"/>
          </w:tcPr>
          <w:p>
            <w:pPr>
              <w:pStyle w:val="TableParagraph"/>
              <w:spacing w:line="128" w:lineRule="exact"/>
              <w:ind w:right="47"/>
              <w:jc w:val="right"/>
              <w:rPr>
                <w:sz w:val="14"/>
              </w:rPr>
            </w:pPr>
            <w:r>
              <w:rPr>
                <w:sz w:val="14"/>
              </w:rPr>
              <w:t>-0.68</w:t>
            </w:r>
          </w:p>
        </w:tc>
      </w:tr>
      <w:tr>
        <w:trPr>
          <w:trHeight w:val="140" w:hRule="atLeast"/>
        </w:trPr>
        <w:tc>
          <w:tcPr>
            <w:tcW w:w="1522" w:type="dxa"/>
          </w:tcPr>
          <w:p>
            <w:pPr>
              <w:pStyle w:val="TableParagraph"/>
              <w:spacing w:line="120" w:lineRule="exact"/>
              <w:ind w:left="50"/>
              <w:rPr>
                <w:sz w:val="14"/>
              </w:rPr>
            </w:pPr>
            <w:r>
              <w:rPr>
                <w:sz w:val="14"/>
              </w:rPr>
              <w:t>Canada</w:t>
            </w:r>
          </w:p>
        </w:tc>
        <w:tc>
          <w:tcPr>
            <w:tcW w:w="901" w:type="dxa"/>
          </w:tcPr>
          <w:p>
            <w:pPr>
              <w:pStyle w:val="TableParagraph"/>
              <w:spacing w:line="120" w:lineRule="exact"/>
              <w:ind w:left="244"/>
              <w:rPr>
                <w:sz w:val="14"/>
              </w:rPr>
            </w:pPr>
            <w:r>
              <w:rPr>
                <w:sz w:val="14"/>
              </w:rPr>
              <w:t>5.43</w:t>
            </w:r>
          </w:p>
        </w:tc>
        <w:tc>
          <w:tcPr>
            <w:tcW w:w="1001" w:type="dxa"/>
          </w:tcPr>
          <w:p>
            <w:pPr>
              <w:pStyle w:val="TableParagraph"/>
              <w:spacing w:line="120" w:lineRule="exact"/>
              <w:ind w:right="342"/>
              <w:jc w:val="right"/>
              <w:rPr>
                <w:sz w:val="14"/>
              </w:rPr>
            </w:pPr>
            <w:r>
              <w:rPr>
                <w:sz w:val="14"/>
              </w:rPr>
              <w:t>5.22</w:t>
            </w:r>
          </w:p>
        </w:tc>
        <w:tc>
          <w:tcPr>
            <w:tcW w:w="686" w:type="dxa"/>
          </w:tcPr>
          <w:p>
            <w:pPr>
              <w:pStyle w:val="TableParagraph"/>
              <w:spacing w:line="120" w:lineRule="exact"/>
              <w:ind w:right="47"/>
              <w:jc w:val="right"/>
              <w:rPr>
                <w:sz w:val="14"/>
              </w:rPr>
            </w:pPr>
            <w:r>
              <w:rPr>
                <w:sz w:val="14"/>
              </w:rPr>
              <w:t>-0.20</w:t>
            </w:r>
          </w:p>
        </w:tc>
      </w:tr>
      <w:tr>
        <w:trPr>
          <w:trHeight w:val="140" w:hRule="atLeast"/>
        </w:trPr>
        <w:tc>
          <w:tcPr>
            <w:tcW w:w="1522" w:type="dxa"/>
          </w:tcPr>
          <w:p>
            <w:pPr>
              <w:pStyle w:val="TableParagraph"/>
              <w:spacing w:line="120" w:lineRule="exact"/>
              <w:ind w:left="50"/>
              <w:rPr>
                <w:sz w:val="14"/>
              </w:rPr>
            </w:pPr>
            <w:r>
              <w:rPr>
                <w:sz w:val="14"/>
              </w:rPr>
              <w:t>France</w:t>
            </w:r>
          </w:p>
        </w:tc>
        <w:tc>
          <w:tcPr>
            <w:tcW w:w="901" w:type="dxa"/>
          </w:tcPr>
          <w:p>
            <w:pPr>
              <w:pStyle w:val="TableParagraph"/>
              <w:spacing w:line="120" w:lineRule="exact"/>
              <w:ind w:left="244"/>
              <w:rPr>
                <w:sz w:val="14"/>
              </w:rPr>
            </w:pPr>
            <w:r>
              <w:rPr>
                <w:sz w:val="14"/>
              </w:rPr>
              <w:t>4.70</w:t>
            </w:r>
          </w:p>
        </w:tc>
        <w:tc>
          <w:tcPr>
            <w:tcW w:w="1001" w:type="dxa"/>
          </w:tcPr>
          <w:p>
            <w:pPr>
              <w:pStyle w:val="TableParagraph"/>
              <w:spacing w:line="120" w:lineRule="exact"/>
              <w:ind w:right="341"/>
              <w:jc w:val="right"/>
              <w:rPr>
                <w:sz w:val="14"/>
              </w:rPr>
            </w:pPr>
            <w:r>
              <w:rPr>
                <w:sz w:val="14"/>
              </w:rPr>
              <w:t>4.24</w:t>
            </w:r>
          </w:p>
        </w:tc>
        <w:tc>
          <w:tcPr>
            <w:tcW w:w="686" w:type="dxa"/>
          </w:tcPr>
          <w:p>
            <w:pPr>
              <w:pStyle w:val="TableParagraph"/>
              <w:spacing w:line="120" w:lineRule="exact"/>
              <w:ind w:right="47"/>
              <w:jc w:val="right"/>
              <w:rPr>
                <w:sz w:val="14"/>
              </w:rPr>
            </w:pPr>
            <w:r>
              <w:rPr>
                <w:sz w:val="14"/>
              </w:rPr>
              <w:t>-0.46</w:t>
            </w:r>
          </w:p>
        </w:tc>
      </w:tr>
      <w:tr>
        <w:trPr>
          <w:trHeight w:val="140" w:hRule="atLeast"/>
        </w:trPr>
        <w:tc>
          <w:tcPr>
            <w:tcW w:w="1522" w:type="dxa"/>
          </w:tcPr>
          <w:p>
            <w:pPr>
              <w:pStyle w:val="TableParagraph"/>
              <w:spacing w:line="120" w:lineRule="exact"/>
              <w:ind w:left="50"/>
              <w:rPr>
                <w:sz w:val="14"/>
              </w:rPr>
            </w:pPr>
            <w:r>
              <w:rPr>
                <w:sz w:val="14"/>
              </w:rPr>
              <w:t>Germany</w:t>
            </w:r>
          </w:p>
        </w:tc>
        <w:tc>
          <w:tcPr>
            <w:tcW w:w="901" w:type="dxa"/>
          </w:tcPr>
          <w:p>
            <w:pPr>
              <w:pStyle w:val="TableParagraph"/>
              <w:spacing w:line="120" w:lineRule="exact"/>
              <w:ind w:left="244"/>
              <w:rPr>
                <w:sz w:val="14"/>
              </w:rPr>
            </w:pPr>
            <w:r>
              <w:rPr>
                <w:sz w:val="14"/>
              </w:rPr>
              <w:t>4.59</w:t>
            </w:r>
          </w:p>
        </w:tc>
        <w:tc>
          <w:tcPr>
            <w:tcW w:w="1001" w:type="dxa"/>
          </w:tcPr>
          <w:p>
            <w:pPr>
              <w:pStyle w:val="TableParagraph"/>
              <w:spacing w:line="120" w:lineRule="exact"/>
              <w:ind w:right="341"/>
              <w:jc w:val="right"/>
              <w:rPr>
                <w:sz w:val="14"/>
              </w:rPr>
            </w:pPr>
            <w:r>
              <w:rPr>
                <w:sz w:val="14"/>
              </w:rPr>
              <w:t>4.15</w:t>
            </w:r>
          </w:p>
        </w:tc>
        <w:tc>
          <w:tcPr>
            <w:tcW w:w="686" w:type="dxa"/>
          </w:tcPr>
          <w:p>
            <w:pPr>
              <w:pStyle w:val="TableParagraph"/>
              <w:spacing w:line="120" w:lineRule="exact"/>
              <w:ind w:right="47"/>
              <w:jc w:val="right"/>
              <w:rPr>
                <w:sz w:val="14"/>
              </w:rPr>
            </w:pPr>
            <w:r>
              <w:rPr>
                <w:sz w:val="14"/>
              </w:rPr>
              <w:t>-0.44</w:t>
            </w:r>
          </w:p>
        </w:tc>
      </w:tr>
      <w:tr>
        <w:trPr>
          <w:trHeight w:val="140" w:hRule="atLeast"/>
        </w:trPr>
        <w:tc>
          <w:tcPr>
            <w:tcW w:w="1522" w:type="dxa"/>
          </w:tcPr>
          <w:p>
            <w:pPr>
              <w:pStyle w:val="TableParagraph"/>
              <w:spacing w:line="120" w:lineRule="exact"/>
              <w:ind w:left="50"/>
              <w:rPr>
                <w:sz w:val="14"/>
              </w:rPr>
            </w:pPr>
            <w:r>
              <w:rPr>
                <w:sz w:val="14"/>
              </w:rPr>
              <w:t>Italy</w:t>
            </w:r>
          </w:p>
        </w:tc>
        <w:tc>
          <w:tcPr>
            <w:tcW w:w="901" w:type="dxa"/>
          </w:tcPr>
          <w:p>
            <w:pPr>
              <w:pStyle w:val="TableParagraph"/>
              <w:spacing w:line="120" w:lineRule="exact"/>
              <w:ind w:left="244"/>
              <w:rPr>
                <w:sz w:val="14"/>
              </w:rPr>
            </w:pPr>
            <w:r>
              <w:rPr>
                <w:sz w:val="14"/>
              </w:rPr>
              <w:t>4.90</w:t>
            </w:r>
          </w:p>
        </w:tc>
        <w:tc>
          <w:tcPr>
            <w:tcW w:w="1001" w:type="dxa"/>
          </w:tcPr>
          <w:p>
            <w:pPr>
              <w:pStyle w:val="TableParagraph"/>
              <w:spacing w:line="120" w:lineRule="exact"/>
              <w:ind w:right="342"/>
              <w:jc w:val="right"/>
              <w:rPr>
                <w:sz w:val="14"/>
              </w:rPr>
            </w:pPr>
            <w:r>
              <w:rPr>
                <w:sz w:val="14"/>
              </w:rPr>
              <w:t>4.51</w:t>
            </w:r>
          </w:p>
        </w:tc>
        <w:tc>
          <w:tcPr>
            <w:tcW w:w="686" w:type="dxa"/>
          </w:tcPr>
          <w:p>
            <w:pPr>
              <w:pStyle w:val="TableParagraph"/>
              <w:spacing w:line="120" w:lineRule="exact"/>
              <w:ind w:right="47"/>
              <w:jc w:val="right"/>
              <w:rPr>
                <w:sz w:val="14"/>
              </w:rPr>
            </w:pPr>
            <w:r>
              <w:rPr>
                <w:sz w:val="14"/>
              </w:rPr>
              <w:t>-0.39</w:t>
            </w:r>
          </w:p>
        </w:tc>
      </w:tr>
      <w:tr>
        <w:trPr>
          <w:trHeight w:val="140" w:hRule="atLeast"/>
        </w:trPr>
        <w:tc>
          <w:tcPr>
            <w:tcW w:w="1522" w:type="dxa"/>
          </w:tcPr>
          <w:p>
            <w:pPr>
              <w:pStyle w:val="TableParagraph"/>
              <w:spacing w:line="120" w:lineRule="exact"/>
              <w:ind w:left="50"/>
              <w:rPr>
                <w:sz w:val="14"/>
              </w:rPr>
            </w:pPr>
            <w:r>
              <w:rPr>
                <w:sz w:val="14"/>
              </w:rPr>
              <w:t>Japan</w:t>
            </w:r>
          </w:p>
        </w:tc>
        <w:tc>
          <w:tcPr>
            <w:tcW w:w="901" w:type="dxa"/>
          </w:tcPr>
          <w:p>
            <w:pPr>
              <w:pStyle w:val="TableParagraph"/>
              <w:spacing w:line="120" w:lineRule="exact"/>
              <w:ind w:left="244"/>
              <w:rPr>
                <w:sz w:val="14"/>
              </w:rPr>
            </w:pPr>
            <w:r>
              <w:rPr>
                <w:sz w:val="14"/>
              </w:rPr>
              <w:t>1.54</w:t>
            </w:r>
          </w:p>
        </w:tc>
        <w:tc>
          <w:tcPr>
            <w:tcW w:w="1001" w:type="dxa"/>
          </w:tcPr>
          <w:p>
            <w:pPr>
              <w:pStyle w:val="TableParagraph"/>
              <w:spacing w:line="120" w:lineRule="exact"/>
              <w:ind w:right="342"/>
              <w:jc w:val="right"/>
              <w:rPr>
                <w:sz w:val="14"/>
              </w:rPr>
            </w:pPr>
            <w:r>
              <w:rPr>
                <w:sz w:val="14"/>
              </w:rPr>
              <w:t>0.90</w:t>
            </w:r>
          </w:p>
        </w:tc>
        <w:tc>
          <w:tcPr>
            <w:tcW w:w="686" w:type="dxa"/>
          </w:tcPr>
          <w:p>
            <w:pPr>
              <w:pStyle w:val="TableParagraph"/>
              <w:spacing w:line="120" w:lineRule="exact"/>
              <w:ind w:right="47"/>
              <w:jc w:val="right"/>
              <w:rPr>
                <w:sz w:val="14"/>
              </w:rPr>
            </w:pPr>
            <w:r>
              <w:rPr>
                <w:sz w:val="14"/>
              </w:rPr>
              <w:t>-0.63</w:t>
            </w:r>
          </w:p>
        </w:tc>
      </w:tr>
      <w:tr>
        <w:trPr>
          <w:trHeight w:val="140" w:hRule="atLeast"/>
        </w:trPr>
        <w:tc>
          <w:tcPr>
            <w:tcW w:w="1522" w:type="dxa"/>
          </w:tcPr>
          <w:p>
            <w:pPr>
              <w:pStyle w:val="TableParagraph"/>
              <w:spacing w:line="120" w:lineRule="exact"/>
              <w:ind w:left="50"/>
              <w:rPr>
                <w:sz w:val="14"/>
              </w:rPr>
            </w:pPr>
            <w:r>
              <w:rPr>
                <w:sz w:val="14"/>
              </w:rPr>
              <w:t>United States</w:t>
            </w:r>
          </w:p>
        </w:tc>
        <w:tc>
          <w:tcPr>
            <w:tcW w:w="901" w:type="dxa"/>
          </w:tcPr>
          <w:p>
            <w:pPr>
              <w:pStyle w:val="TableParagraph"/>
              <w:spacing w:line="120" w:lineRule="exact"/>
              <w:ind w:left="244"/>
              <w:rPr>
                <w:sz w:val="14"/>
              </w:rPr>
            </w:pPr>
            <w:r>
              <w:rPr>
                <w:sz w:val="14"/>
              </w:rPr>
              <w:t>5.42</w:t>
            </w:r>
          </w:p>
        </w:tc>
        <w:tc>
          <w:tcPr>
            <w:tcW w:w="1001" w:type="dxa"/>
          </w:tcPr>
          <w:p>
            <w:pPr>
              <w:pStyle w:val="TableParagraph"/>
              <w:spacing w:line="120" w:lineRule="exact"/>
              <w:ind w:right="341"/>
              <w:jc w:val="right"/>
              <w:rPr>
                <w:sz w:val="14"/>
              </w:rPr>
            </w:pPr>
            <w:r>
              <w:rPr>
                <w:sz w:val="14"/>
              </w:rPr>
              <w:t>4.88</w:t>
            </w:r>
          </w:p>
        </w:tc>
        <w:tc>
          <w:tcPr>
            <w:tcW w:w="686" w:type="dxa"/>
          </w:tcPr>
          <w:p>
            <w:pPr>
              <w:pStyle w:val="TableParagraph"/>
              <w:spacing w:line="120" w:lineRule="exact"/>
              <w:ind w:right="47"/>
              <w:jc w:val="right"/>
              <w:rPr>
                <w:sz w:val="14"/>
              </w:rPr>
            </w:pPr>
            <w:r>
              <w:rPr>
                <w:sz w:val="14"/>
              </w:rPr>
              <w:t>-0.54</w:t>
            </w:r>
          </w:p>
        </w:tc>
      </w:tr>
      <w:tr>
        <w:trPr>
          <w:trHeight w:val="140" w:hRule="atLeast"/>
        </w:trPr>
        <w:tc>
          <w:tcPr>
            <w:tcW w:w="1522" w:type="dxa"/>
          </w:tcPr>
          <w:p>
            <w:pPr>
              <w:pStyle w:val="TableParagraph"/>
              <w:spacing w:line="120" w:lineRule="exact"/>
              <w:ind w:left="50"/>
              <w:rPr>
                <w:sz w:val="14"/>
              </w:rPr>
            </w:pPr>
            <w:r>
              <w:rPr>
                <w:sz w:val="14"/>
              </w:rPr>
              <w:t>G7 average excluding</w:t>
            </w:r>
          </w:p>
        </w:tc>
        <w:tc>
          <w:tcPr>
            <w:tcW w:w="901" w:type="dxa"/>
          </w:tcPr>
          <w:p>
            <w:pPr>
              <w:pStyle w:val="TableParagraph"/>
              <w:rPr>
                <w:sz w:val="8"/>
              </w:rPr>
            </w:pPr>
          </w:p>
        </w:tc>
        <w:tc>
          <w:tcPr>
            <w:tcW w:w="1001" w:type="dxa"/>
          </w:tcPr>
          <w:p>
            <w:pPr>
              <w:pStyle w:val="TableParagraph"/>
              <w:rPr>
                <w:sz w:val="8"/>
              </w:rPr>
            </w:pPr>
          </w:p>
        </w:tc>
        <w:tc>
          <w:tcPr>
            <w:tcW w:w="686" w:type="dxa"/>
          </w:tcPr>
          <w:p>
            <w:pPr>
              <w:pStyle w:val="TableParagraph"/>
              <w:rPr>
                <w:sz w:val="8"/>
              </w:rPr>
            </w:pPr>
          </w:p>
        </w:tc>
      </w:tr>
      <w:tr>
        <w:trPr>
          <w:trHeight w:val="363" w:hRule="atLeast"/>
        </w:trPr>
        <w:tc>
          <w:tcPr>
            <w:tcW w:w="1522" w:type="dxa"/>
          </w:tcPr>
          <w:p>
            <w:pPr>
              <w:pStyle w:val="TableParagraph"/>
              <w:spacing w:line="148" w:lineRule="exact"/>
              <w:ind w:left="120"/>
              <w:rPr>
                <w:sz w:val="12"/>
              </w:rPr>
            </w:pPr>
            <w:r>
              <w:rPr>
                <w:sz w:val="14"/>
              </w:rPr>
              <w:t>United Kingdom </w:t>
            </w:r>
            <w:r>
              <w:rPr>
                <w:sz w:val="12"/>
              </w:rPr>
              <w:t>(b)</w:t>
            </w:r>
          </w:p>
          <w:p>
            <w:pPr>
              <w:pStyle w:val="TableParagraph"/>
              <w:spacing w:line="118" w:lineRule="exact" w:before="78"/>
              <w:ind w:left="50"/>
              <w:rPr>
                <w:sz w:val="12"/>
              </w:rPr>
            </w:pPr>
            <w:r>
              <w:rPr>
                <w:sz w:val="12"/>
              </w:rPr>
              <w:t>Source: Datastream</w:t>
            </w:r>
          </w:p>
        </w:tc>
        <w:tc>
          <w:tcPr>
            <w:tcW w:w="901" w:type="dxa"/>
          </w:tcPr>
          <w:p>
            <w:pPr>
              <w:pStyle w:val="TableParagraph"/>
              <w:spacing w:line="148" w:lineRule="exact"/>
              <w:ind w:left="244"/>
              <w:rPr>
                <w:sz w:val="14"/>
              </w:rPr>
            </w:pPr>
            <w:r>
              <w:rPr>
                <w:sz w:val="14"/>
              </w:rPr>
              <w:t>4.47</w:t>
            </w:r>
          </w:p>
        </w:tc>
        <w:tc>
          <w:tcPr>
            <w:tcW w:w="1001" w:type="dxa"/>
          </w:tcPr>
          <w:p>
            <w:pPr>
              <w:pStyle w:val="TableParagraph"/>
              <w:spacing w:line="148" w:lineRule="exact"/>
              <w:ind w:right="341"/>
              <w:jc w:val="right"/>
              <w:rPr>
                <w:sz w:val="14"/>
              </w:rPr>
            </w:pPr>
            <w:r>
              <w:rPr>
                <w:sz w:val="14"/>
              </w:rPr>
              <w:t>3.96</w:t>
            </w:r>
          </w:p>
        </w:tc>
        <w:tc>
          <w:tcPr>
            <w:tcW w:w="686" w:type="dxa"/>
          </w:tcPr>
          <w:p>
            <w:pPr>
              <w:pStyle w:val="TableParagraph"/>
              <w:spacing w:line="148" w:lineRule="exact"/>
              <w:ind w:right="47"/>
              <w:jc w:val="right"/>
              <w:rPr>
                <w:sz w:val="14"/>
              </w:rPr>
            </w:pPr>
            <w:r>
              <w:rPr>
                <w:sz w:val="14"/>
              </w:rPr>
              <w:t>-0.51</w:t>
            </w:r>
          </w:p>
        </w:tc>
      </w:tr>
    </w:tbl>
    <w:p>
      <w:pPr>
        <w:pStyle w:val="ListParagraph"/>
        <w:numPr>
          <w:ilvl w:val="0"/>
          <w:numId w:val="6"/>
        </w:numPr>
        <w:tabs>
          <w:tab w:pos="400" w:val="left" w:leader="none"/>
        </w:tabs>
        <w:spacing w:line="129" w:lineRule="exact" w:before="102" w:after="0"/>
        <w:ind w:left="399" w:right="0" w:hanging="240"/>
        <w:jc w:val="left"/>
        <w:rPr>
          <w:sz w:val="12"/>
        </w:rPr>
      </w:pPr>
      <w:r>
        <w:rPr>
          <w:sz w:val="12"/>
        </w:rPr>
        <w:t>Columns may not sum because of rounding.</w:t>
      </w:r>
    </w:p>
    <w:p>
      <w:pPr>
        <w:pStyle w:val="ListParagraph"/>
        <w:numPr>
          <w:ilvl w:val="0"/>
          <w:numId w:val="6"/>
        </w:numPr>
        <w:tabs>
          <w:tab w:pos="401" w:val="left" w:leader="none"/>
        </w:tabs>
        <w:spacing w:line="129" w:lineRule="exact" w:before="0" w:after="0"/>
        <w:ind w:left="400" w:right="0" w:hanging="241"/>
        <w:jc w:val="left"/>
        <w:rPr>
          <w:sz w:val="12"/>
        </w:rPr>
      </w:pPr>
      <w:r>
        <w:rPr>
          <w:sz w:val="12"/>
        </w:rPr>
        <w:t>GDP-weighted.</w:t>
      </w:r>
    </w:p>
    <w:p>
      <w:pPr>
        <w:pStyle w:val="Heading4"/>
        <w:spacing w:line="242" w:lineRule="auto" w:before="207"/>
        <w:ind w:left="160" w:right="251"/>
      </w:pPr>
      <w:r>
        <w:rPr/>
        <w:br w:type="column"/>
      </w:r>
      <w:r>
        <w:rPr/>
        <w:t>in UK equity prices has been international developments. Equity prices are positively related to expectations about future profits, but are negatively related to risk. The financial problems that originated in emerging markets probably reduced profit expectations and raised the perceived risk of holding equities. But it is likely that monetary policy loosening and anticipation of further easing in some parts of the industrialised world helped to ease these concerns, so that equity prices rose again in October and early November. The MPC assumes that there is a greater risk of a fall in equity prices than of a further rise, relative to the central case.</w:t>
      </w:r>
    </w:p>
    <w:p>
      <w:pPr>
        <w:spacing w:after="0" w:line="242" w:lineRule="auto"/>
        <w:sectPr>
          <w:type w:val="continuous"/>
          <w:pgSz w:w="11900" w:h="16840"/>
          <w:pgMar w:top="1220" w:bottom="280" w:left="620" w:right="520"/>
          <w:cols w:num="2" w:equalWidth="0">
            <w:col w:w="4456" w:space="344"/>
            <w:col w:w="5960"/>
          </w:cols>
        </w:sectPr>
      </w:pPr>
    </w:p>
    <w:p>
      <w:pPr>
        <w:pStyle w:val="BodyText"/>
        <w:spacing w:before="9"/>
        <w:rPr>
          <w:sz w:val="24"/>
        </w:rPr>
      </w:pPr>
    </w:p>
    <w:p>
      <w:pPr>
        <w:spacing w:after="0"/>
        <w:rPr>
          <w:sz w:val="24"/>
        </w:rPr>
        <w:sectPr>
          <w:type w:val="continuous"/>
          <w:pgSz w:w="11900" w:h="16840"/>
          <w:pgMar w:top="1220" w:bottom="280" w:left="620" w:right="520"/>
        </w:sectPr>
      </w:pPr>
    </w:p>
    <w:p>
      <w:pPr>
        <w:pStyle w:val="BodyText"/>
        <w:rPr>
          <w:sz w:val="22"/>
        </w:rPr>
      </w:pPr>
    </w:p>
    <w:p>
      <w:pPr>
        <w:pStyle w:val="BodyText"/>
        <w:rPr>
          <w:sz w:val="22"/>
        </w:rPr>
      </w:pPr>
    </w:p>
    <w:p>
      <w:pPr>
        <w:pStyle w:val="Heading7"/>
        <w:spacing w:before="154"/>
        <w:ind w:left="185"/>
      </w:pPr>
      <w:r>
        <w:rPr>
          <w:color w:val="0093C1"/>
        </w:rPr>
        <w:t>Chart 1.12</w:t>
      </w:r>
    </w:p>
    <w:p>
      <w:pPr>
        <w:spacing w:before="10"/>
        <w:ind w:left="185" w:right="0" w:firstLine="0"/>
        <w:jc w:val="left"/>
        <w:rPr>
          <w:sz w:val="12"/>
        </w:rPr>
      </w:pPr>
      <w:r>
        <w:rPr>
          <w:b/>
          <w:color w:val="0093C1"/>
          <w:sz w:val="20"/>
        </w:rPr>
        <w:t>UK, US and German equity prices</w:t>
      </w:r>
      <w:r>
        <w:rPr>
          <w:position w:val="4"/>
          <w:sz w:val="12"/>
        </w:rPr>
        <w:t>(a)</w:t>
      </w:r>
    </w:p>
    <w:p>
      <w:pPr>
        <w:spacing w:before="125"/>
        <w:ind w:left="0" w:right="0" w:firstLine="0"/>
        <w:jc w:val="right"/>
        <w:rPr>
          <w:sz w:val="12"/>
        </w:rPr>
      </w:pPr>
      <w:r>
        <w:rPr>
          <w:sz w:val="12"/>
        </w:rPr>
        <w:t>2 Jan. 1998 = 100</w:t>
      </w:r>
    </w:p>
    <w:p>
      <w:pPr>
        <w:tabs>
          <w:tab w:pos="3430" w:val="left" w:leader="none"/>
        </w:tabs>
        <w:spacing w:line="20" w:lineRule="exact"/>
        <w:ind w:left="190" w:right="-72" w:firstLine="0"/>
        <w:rPr>
          <w:sz w:val="2"/>
        </w:rPr>
      </w:pPr>
      <w:r>
        <w:rPr>
          <w:sz w:val="2"/>
        </w:rPr>
        <w:pict>
          <v:group style="width:5pt;height:.5pt;mso-position-horizontal-relative:char;mso-position-vertical-relative:line" coordorigin="0,0" coordsize="100,10">
            <v:shape style="position:absolute;left:0;top:5;width:100;height:2" coordorigin="0,5" coordsize="100,0" path="m100,5l0,5m100,5l0,5e" filled="false" stroked="true" strokeweight=".5pt" strokecolor="#000000">
              <v:path arrowok="t"/>
              <v:stroke dashstyle="solid"/>
            </v:shape>
          </v:group>
        </w:pict>
      </w:r>
      <w:r>
        <w:rPr>
          <w:sz w:val="2"/>
        </w:rPr>
      </w:r>
      <w:r>
        <w:rPr>
          <w:sz w:val="2"/>
        </w:rPr>
        <w:tab/>
      </w:r>
      <w:r>
        <w:rPr>
          <w:sz w:val="2"/>
        </w:rPr>
        <w:pict>
          <v:group style="width:5pt;height:.5pt;mso-position-horizontal-relative:char;mso-position-vertical-relative:line" coordorigin="0,0" coordsize="100,10">
            <v:shape style="position:absolute;left:0;top:5;width:100;height:2" coordorigin="0,5" coordsize="100,0" path="m100,5l0,5m100,5l0,5e" filled="false" stroked="true" strokeweight=".5pt" strokecolor="#000000">
              <v:path arrowok="t"/>
              <v:stroke dashstyle="solid"/>
            </v:shape>
          </v:group>
        </w:pict>
      </w:r>
      <w:r>
        <w:rPr>
          <w:sz w:val="2"/>
        </w:rPr>
      </w:r>
    </w:p>
    <w:p>
      <w:pPr>
        <w:pStyle w:val="BodyText"/>
        <w:spacing w:before="6"/>
        <w:rPr>
          <w:sz w:val="14"/>
        </w:rPr>
      </w:pPr>
      <w:r>
        <w:rPr/>
        <w:pict>
          <v:group style="position:absolute;margin-left:40.779999pt;margin-top:10.347891pt;width:167pt;height:120.35pt;mso-position-horizontal-relative:page;mso-position-vertical-relative:paragraph;z-index:-15666688;mso-wrap-distance-left:0;mso-wrap-distance-right:0" coordorigin="816,207" coordsize="3340,2407">
            <v:shape style="position:absolute;left:815;top:1303;width:100;height:1280" coordorigin="816,1304" coordsize="100,1280" path="m916,2584l816,2584m916,2144l816,2144m916,1724l816,1724m916,1304l816,1304e" filled="false" stroked="true" strokeweight=".5pt" strokecolor="#000000">
              <v:path arrowok="t"/>
              <v:stroke dashstyle="solid"/>
            </v:shape>
            <v:shape style="position:absolute;left:975;top:1343;width:3020;height:1260" coordorigin="976,1344" coordsize="3020,1260" path="m976,2144l996,2104,1016,2104,1036,2124,1036,2104,1056,2184,1076,2224,1096,2204,1116,2164,1116,2104,1136,2084,1176,2084,1176,2104,1196,2164,1216,2124,1216,2064,1236,2024,1256,2004,1256,1964,1276,1884,1296,1864,1316,1864,1336,1844,1356,1864,1376,1844,1396,1884,1416,1864,1416,1844,1436,1784,1456,1764,1456,1784,1476,1744,1496,1784,1516,1804,1516,1744,1556,1704,1556,1664,1576,1664,1596,1724,1596,1744,1616,1684,1636,1664,1656,1664,1656,1644,1676,1664,1696,1664,1736,1584,1756,1504,1756,1524,1776,1524,1796,1504,1816,1544,1836,1524,1836,1544,1856,1544,1876,1484,1896,1464,1896,1444,1916,1424,1936,1424,1956,1464,1956,1424,1976,1424,1996,1444,1996,1484,2016,1544,2036,1524,2056,1524,2096,1564,2096,1664,2116,1604,2136,1584,2136,1524,2156,1464,2176,1464,2196,1504,2236,1424,2236,1464,2276,1464,2276,1484,2296,1544,2316,1524,2316,1484,2376,1424,2376,1504,2416,1504,2416,1524,2436,1524,2456,1484,2476,1504,2476,1444,2496,1384,2536,1424,2536,1504,2576,1624,2596,1564,2616,1584,2616,1644,2636,1664,2656,1644,2656,1624,2676,1584,2696,1564,2716,1564,2716,1604,2736,1544,2756,1524,2756,1484,2816,1484,2816,1504,2836,1524,2856,1504,2856,1424,2876,1384,2896,1404,2896,1364,2916,1344,2936,1384,2956,1484,2956,1504,2996,1624,3016,1624,3036,1564,3056,1624,3056,1644,3076,1684,3096,1784,3096,1804,3116,1744,3136,1804,3156,1924,3176,1964,3196,1924,3216,1824,3236,1784,3236,1804,3256,1944,3296,1824,3296,1904,3316,2044,3336,2144,3336,2224,3356,2164,3376,2244,3396,2224,3396,2084,3416,2084,3436,2104,3436,2224,3456,2244,3476,2144,3476,2124,3496,2124,3516,2224,3536,2284,3536,2344,3556,2284,3576,2204,3576,2224,3596,2304,3616,2284,3636,2304,3676,2544,3676,2604,3696,2484,3716,2504,3736,2604,3736,2524,3756,2364,3776,2404,3776,2364,3796,2344,3816,2264,3816,2304,3836,2184,3856,2204,3876,2184,3876,2204,3896,2184,3916,2104,3916,2144,3956,2024,3956,1964,3976,1964,3996,1884e" filled="false" stroked="true" strokeweight="1pt" strokecolor="#ed1b2d">
              <v:path arrowok="t"/>
              <v:stroke dashstyle="solid"/>
            </v:shape>
            <v:shape style="position:absolute;left:975;top:1403;width:3020;height:960" coordorigin="976,1404" coordsize="3020,960" path="m976,2144l996,2144,1016,2184,1036,2184,1036,2244,1056,2364,1076,2324,1076,2284,1096,2244,1116,2304,1116,2264,1136,2264,1156,2204,1176,2244,1176,2284,1196,2304,1216,2284,1216,2224,1256,2144,1256,2184,1276,2064,1296,2044,1316,2064,1336,2024,1356,2044,1376,1964,1396,1924,1436,1924,1456,1884,1456,1924,1476,1904,1496,1904,1516,1924,1516,1884,1556,1844,1556,1824,1576,1804,1596,1844,1596,1884,1616,1824,1636,1824,1656,1784,1656,1764,1696,1804,1696,1744,1736,1704,1756,1704,1756,1644,1776,1684,1796,1644,1816,1684,1836,1704,1856,1704,1876,1664,1896,1604,1916,1564,1936,1624,1956,1644,1956,1604,1976,1544,1996,1504,1996,1564,2016,1504,2036,1524,2036,1484,2076,1524,2096,1564,2096,1644,2116,1644,2136,1624,2136,1564,2156,1524,2176,1524,2176,1564,2196,1604,2216,1564,2236,1544,2236,1504,2256,1484,2276,1504,2276,1544,2296,1564,2316,1564,2316,1504,2336,1524,2356,1524,2376,1604,2376,1624,2396,1604,2416,1644,2436,1644,2456,1704,2476,1664,2476,1564,2516,1564,2536,1604,2536,1684,2556,1684,2576,1804,2576,1784,2596,1684,2616,1684,2616,1744,2636,1744,2656,1684,2656,1644,2676,1624,2696,1624,2716,1584,2716,1624,2736,1564,2756,1584,2776,1544,2796,1544,2816,1504,2816,1544,2856,1544,2856,1464,2876,1464,2896,1424,2896,1404,2916,1424,2936,1484,2956,1524,2956,1624,2976,1624,2996,1584,2996,1624,3016,1644,3036,1584,3056,1664,3056,1704,3076,1864,3096,1844,3096,1824,3116,1804,3136,1824,3156,1884,3156,1824,3176,1884,3196,1904,3196,1824,3216,1744,3236,1764,3236,1804,3256,1844,3296,1804,3296,1844,3316,2044,3336,2104,3336,2224,3356,2244,3376,2304,3396,2324,3416,2124,3436,2204,3436,2344,3456,2244,3476,2164,3476,2124,3496,2084,3516,2204,3536,2184,3536,2164,3556,2184,3576,2044,3576,2124,3596,2124,3616,2064,3616,2084,3636,2224,3656,2324,3676,2244,3676,2284,3696,2264,3716,2264,3736,2284,3736,2184,3756,2124,3776,2164,3776,2144,3796,1964,3816,1904,3816,1884,3856,1844,3876,1844,3876,1884,3896,1904,3916,1944,3936,1864,3956,1824,3956,1744,3976,1744,3996,1704e" filled="false" stroked="true" strokeweight="1pt" strokecolor="#0066a5">
              <v:path arrowok="t"/>
              <v:stroke dashstyle="solid"/>
            </v:shape>
            <v:shape style="position:absolute;left:815;top:423;width:100;height:440" coordorigin="816,424" coordsize="100,440" path="m916,864l816,864m916,424l816,424e" filled="false" stroked="true" strokeweight=".5pt" strokecolor="#000000">
              <v:path arrowok="t"/>
              <v:stroke dashstyle="solid"/>
            </v:shape>
            <v:shape style="position:absolute;left:975;top:303;width:3020;height:2260" coordorigin="976,304" coordsize="3020,2260" path="m976,2144l996,2084,1016,2104,1036,2084,1036,2124,1056,2224,1076,2384,1076,2304,1096,2284,1116,2324,1116,2284,1136,2184,1156,2164,1176,2184,1176,2244,1196,2224,1216,2244,1216,2184,1236,2084,1256,2044,1256,2024,1276,1944,1296,1924,1316,1984,1316,1924,1336,1964,1356,1904,1376,1944,1376,1884,1416,1964,1416,1944,1436,1864,1456,1844,1456,1884,1476,1864,1496,1804,1516,1864,1516,1824,1536,1784,1556,1764,1556,1724,1576,1704,1596,1764,1596,1844,1616,1744,1636,1684,1656,1644,1676,1624,1696,1584,1716,1524,1736,1544,1756,1544,1756,1464,1776,1504,1796,1444,1796,1364,1816,1424,1836,1384,1836,1464,1856,1364,1876,1304,1896,1284,1896,1244,1916,1204,1936,1104,1956,1204,1956,1164,1976,1104,1996,1084,1996,1144,2016,1204,2036,1024,2036,1084,2056,1104,2076,1224,2096,1324,2096,1384,2116,1444,2136,1364,2156,1364,2176,1244,2196,1284,2236,1124,2236,1164,2256,1084,2276,1104,2276,1084,2296,1124,2316,1084,2316,964,2336,964,2356,904,2376,824,2376,984,2396,984,2436,824,2456,864,2476,884,2476,784,2496,684,2536,724,2556,804,2576,944,2576,884,2596,764,2616,764,2636,824,2656,764,2656,684,2676,604,2696,604,2716,564,2736,564,2756,964,2756,524,2776,544,2816,464,2816,484,2836,484,2856,444,2856,384,2876,364,2896,384,2896,324,2916,304,2936,304,2956,364,2956,404,2976,444,2996,584,3016,624,3036,584,3056,604,3056,704,3076,724,3096,844,3096,944,3116,884,3136,1004,3156,1204,3156,1064,3176,1124,3196,1024,3216,904,3236,884,3236,984,3256,1304,3276,1244,3296,1104,3296,1244,3316,1404,3336,1484,3336,1684,3356,1504,3376,1664,3396,1644,3396,1544,3416,1364,3436,1424,3436,1724,3456,1724,3476,1564,3476,1644,3496,1604,3516,1804,3536,1864,3536,2044,3556,1884,3576,1764,3576,1824,3596,1904,3616,1804,3616,1884,3636,1984,3676,2504,3676,2424,3696,2304,3716,2384,3736,2564,3736,2484,3756,2244,3776,2184,3776,2144,3816,1984,3816,2004,3836,1864,3856,1944,3876,2004,3876,2024,3896,1884,3916,1784,3916,1924,3936,1924,3956,1804,3956,1704,3976,1764,3996,1624e" filled="false" stroked="true" strokeweight="1pt" strokecolor="#faab54">
              <v:path arrowok="t"/>
              <v:stroke dashstyle="solid"/>
            </v:shape>
            <v:shape style="position:absolute;left:815;top:423;width:3340;height:2160" coordorigin="816,424" coordsize="3340,2160" path="m916,2584l816,2584m916,2144l816,2144m916,1724l816,1724m916,1304l816,1304m916,864l816,864m916,424l816,424m4156,2584l4056,2584m4156,2144l4056,2144m4156,1724l4056,1724m4156,1304l4056,1304m4156,864l4056,864m4156,424l4056,424m4156,2584l4056,2584m4156,2144l4056,2144m4156,1724l4056,1724m4156,1304l4056,1304m4156,864l4056,864m4156,424l4056,424e" filled="false" stroked="true" strokeweight=".5pt" strokecolor="#000000">
              <v:path arrowok="t"/>
              <v:stroke dashstyle="solid"/>
            </v:shape>
            <v:line style="position:absolute" from="1966,756" to="2426,1316" stroked="true" strokeweight=".5pt" strokecolor="#231f20">
              <v:stroke dashstyle="solid"/>
            </v:line>
            <v:shape style="position:absolute;left:2395;top:1286;width:74;height:82" coordorigin="2396,1287" coordsize="74,82" path="m2435,1287l2396,1319,2411,1327,2422,1333,2469,1368,2464,1360,2460,1351,2454,1340,2449,1327,2445,1316,2435,1287xe" filled="true" fillcolor="#000000" stroked="false">
              <v:path arrowok="t"/>
              <v:fill type="solid"/>
            </v:shape>
            <v:line style="position:absolute" from="1872,1794" to="1932,2087" stroked="true" strokeweight=".5pt" strokecolor="#000000">
              <v:stroke dashstyle="solid"/>
            </v:line>
            <v:shape style="position:absolute;left:1850;top:1727;width:50;height:89" coordorigin="1851,1728" coordsize="50,89" path="m1859,1728l1859,1736,1859,1747,1858,1759,1857,1773,1856,1785,1851,1816,1900,1805,1866,1746,1862,1736,1859,1728xe" filled="true" fillcolor="#000000" stroked="false">
              <v:path arrowok="t"/>
              <v:fill type="solid"/>
            </v:shape>
            <v:shape style="position:absolute;left:2065;top:206;width:764;height:133" type="#_x0000_t202" filled="false" stroked="false">
              <v:textbox inset="0,0,0,0">
                <w:txbxContent>
                  <w:p>
                    <w:pPr>
                      <w:spacing w:line="133" w:lineRule="exact" w:before="0"/>
                      <w:ind w:left="0" w:right="0" w:firstLine="0"/>
                      <w:jc w:val="left"/>
                      <w:rPr>
                        <w:sz w:val="12"/>
                      </w:rPr>
                    </w:pPr>
                    <w:r>
                      <w:rPr>
                        <w:sz w:val="12"/>
                      </w:rPr>
                      <w:t>Frankfurt DAX</w:t>
                    </w:r>
                  </w:p>
                </w:txbxContent>
              </v:textbox>
              <w10:wrap type="none"/>
            </v:shape>
            <v:shape style="position:absolute;left:1532;top:486;width:547;height:253" type="#_x0000_t202" filled="false" stroked="false">
              <v:textbox inset="0,0,0,0">
                <w:txbxContent>
                  <w:p>
                    <w:pPr>
                      <w:spacing w:line="124" w:lineRule="exact" w:before="0"/>
                      <w:ind w:left="0" w:right="0" w:firstLine="0"/>
                      <w:jc w:val="left"/>
                      <w:rPr>
                        <w:sz w:val="12"/>
                      </w:rPr>
                    </w:pPr>
                    <w:r>
                      <w:rPr>
                        <w:sz w:val="12"/>
                      </w:rPr>
                      <w:t>FT-SE</w:t>
                    </w:r>
                  </w:p>
                  <w:p>
                    <w:pPr>
                      <w:spacing w:line="129" w:lineRule="exact" w:before="0"/>
                      <w:ind w:left="60" w:right="0" w:firstLine="0"/>
                      <w:jc w:val="left"/>
                      <w:rPr>
                        <w:sz w:val="12"/>
                      </w:rPr>
                    </w:pPr>
                    <w:r>
                      <w:rPr>
                        <w:sz w:val="12"/>
                      </w:rPr>
                      <w:t>All-Share</w:t>
                    </w:r>
                  </w:p>
                </w:txbxContent>
              </v:textbox>
              <w10:wrap type="none"/>
            </v:shape>
            <v:shape style="position:absolute;left:1772;top:2093;width:580;height:253" type="#_x0000_t202" filled="false" stroked="false">
              <v:textbox inset="0,0,0,0">
                <w:txbxContent>
                  <w:p>
                    <w:pPr>
                      <w:spacing w:line="208" w:lineRule="auto" w:before="9"/>
                      <w:ind w:left="60" w:right="0" w:hanging="60"/>
                      <w:jc w:val="left"/>
                      <w:rPr>
                        <w:sz w:val="12"/>
                      </w:rPr>
                    </w:pPr>
                    <w:r>
                      <w:rPr>
                        <w:sz w:val="12"/>
                      </w:rPr>
                      <w:t>Dow Jones industrials</w:t>
                    </w:r>
                  </w:p>
                </w:txbxContent>
              </v:textbox>
              <w10:wrap type="none"/>
            </v:shape>
            <w10:wrap type="topAndBottom"/>
          </v:group>
        </w:pict>
      </w:r>
      <w:r>
        <w:rPr/>
        <w:pict>
          <v:shape style="position:absolute;margin-left:40.779999pt;margin-top:144.194565pt;width:167pt;height:6pt;mso-position-horizontal-relative:page;mso-position-vertical-relative:paragraph;z-index:-15666176;mso-wrap-distance-left:0;mso-wrap-distance-right:0" coordorigin="816,2884" coordsize="3340,120" path="m916,3004l816,3004m916,3004l816,3004m976,3004l3976,3004m976,3004l976,2964m1276,3004l1276,2964m1556,3004l1556,2964m1876,3004l1876,2964m2156,3004l2156,2964m2416,3004l2416,2964m3076,3004l3076,2964m3356,3004l3356,2964m3976,3004l3976,2964m976,2884l976,3004m2736,3004l2736,2964m3676,3004l3676,2964m4156,3004l4056,3004m4156,3004l4056,3004m3976,3004l3996,3004e" filled="false" stroked="true" strokeweight=".5pt" strokecolor="#000000">
            <v:path arrowok="t"/>
            <v:stroke dashstyle="solid"/>
            <w10:wrap type="topAndBottom"/>
          </v:shape>
        </w:pict>
      </w:r>
    </w:p>
    <w:p>
      <w:pPr>
        <w:pStyle w:val="BodyText"/>
        <w:spacing w:before="1"/>
        <w:rPr>
          <w:sz w:val="17"/>
        </w:rPr>
      </w:pPr>
    </w:p>
    <w:p>
      <w:pPr>
        <w:spacing w:before="0"/>
        <w:ind w:left="647" w:right="414" w:firstLine="0"/>
        <w:jc w:val="center"/>
        <w:rPr>
          <w:sz w:val="12"/>
        </w:rPr>
      </w:pPr>
      <w:r>
        <w:rPr>
          <w:sz w:val="12"/>
        </w:rPr>
        <w:t>Jan. Feb. Mar. Apr. May June July Aug. Sept. Oct.</w:t>
      </w:r>
    </w:p>
    <w:p>
      <w:pPr>
        <w:spacing w:before="42"/>
        <w:ind w:left="564" w:right="414" w:firstLine="0"/>
        <w:jc w:val="center"/>
        <w:rPr>
          <w:sz w:val="12"/>
        </w:rPr>
      </w:pPr>
      <w:r>
        <w:rPr>
          <w:sz w:val="12"/>
        </w:rPr>
        <w:t>1998</w:t>
      </w:r>
    </w:p>
    <w:p>
      <w:pPr>
        <w:spacing w:before="106"/>
        <w:ind w:left="199" w:right="0" w:firstLine="0"/>
        <w:jc w:val="left"/>
        <w:rPr>
          <w:sz w:val="12"/>
        </w:rPr>
      </w:pPr>
      <w:r>
        <w:rPr>
          <w:sz w:val="12"/>
        </w:rPr>
        <w:t>Source: The </w:t>
      </w:r>
      <w:r>
        <w:rPr>
          <w:i/>
          <w:sz w:val="12"/>
        </w:rPr>
        <w:t>Financial Times</w:t>
      </w:r>
      <w:r>
        <w:rPr>
          <w:sz w:val="12"/>
        </w:rPr>
        <w:t>.</w:t>
      </w:r>
    </w:p>
    <w:p>
      <w:pPr>
        <w:spacing w:before="102"/>
        <w:ind w:left="199" w:right="0" w:firstLine="0"/>
        <w:jc w:val="left"/>
        <w:rPr>
          <w:sz w:val="12"/>
        </w:rPr>
      </w:pPr>
      <w:r>
        <w:rPr>
          <w:sz w:val="12"/>
        </w:rPr>
        <w:t>(a) Own-currency terms.</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5"/>
        <w:rPr>
          <w:sz w:val="17"/>
        </w:rPr>
      </w:pPr>
    </w:p>
    <w:p>
      <w:pPr>
        <w:pStyle w:val="Heading7"/>
        <w:spacing w:before="1"/>
        <w:ind w:left="205"/>
      </w:pPr>
      <w:r>
        <w:rPr>
          <w:color w:val="0093C1"/>
        </w:rPr>
        <w:t>Chart 1.13</w:t>
      </w:r>
    </w:p>
    <w:p>
      <w:pPr>
        <w:spacing w:before="10"/>
        <w:ind w:left="205" w:right="0" w:firstLine="0"/>
        <w:jc w:val="left"/>
        <w:rPr>
          <w:b/>
          <w:sz w:val="20"/>
        </w:rPr>
      </w:pPr>
      <w:r>
        <w:rPr>
          <w:b/>
          <w:color w:val="0093C1"/>
          <w:sz w:val="20"/>
        </w:rPr>
        <w:t>Property share prices</w:t>
      </w:r>
    </w:p>
    <w:p>
      <w:pPr>
        <w:pStyle w:val="BodyText"/>
        <w:rPr>
          <w:b/>
          <w:sz w:val="12"/>
        </w:rPr>
      </w:pPr>
      <w:r>
        <w:rPr/>
        <w:br w:type="column"/>
      </w:r>
      <w:r>
        <w:rPr>
          <w:b/>
          <w:sz w:val="12"/>
        </w:rPr>
      </w: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spacing w:before="73"/>
        <w:ind w:left="-16" w:right="0" w:firstLine="0"/>
        <w:jc w:val="left"/>
        <w:rPr>
          <w:sz w:val="12"/>
        </w:rPr>
      </w:pPr>
      <w:r>
        <w:rPr>
          <w:sz w:val="12"/>
        </w:rPr>
        <w:t>150</w:t>
      </w:r>
    </w:p>
    <w:p>
      <w:pPr>
        <w:pStyle w:val="BodyText"/>
        <w:rPr>
          <w:sz w:val="12"/>
        </w:rPr>
      </w:pPr>
    </w:p>
    <w:p>
      <w:pPr>
        <w:pStyle w:val="BodyText"/>
        <w:spacing w:before="2"/>
        <w:rPr>
          <w:sz w:val="14"/>
        </w:rPr>
      </w:pPr>
    </w:p>
    <w:p>
      <w:pPr>
        <w:spacing w:before="1"/>
        <w:ind w:left="-16" w:right="0" w:firstLine="0"/>
        <w:jc w:val="left"/>
        <w:rPr>
          <w:sz w:val="12"/>
        </w:rPr>
      </w:pPr>
      <w:r>
        <w:rPr>
          <w:sz w:val="12"/>
        </w:rPr>
        <w:t>140</w:t>
      </w:r>
    </w:p>
    <w:p>
      <w:pPr>
        <w:pStyle w:val="BodyText"/>
        <w:rPr>
          <w:sz w:val="12"/>
        </w:rPr>
      </w:pPr>
    </w:p>
    <w:p>
      <w:pPr>
        <w:pStyle w:val="BodyText"/>
        <w:spacing w:before="5"/>
        <w:rPr>
          <w:sz w:val="12"/>
        </w:rPr>
      </w:pPr>
    </w:p>
    <w:p>
      <w:pPr>
        <w:spacing w:before="1"/>
        <w:ind w:left="-16" w:right="0" w:firstLine="0"/>
        <w:jc w:val="left"/>
        <w:rPr>
          <w:sz w:val="12"/>
        </w:rPr>
      </w:pPr>
      <w:r>
        <w:rPr>
          <w:sz w:val="12"/>
        </w:rPr>
        <w:t>130</w:t>
      </w:r>
    </w:p>
    <w:p>
      <w:pPr>
        <w:pStyle w:val="BodyText"/>
        <w:rPr>
          <w:sz w:val="12"/>
        </w:rPr>
      </w:pPr>
    </w:p>
    <w:p>
      <w:pPr>
        <w:pStyle w:val="BodyText"/>
        <w:spacing w:before="2"/>
        <w:rPr>
          <w:sz w:val="14"/>
        </w:rPr>
      </w:pPr>
    </w:p>
    <w:p>
      <w:pPr>
        <w:spacing w:before="1"/>
        <w:ind w:left="-16" w:right="0" w:firstLine="0"/>
        <w:jc w:val="left"/>
        <w:rPr>
          <w:sz w:val="12"/>
        </w:rPr>
      </w:pPr>
      <w:r>
        <w:rPr>
          <w:sz w:val="12"/>
        </w:rPr>
        <w:t>120</w:t>
      </w:r>
    </w:p>
    <w:p>
      <w:pPr>
        <w:pStyle w:val="BodyText"/>
        <w:rPr>
          <w:sz w:val="12"/>
        </w:rPr>
      </w:pPr>
    </w:p>
    <w:p>
      <w:pPr>
        <w:pStyle w:val="BodyText"/>
        <w:spacing w:before="6"/>
        <w:rPr>
          <w:sz w:val="12"/>
        </w:rPr>
      </w:pPr>
    </w:p>
    <w:p>
      <w:pPr>
        <w:spacing w:before="0"/>
        <w:ind w:left="-16" w:right="0" w:firstLine="0"/>
        <w:jc w:val="left"/>
        <w:rPr>
          <w:sz w:val="12"/>
        </w:rPr>
      </w:pPr>
      <w:r>
        <w:rPr>
          <w:sz w:val="12"/>
        </w:rPr>
        <w:t>110</w:t>
      </w:r>
    </w:p>
    <w:p>
      <w:pPr>
        <w:pStyle w:val="BodyText"/>
        <w:rPr>
          <w:sz w:val="12"/>
        </w:rPr>
      </w:pPr>
    </w:p>
    <w:p>
      <w:pPr>
        <w:pStyle w:val="BodyText"/>
        <w:spacing w:before="3"/>
        <w:rPr>
          <w:sz w:val="14"/>
        </w:rPr>
      </w:pPr>
    </w:p>
    <w:p>
      <w:pPr>
        <w:spacing w:before="0"/>
        <w:ind w:left="-16" w:right="0" w:firstLine="0"/>
        <w:jc w:val="left"/>
        <w:rPr>
          <w:sz w:val="12"/>
        </w:rPr>
      </w:pPr>
      <w:r>
        <w:rPr>
          <w:sz w:val="12"/>
        </w:rPr>
        <w:t>100</w:t>
      </w:r>
    </w:p>
    <w:p>
      <w:pPr>
        <w:pStyle w:val="BodyText"/>
        <w:rPr>
          <w:sz w:val="12"/>
        </w:rPr>
      </w:pPr>
    </w:p>
    <w:p>
      <w:pPr>
        <w:pStyle w:val="BodyText"/>
        <w:spacing w:before="6"/>
        <w:rPr>
          <w:sz w:val="12"/>
        </w:rPr>
      </w:pPr>
    </w:p>
    <w:p>
      <w:pPr>
        <w:spacing w:before="0"/>
        <w:ind w:left="44" w:right="0" w:firstLine="0"/>
        <w:jc w:val="left"/>
        <w:rPr>
          <w:sz w:val="12"/>
        </w:rPr>
      </w:pPr>
      <w:r>
        <w:rPr>
          <w:sz w:val="12"/>
        </w:rPr>
        <w:t>90</w:t>
      </w:r>
    </w:p>
    <w:p>
      <w:pPr>
        <w:pStyle w:val="BodyText"/>
        <w:rPr>
          <w:sz w:val="12"/>
        </w:rPr>
      </w:pPr>
    </w:p>
    <w:p>
      <w:pPr>
        <w:pStyle w:val="BodyText"/>
        <w:spacing w:before="3"/>
        <w:rPr>
          <w:sz w:val="14"/>
        </w:rPr>
      </w:pPr>
    </w:p>
    <w:p>
      <w:pPr>
        <w:spacing w:before="0"/>
        <w:ind w:left="44" w:right="0" w:firstLine="0"/>
        <w:jc w:val="left"/>
        <w:rPr>
          <w:sz w:val="12"/>
        </w:rPr>
      </w:pPr>
      <w:r>
        <w:rPr>
          <w:sz w:val="12"/>
        </w:rPr>
        <w:t>80</w:t>
      </w:r>
    </w:p>
    <w:p>
      <w:pPr>
        <w:spacing w:before="90"/>
        <w:ind w:left="185" w:right="0" w:firstLine="0"/>
        <w:jc w:val="left"/>
        <w:rPr>
          <w:i/>
          <w:sz w:val="24"/>
        </w:rPr>
      </w:pPr>
      <w:r>
        <w:rPr/>
        <w:br w:type="column"/>
      </w:r>
      <w:r>
        <w:rPr>
          <w:i/>
          <w:color w:val="009483"/>
          <w:sz w:val="24"/>
        </w:rPr>
        <w:t>Property prices</w:t>
      </w:r>
    </w:p>
    <w:p>
      <w:pPr>
        <w:spacing w:line="242" w:lineRule="auto" w:before="164"/>
        <w:ind w:left="185" w:right="263" w:firstLine="0"/>
        <w:jc w:val="left"/>
        <w:rPr>
          <w:sz w:val="24"/>
        </w:rPr>
      </w:pPr>
      <w:r>
        <w:rPr>
          <w:sz w:val="24"/>
        </w:rPr>
        <w:t>According to the Investment Property Databank, annual growth in capital and rental values of commercial property slowed in September. Property company share prices began falling in </w:t>
      </w:r>
      <w:r>
        <w:rPr>
          <w:spacing w:val="-4"/>
          <w:sz w:val="24"/>
        </w:rPr>
        <w:t>May, </w:t>
      </w:r>
      <w:r>
        <w:rPr>
          <w:sz w:val="24"/>
        </w:rPr>
        <w:t>well before the aggregate share index started to decline (see Chart 1.13). During the August-September period when the F</w:t>
      </w:r>
      <w:r>
        <w:rPr>
          <w:sz w:val="20"/>
        </w:rPr>
        <w:t>T-SE </w:t>
      </w:r>
      <w:r>
        <w:rPr>
          <w:sz w:val="24"/>
        </w:rPr>
        <w:t>All-Share Index saw its biggest falls, property shares stabilised, probably reflecting the lack of international exposure of property companies and hence the possible attractiveness of their shares as a domestic ‘safe haven’. But as the UK equity market as a whole began to </w:t>
      </w:r>
      <w:r>
        <w:rPr>
          <w:spacing w:val="-3"/>
          <w:sz w:val="24"/>
        </w:rPr>
        <w:t>recover, </w:t>
      </w:r>
      <w:r>
        <w:rPr>
          <w:sz w:val="24"/>
        </w:rPr>
        <w:t>property </w:t>
      </w:r>
      <w:r>
        <w:rPr>
          <w:spacing w:val="-4"/>
          <w:sz w:val="24"/>
        </w:rPr>
        <w:t>share </w:t>
      </w:r>
      <w:r>
        <w:rPr>
          <w:sz w:val="24"/>
        </w:rPr>
        <w:t>prices fell further relative to the F</w:t>
      </w:r>
      <w:r>
        <w:rPr>
          <w:sz w:val="20"/>
        </w:rPr>
        <w:t>T-SE </w:t>
      </w:r>
      <w:r>
        <w:rPr>
          <w:sz w:val="24"/>
        </w:rPr>
        <w:t>All-Share index (see Chart 1.13).</w:t>
      </w:r>
    </w:p>
    <w:p>
      <w:pPr>
        <w:pStyle w:val="BodyText"/>
        <w:spacing w:before="9"/>
        <w:rPr>
          <w:sz w:val="25"/>
        </w:rPr>
      </w:pPr>
    </w:p>
    <w:p>
      <w:pPr>
        <w:spacing w:line="242" w:lineRule="auto" w:before="0"/>
        <w:ind w:left="185" w:right="269" w:firstLine="0"/>
        <w:jc w:val="left"/>
        <w:rPr>
          <w:sz w:val="24"/>
        </w:rPr>
      </w:pPr>
      <w:r>
        <w:rPr>
          <w:sz w:val="24"/>
        </w:rPr>
        <w:t>The Nationwide and Halifax measures of annual house price inflation </w:t>
      </w:r>
      <w:r>
        <w:rPr>
          <w:spacing w:val="-3"/>
          <w:sz w:val="24"/>
        </w:rPr>
        <w:t>have </w:t>
      </w:r>
      <w:r>
        <w:rPr>
          <w:sz w:val="24"/>
        </w:rPr>
        <w:t>continued to </w:t>
      </w:r>
      <w:r>
        <w:rPr>
          <w:spacing w:val="-3"/>
          <w:sz w:val="24"/>
        </w:rPr>
        <w:t>converge </w:t>
      </w:r>
      <w:r>
        <w:rPr>
          <w:sz w:val="24"/>
        </w:rPr>
        <w:t>over recent months. The Nationwide measure of annual house price inflation has fallen quite sharply from 13.1% in January 1998 to 7.5% in October. The Halifax measure rose </w:t>
      </w:r>
      <w:r>
        <w:rPr>
          <w:spacing w:val="-4"/>
          <w:sz w:val="24"/>
        </w:rPr>
        <w:t>from </w:t>
      </w:r>
      <w:r>
        <w:rPr>
          <w:sz w:val="24"/>
        </w:rPr>
        <w:t>5.4% in September to 6.7% in October. Before that, it had remained relatively stable in a band between 5%–6% since January 1998. The less timely measure estimated</w:t>
      </w:r>
    </w:p>
    <w:p>
      <w:pPr>
        <w:spacing w:after="0" w:line="242" w:lineRule="auto"/>
        <w:jc w:val="left"/>
        <w:rPr>
          <w:sz w:val="24"/>
        </w:rPr>
        <w:sectPr>
          <w:type w:val="continuous"/>
          <w:pgSz w:w="11900" w:h="16840"/>
          <w:pgMar w:top="1220" w:bottom="280" w:left="620" w:right="520"/>
          <w:cols w:num="3" w:equalWidth="0">
            <w:col w:w="3541" w:space="40"/>
            <w:col w:w="205" w:space="988"/>
            <w:col w:w="5986"/>
          </w:cols>
        </w:sectPr>
      </w:pPr>
    </w:p>
    <w:p>
      <w:pPr>
        <w:spacing w:before="43"/>
        <w:ind w:left="0" w:right="38" w:firstLine="0"/>
        <w:jc w:val="right"/>
        <w:rPr>
          <w:sz w:val="12"/>
        </w:rPr>
      </w:pPr>
      <w:r>
        <w:rPr/>
        <w:pict>
          <v:group style="position:absolute;margin-left:41.779999pt;margin-top:13.404696pt;width:165pt;height:146.1pt;mso-position-horizontal-relative:page;mso-position-vertical-relative:paragraph;z-index:15793152" coordorigin="836,268" coordsize="3300,2922">
            <v:shape style="position:absolute;left:835;top:525;width:100;height:2660" coordorigin="836,525" coordsize="100,2660" path="m936,3185l836,3185m936,2845l836,2845m936,2525l836,2525m936,2185l836,2185m936,1845l836,1845m936,1525l836,1525m936,1185l836,1185m936,845l836,845m936,525l836,525e" filled="false" stroked="true" strokeweight=".5pt" strokecolor="#000000">
              <v:path arrowok="t"/>
              <v:stroke dashstyle="solid"/>
            </v:shape>
            <v:shape style="position:absolute;left:975;top:285;width:3020;height:1940" coordorigin="976,285" coordsize="3020,1940" path="m976,1525l996,1445,996,1425,1016,1465,1036,1445,1056,1565,1056,1645,1076,1625,1096,1585,1096,1545,1116,1445,1136,1425,1156,1425,1176,1445,1196,1525,1196,1465,1216,1385,1236,1325,1236,1285,1256,1245,1276,1085,1296,1065,1296,1085,1336,1045,1356,1065,1356,1045,1376,1045,1396,1105,1396,1065,1416,1045,1436,945,1436,925,1456,925,1476,905,1496,945,1496,985,1516,885,1536,845,1536,825,1556,765,1576,765,1576,845,1596,905,1616,805,1636,765,1636,745,1656,725,1676,765,1696,765,1716,705,1736,625,1736,525,1756,545,1776,545,1776,525,1796,525,1816,585,1816,545,1836,585,1856,565,1876,485,1876,445,1896,425,1916,385,1936,405,1936,445,1956,385,1976,385,1976,405,2016,565,2016,545,2036,525,2076,565,2076,605,2096,765,2116,665,2116,645,2156,445,2156,465,2176,445,2196,505,2216,465,2216,385,2236,465,2256,445,2256,465,2276,485,2296,585,2316,525,2316,485,2336,445,2356,425,2356,405,2376,505,2396,525,2396,505,2416,545,2436,525,2456,465,2456,505,2476,425,2496,325,2516,345,2516,385,2536,525,2556,625,2556,705,2576,705,2596,605,2596,625,2616,705,2636,765,2656,725,2656,685,2676,645,2696,625,2696,605,2716,665,2736,565,2736,525,2776,485,2796,485,2796,465,2836,545,2836,525,2856,365,2876,305,2876,345,2896,285,2916,285,2936,325,2936,485,2956,525,2976,625,2976,685,3016,685,3036,625,3036,685,3056,725,3076,805,3076,945,3096,985,3116,905,3136,985,3136,1185,3156,1145,3176,1225,3176,1165,3196,1165,3216,985,3216,925,3236,965,3256,1165,3276,1105,3276,1005,3296,1125,3316,1345,3316,1505,3336,1625,3356,1545,3376,1665,3376,1625,3396,1425,3416,1405,3416,1425,3436,1625,3456,1665,3456,1505,3496,1465,3516,1645,3516,1725,3536,1825,3556,1705,3556,1605,3576,1645,3596,1765,3616,1725,3616,1705,3636,1765,3656,1945,3656,2145,3676,2225,3696,2025,3716,2065,3716,2225,3736,2085,3756,1845,3756,1905,3776,1845,3796,1805,3796,1705,3816,1745,3836,1565,3856,1605,3856,1585,3876,1585,3896,1565,3896,1465,3916,1505,3936,1425,3936,1325,3956,1205,3976,1225,3996,1085e" filled="false" stroked="true" strokeweight="1pt" strokecolor="#ed1b2d">
              <v:path arrowok="t"/>
              <v:stroke dashstyle="solid"/>
            </v:shape>
            <v:shape style="position:absolute;left:975;top:965;width:3020;height:2140" coordorigin="976,965" coordsize="3020,2140" path="m976,1525l996,1545,996,1505,1016,1465,1036,1465,1056,1365,1056,1305,1076,1285,1096,1245,1096,1265,1116,1265,1136,1205,1156,1165,1156,1105,1176,1025,1196,965,1196,1005,1216,1045,1236,1045,1236,1125,1256,1145,1276,1385,1296,1425,1296,1465,1316,1445,1356,1445,1356,1425,1396,1345,1436,1465,1436,1505,1456,1505,1476,1525,1496,1425,1496,1345,1536,1425,1536,1465,1556,1485,1576,1525,1596,1485,1616,1605,1636,1625,1676,1585,1716,1585,1736,1625,1756,1685,1776,1685,1776,1745,1796,1785,1816,1705,1816,1725,1836,1745,1856,1725,1876,1785,1876,1825,1896,1825,1916,1885,1936,1845,1936,1825,1956,1865,1976,1885,1976,1845,1996,1805,2016,1745,2056,1745,2076,1685,2096,1585,2116,1625,2116,1685,2136,1745,2156,1825,2156,1805,2176,1825,2196,1825,2216,1925,2216,1905,2236,1905,2256,1925,2276,1905,2296,1845,2316,1885,2316,1925,2336,1965,2356,1985,2356,2005,2376,1985,2396,2045,2396,2105,2416,2105,2436,2085,2456,2085,2476,2125,2496,2205,2516,2205,2516,2165,2536,2065,2556,2025,2576,2025,2596,2125,2596,2165,2616,2185,2636,2165,2656,2205,2656,2225,2696,2265,2696,2245,2716,2285,2736,2365,2736,2425,2756,2465,2776,2485,2796,2525,2796,2565,2816,2565,2836,2545,2856,2645,2876,2705,2896,2805,2916,2805,2936,2765,2936,2745,2956,2785,2976,2765,2976,2785,2996,2885,3016,2925,3036,2945,3056,2925,3076,2925,3076,2905,3096,2865,3116,2865,3136,2705,3136,2545,3156,2585,3176,2565,3176,2605,3196,2605,3216,2705,3236,2705,3256,2645,3276,2685,3276,2745,3296,2685,3316,2585,3316,2605,3336,2465,3356,2465,3376,2325,3376,2365,3396,2485,3416,2485,3436,2345,3456,2285,3456,2365,3476,2445,3496,2445,3516,2385,3516,2325,3536,2225,3556,2305,3556,2345,3576,2325,3596,2205,3616,2245,3616,2205,3636,2185,3656,2005,3656,1905,3676,1905,3696,2085,3716,2085,3716,2025,3736,2225,3756,2465,3756,2505,3776,2585,3796,2605,3796,2645,3816,2565,3836,2645,3856,2685,3856,2785,3896,2785,3896,2825,3916,2805,3936,2865,3936,2925,3956,3005,3976,3005,3996,3105e" filled="false" stroked="true" strokeweight="1pt" strokecolor="#0066a5">
              <v:path arrowok="t"/>
              <v:stroke dashstyle="solid"/>
            </v:shape>
            <v:shape style="position:absolute;left:975;top:645;width:3020;height:2220" coordorigin="976,645" coordsize="3020,2220" path="m976,1525l996,1465,996,1405,1016,1425,1036,1385,1056,1405,1056,1425,1076,1385,1096,1325,1096,1305,1116,1185,1136,1105,1156,1065,1156,1005,1176,965,1196,985,1196,965,1236,845,1236,865,1256,845,1276,945,1296,965,1296,1025,1316,1005,1336,965,1356,985,1356,925,1376,905,1396,925,1396,885,1416,905,1436,905,1456,925,1476,905,1496,845,1496,805,1516,745,1536,765,1556,745,1576,765,1576,845,1596,865,1616,905,1636,885,1636,865,1676,825,1676,845,1696,825,1716,765,1736,745,1736,645,1756,745,1776,745,1776,765,1796,845,1816,805,1816,785,1836,845,1856,785,1896,785,1916,805,1936,785,1936,805,1956,785,2016,845,2016,805,2036,785,2056,805,2076,785,2096,825,2116,805,2116,825,2136,805,2156,805,2176,825,2196,865,2216,925,2216,845,2236,905,2256,905,2256,925,2276,925,2296,965,2316,945,2336,965,2356,965,2396,1125,2396,1185,2416,1205,2436,1185,2456,1145,2456,1165,2476,1125,2496,1125,2516,1165,2516,1125,2536,1165,2556,1185,2556,1265,2576,1265,2596,1285,2596,1365,2616,1445,2636,1465,2656,1505,2656,1485,2676,1445,2696,1465,2696,1425,2716,1525,2736,1545,2736,1565,2756,1585,2776,1625,2796,1625,2796,1665,2836,1705,2876,1705,2876,1725,2896,1805,2936,1805,2936,1905,2956,1965,2976,2045,2976,2105,2996,2225,3016,2285,3036,2245,3036,2285,3056,2305,3076,2365,3076,2445,3096,2425,3116,2365,3136,2265,3136,2245,3156,2265,3176,2305,3196,2305,3216,2265,3216,2225,3236,2245,3256,2345,3276,2345,3276,2325,3296,2345,3316,2445,3316,2585,3336,2565,3356,2485,3376,2465,3376,2445,3396,2405,3416,2405,3436,2445,3456,2405,3456,2345,3476,2405,3496,2405,3516,2505,3516,2525,3536,2505,3556,2465,3556,2425,3576,2425,3596,2445,3616,2425,3616,2385,3636,2405,3656,2405,3656,2485,3676,2585,3696,2545,3716,2585,3716,2665,3736,2725,3756,2765,3756,2825,3776,2865,3796,2845,3796,2785,3816,2765,3836,2685,3856,2765,3856,2825,3876,2845,3896,2825,3896,2785,3936,2785,3936,2765,3956,2765,3976,2785,3996,2785e" filled="false" stroked="true" strokeweight="1pt" strokecolor="#40ad49">
              <v:path arrowok="t"/>
              <v:stroke dashstyle="solid"/>
            </v:shape>
            <v:shape style="position:absolute;left:975;top:525;width:3160;height:2660" coordorigin="976,525" coordsize="3160,2660" path="m4136,3185l4036,3185m4136,2845l4036,2845m4136,2525l4036,2525m4136,2185l4036,2185m4136,1845l4036,1845m4136,1525l4036,1525m4136,1185l4036,1185m4136,845l4036,845m4136,525l4036,525m976,3185l3976,3185m976,3185l976,3145m1276,3185l1276,3145m1556,3185l1556,3145m1856,3185l1856,3145m2156,3185l2156,3145m2416,3185l2416,3145m3056,3185l3056,3145m3356,3185l3356,3145m3976,3185l3976,3145m976,3065l976,3185m2736,3185l2736,3145m3656,3185l3656,3145m3976,3185l3996,3185e" filled="false" stroked="true" strokeweight=".5pt" strokecolor="#000000">
              <v:path arrowok="t"/>
              <v:stroke dashstyle="solid"/>
            </v:shape>
            <v:shape style="position:absolute;left:2985;top:268;width:837;height:133" type="#_x0000_t202" filled="false" stroked="false">
              <v:textbox inset="0,0,0,0">
                <w:txbxContent>
                  <w:p>
                    <w:pPr>
                      <w:spacing w:line="133" w:lineRule="exact" w:before="0"/>
                      <w:ind w:left="0" w:right="0" w:firstLine="0"/>
                      <w:jc w:val="left"/>
                      <w:rPr>
                        <w:sz w:val="12"/>
                      </w:rPr>
                    </w:pPr>
                    <w:r>
                      <w:rPr>
                        <w:sz w:val="12"/>
                      </w:rPr>
                      <w:t>FT-SE All-Share</w:t>
                    </w:r>
                  </w:p>
                </w:txbxContent>
              </v:textbox>
              <w10:wrap type="none"/>
            </v:shape>
            <v:shape style="position:absolute;left:1585;top:1048;width:797;height:373" type="#_x0000_t202" filled="false" stroked="false">
              <v:textbox inset="0,0,0,0">
                <w:txbxContent>
                  <w:p>
                    <w:pPr>
                      <w:spacing w:line="208" w:lineRule="auto" w:before="9"/>
                      <w:ind w:left="60" w:right="18" w:hanging="60"/>
                      <w:jc w:val="both"/>
                      <w:rPr>
                        <w:sz w:val="12"/>
                      </w:rPr>
                    </w:pPr>
                    <w:r>
                      <w:rPr>
                        <w:sz w:val="12"/>
                      </w:rPr>
                      <w:t>FT-SE actuaries property share index</w:t>
                    </w:r>
                  </w:p>
                </w:txbxContent>
              </v:textbox>
              <w10:wrap type="none"/>
            </v:shape>
            <v:shape style="position:absolute;left:2025;top:2788;width:880;height:133" type="#_x0000_t202" filled="false" stroked="false">
              <v:textbox inset="0,0,0,0">
                <w:txbxContent>
                  <w:p>
                    <w:pPr>
                      <w:spacing w:line="133" w:lineRule="exact" w:before="0"/>
                      <w:ind w:left="0" w:right="0" w:firstLine="0"/>
                      <w:jc w:val="left"/>
                      <w:rPr>
                        <w:sz w:val="12"/>
                      </w:rPr>
                    </w:pPr>
                    <w:r>
                      <w:rPr>
                        <w:sz w:val="12"/>
                      </w:rPr>
                      <w:t>Relative index (a)</w:t>
                    </w:r>
                  </w:p>
                </w:txbxContent>
              </v:textbox>
              <w10:wrap type="none"/>
            </v:shape>
            <w10:wrap type="none"/>
          </v:group>
        </w:pict>
      </w:r>
      <w:r>
        <w:rPr/>
        <w:pict>
          <v:line style="position:absolute;mso-position-horizontal-relative:page;mso-position-vertical-relative:paragraph;z-index:15793664" from="46.779999pt,9.251376pt" to="41.779999pt,9.251376pt" stroked="true" strokeweight=".5pt" strokecolor="#000000">
            <v:stroke dashstyle="solid"/>
            <w10:wrap type="none"/>
          </v:line>
        </w:pict>
      </w:r>
      <w:r>
        <w:rPr>
          <w:sz w:val="12"/>
        </w:rPr>
        <w:t>2 Jan. 1998 = 1</w:t>
      </w:r>
      <w:r>
        <w:rPr>
          <w:sz w:val="12"/>
          <w:u w:val="single"/>
        </w:rPr>
        <w:t>00</w:t>
      </w:r>
      <w:r>
        <w:rPr>
          <w:spacing w:val="-5"/>
          <w:sz w:val="12"/>
        </w:rPr>
        <w:t> </w:t>
      </w:r>
      <w:r>
        <w:rPr>
          <w:position w:val="-5"/>
          <w:sz w:val="12"/>
        </w:rPr>
        <w:t>120</w:t>
      </w:r>
    </w:p>
    <w:p>
      <w:pPr>
        <w:pStyle w:val="BodyText"/>
        <w:spacing w:before="9"/>
        <w:rPr>
          <w:sz w:val="15"/>
        </w:rPr>
      </w:pPr>
    </w:p>
    <w:p>
      <w:pPr>
        <w:spacing w:before="0"/>
        <w:ind w:left="0" w:right="38" w:firstLine="0"/>
        <w:jc w:val="right"/>
        <w:rPr>
          <w:sz w:val="12"/>
        </w:rPr>
      </w:pPr>
      <w:r>
        <w:rPr>
          <w:sz w:val="12"/>
        </w:rPr>
        <w:t>115</w:t>
      </w:r>
    </w:p>
    <w:p>
      <w:pPr>
        <w:pStyle w:val="BodyText"/>
        <w:spacing w:before="7"/>
        <w:rPr>
          <w:sz w:val="17"/>
        </w:rPr>
      </w:pPr>
    </w:p>
    <w:p>
      <w:pPr>
        <w:spacing w:before="0"/>
        <w:ind w:left="0" w:right="38" w:firstLine="0"/>
        <w:jc w:val="right"/>
        <w:rPr>
          <w:sz w:val="12"/>
        </w:rPr>
      </w:pPr>
      <w:r>
        <w:rPr>
          <w:sz w:val="12"/>
        </w:rPr>
        <w:t>110</w:t>
      </w:r>
    </w:p>
    <w:p>
      <w:pPr>
        <w:pStyle w:val="BodyText"/>
        <w:spacing w:before="6"/>
        <w:rPr>
          <w:sz w:val="17"/>
        </w:rPr>
      </w:pPr>
    </w:p>
    <w:p>
      <w:pPr>
        <w:spacing w:before="0"/>
        <w:ind w:left="0" w:right="38" w:firstLine="0"/>
        <w:jc w:val="right"/>
        <w:rPr>
          <w:sz w:val="12"/>
        </w:rPr>
      </w:pPr>
      <w:r>
        <w:rPr>
          <w:sz w:val="12"/>
        </w:rPr>
        <w:t>105</w:t>
      </w:r>
    </w:p>
    <w:p>
      <w:pPr>
        <w:pStyle w:val="BodyText"/>
        <w:spacing w:before="10"/>
        <w:rPr>
          <w:sz w:val="15"/>
        </w:rPr>
      </w:pPr>
    </w:p>
    <w:p>
      <w:pPr>
        <w:spacing w:before="0"/>
        <w:ind w:left="0" w:right="38" w:firstLine="0"/>
        <w:jc w:val="right"/>
        <w:rPr>
          <w:sz w:val="12"/>
        </w:rPr>
      </w:pPr>
      <w:r>
        <w:rPr>
          <w:sz w:val="12"/>
        </w:rPr>
        <w:t>100</w:t>
      </w:r>
    </w:p>
    <w:p>
      <w:pPr>
        <w:pStyle w:val="BodyText"/>
        <w:spacing w:before="6"/>
        <w:rPr>
          <w:sz w:val="17"/>
        </w:rPr>
      </w:pPr>
    </w:p>
    <w:p>
      <w:pPr>
        <w:spacing w:before="0"/>
        <w:ind w:left="0" w:right="38" w:firstLine="0"/>
        <w:jc w:val="right"/>
        <w:rPr>
          <w:sz w:val="12"/>
        </w:rPr>
      </w:pPr>
      <w:r>
        <w:rPr>
          <w:sz w:val="12"/>
        </w:rPr>
        <w:t>95</w:t>
      </w:r>
    </w:p>
    <w:p>
      <w:pPr>
        <w:pStyle w:val="BodyText"/>
        <w:spacing w:before="7"/>
        <w:rPr>
          <w:sz w:val="17"/>
        </w:rPr>
      </w:pPr>
    </w:p>
    <w:p>
      <w:pPr>
        <w:spacing w:before="0"/>
        <w:ind w:left="0" w:right="38" w:firstLine="0"/>
        <w:jc w:val="right"/>
        <w:rPr>
          <w:sz w:val="12"/>
        </w:rPr>
      </w:pPr>
      <w:r>
        <w:rPr>
          <w:sz w:val="12"/>
        </w:rPr>
        <w:t>90</w:t>
      </w:r>
    </w:p>
    <w:p>
      <w:pPr>
        <w:pStyle w:val="BodyText"/>
        <w:spacing w:before="6"/>
        <w:rPr>
          <w:sz w:val="17"/>
        </w:rPr>
      </w:pPr>
    </w:p>
    <w:p>
      <w:pPr>
        <w:spacing w:before="0"/>
        <w:ind w:left="0" w:right="38" w:firstLine="0"/>
        <w:jc w:val="right"/>
        <w:rPr>
          <w:sz w:val="12"/>
        </w:rPr>
      </w:pPr>
      <w:r>
        <w:rPr>
          <w:sz w:val="12"/>
        </w:rPr>
        <w:t>85</w:t>
      </w:r>
    </w:p>
    <w:p>
      <w:pPr>
        <w:pStyle w:val="BodyText"/>
        <w:spacing w:before="10"/>
        <w:rPr>
          <w:sz w:val="15"/>
        </w:rPr>
      </w:pPr>
    </w:p>
    <w:p>
      <w:pPr>
        <w:spacing w:before="0"/>
        <w:ind w:left="0" w:right="38" w:firstLine="0"/>
        <w:jc w:val="right"/>
        <w:rPr>
          <w:sz w:val="12"/>
        </w:rPr>
      </w:pPr>
      <w:r>
        <w:rPr>
          <w:sz w:val="12"/>
        </w:rPr>
        <w:t>80</w:t>
      </w:r>
    </w:p>
    <w:p>
      <w:pPr>
        <w:pStyle w:val="BodyText"/>
        <w:spacing w:before="6"/>
        <w:rPr>
          <w:sz w:val="17"/>
        </w:rPr>
      </w:pPr>
    </w:p>
    <w:p>
      <w:pPr>
        <w:spacing w:line="116" w:lineRule="exact" w:before="1"/>
        <w:ind w:left="3585" w:right="20" w:firstLine="0"/>
        <w:jc w:val="center"/>
        <w:rPr>
          <w:sz w:val="12"/>
        </w:rPr>
      </w:pPr>
      <w:r>
        <w:rPr>
          <w:sz w:val="12"/>
        </w:rPr>
        <w:t>75</w:t>
      </w:r>
    </w:p>
    <w:p>
      <w:pPr>
        <w:spacing w:line="116" w:lineRule="exact" w:before="0"/>
        <w:ind w:left="618" w:right="667" w:firstLine="0"/>
        <w:jc w:val="center"/>
        <w:rPr>
          <w:sz w:val="12"/>
        </w:rPr>
      </w:pPr>
      <w:r>
        <w:rPr>
          <w:sz w:val="12"/>
        </w:rPr>
        <w:t>Jan. Feb. Mar. Apr. May June July Aug. Sept. Oct.</w:t>
      </w:r>
    </w:p>
    <w:p>
      <w:pPr>
        <w:spacing w:before="42"/>
        <w:ind w:left="555" w:right="667" w:firstLine="0"/>
        <w:jc w:val="center"/>
        <w:rPr>
          <w:sz w:val="12"/>
        </w:rPr>
      </w:pPr>
      <w:r>
        <w:rPr>
          <w:sz w:val="12"/>
        </w:rPr>
        <w:t>1998</w:t>
      </w:r>
    </w:p>
    <w:p>
      <w:pPr>
        <w:spacing w:before="82"/>
        <w:ind w:left="185" w:right="0" w:firstLine="0"/>
        <w:jc w:val="left"/>
        <w:rPr>
          <w:sz w:val="12"/>
        </w:rPr>
      </w:pPr>
      <w:r>
        <w:rPr>
          <w:sz w:val="12"/>
        </w:rPr>
        <w:t>Source: The </w:t>
      </w:r>
      <w:r>
        <w:rPr>
          <w:i/>
          <w:sz w:val="12"/>
        </w:rPr>
        <w:t>Financial Times</w:t>
      </w:r>
      <w:r>
        <w:rPr>
          <w:sz w:val="12"/>
        </w:rPr>
        <w:t>.</w:t>
      </w:r>
    </w:p>
    <w:p>
      <w:pPr>
        <w:spacing w:before="102"/>
        <w:ind w:left="185" w:right="0" w:firstLine="0"/>
        <w:jc w:val="left"/>
        <w:rPr>
          <w:sz w:val="12"/>
        </w:rPr>
      </w:pPr>
      <w:r>
        <w:rPr>
          <w:sz w:val="12"/>
        </w:rPr>
        <w:t>(a) Property share prices relative to FT-SE All-Share.</w:t>
      </w:r>
    </w:p>
    <w:p>
      <w:pPr>
        <w:pStyle w:val="Heading4"/>
        <w:spacing w:line="242" w:lineRule="auto" w:before="10"/>
        <w:ind w:left="185" w:right="235"/>
      </w:pPr>
      <w:r>
        <w:rPr/>
        <w:br w:type="column"/>
      </w:r>
      <w:r>
        <w:rPr/>
        <w:t>by the Bank based on Land Registry data also shows house price inflation falling, but at a less rapid rate than the Nationwide measure. A range of indicators for housing turnover suggest that the trend in activity may be flat to falling.</w:t>
      </w:r>
    </w:p>
    <w:p>
      <w:pPr>
        <w:pStyle w:val="BodyText"/>
        <w:spacing w:before="7"/>
        <w:rPr>
          <w:sz w:val="28"/>
        </w:rPr>
      </w:pPr>
    </w:p>
    <w:p>
      <w:pPr>
        <w:pStyle w:val="ListParagraph"/>
        <w:numPr>
          <w:ilvl w:val="1"/>
          <w:numId w:val="2"/>
        </w:numPr>
        <w:tabs>
          <w:tab w:pos="3638" w:val="left" w:leader="none"/>
          <w:tab w:pos="3639" w:val="left" w:leader="none"/>
          <w:tab w:pos="5730" w:val="left" w:leader="none"/>
        </w:tabs>
        <w:spacing w:line="240" w:lineRule="auto" w:before="0" w:after="0"/>
        <w:ind w:left="3638" w:right="0" w:hanging="3454"/>
        <w:jc w:val="left"/>
        <w:rPr>
          <w:b/>
          <w:sz w:val="28"/>
        </w:rPr>
      </w:pPr>
      <w:r>
        <w:rPr>
          <w:b/>
          <w:color w:val="009483"/>
          <w:sz w:val="28"/>
          <w:u w:val="thick" w:color="0093C1"/>
        </w:rPr>
        <w:t>Exchange rates</w:t>
        <w:tab/>
      </w:r>
    </w:p>
    <w:p>
      <w:pPr>
        <w:pStyle w:val="BodyText"/>
        <w:rPr>
          <w:b/>
          <w:sz w:val="24"/>
        </w:rPr>
      </w:pPr>
    </w:p>
    <w:p>
      <w:pPr>
        <w:spacing w:line="242" w:lineRule="auto" w:before="0"/>
        <w:ind w:left="185" w:right="347" w:firstLine="0"/>
        <w:jc w:val="left"/>
        <w:rPr>
          <w:sz w:val="24"/>
        </w:rPr>
      </w:pPr>
      <w:r>
        <w:rPr>
          <w:sz w:val="24"/>
        </w:rPr>
        <w:t>Sterling has depreciated since the August </w:t>
      </w:r>
      <w:r>
        <w:rPr>
          <w:i/>
          <w:sz w:val="24"/>
        </w:rPr>
        <w:t>Report </w:t>
      </w:r>
      <w:r>
        <w:rPr>
          <w:sz w:val="24"/>
        </w:rPr>
        <w:t>(see Chart 1.14). The sterling effective exchange rate index (ERI) averaged 100.0 in the 15 working days up to and including 4 November, which is the starting-point used for the value of the ERI in the current projection. This compares with an average of 103.8 for November in the</w:t>
      </w:r>
    </w:p>
    <w:p>
      <w:pPr>
        <w:spacing w:after="0" w:line="242" w:lineRule="auto"/>
        <w:jc w:val="left"/>
        <w:rPr>
          <w:sz w:val="24"/>
        </w:rPr>
        <w:sectPr>
          <w:type w:val="continuous"/>
          <w:pgSz w:w="11900" w:h="16840"/>
          <w:pgMar w:top="1220" w:bottom="280" w:left="620" w:right="520"/>
          <w:cols w:num="2" w:equalWidth="0">
            <w:col w:w="3766" w:space="1008"/>
            <w:col w:w="5986"/>
          </w:cols>
        </w:sectPr>
      </w:pPr>
    </w:p>
    <w:p>
      <w:pPr>
        <w:pStyle w:val="BodyText"/>
        <w:rPr>
          <w:sz w:val="20"/>
        </w:rPr>
      </w:pPr>
    </w:p>
    <w:p>
      <w:pPr>
        <w:spacing w:after="0"/>
        <w:rPr>
          <w:sz w:val="20"/>
        </w:rPr>
        <w:sectPr>
          <w:pgSz w:w="11900" w:h="16840"/>
          <w:pgMar w:header="586" w:footer="597" w:top="780" w:bottom="780" w:left="620" w:right="520"/>
        </w:sectPr>
      </w:pPr>
    </w:p>
    <w:p>
      <w:pPr>
        <w:pStyle w:val="BodyText"/>
        <w:spacing w:before="3"/>
        <w:rPr>
          <w:sz w:val="21"/>
        </w:rPr>
      </w:pPr>
    </w:p>
    <w:p>
      <w:pPr>
        <w:pStyle w:val="Heading7"/>
        <w:spacing w:before="0"/>
        <w:ind w:left="220"/>
      </w:pPr>
      <w:r>
        <w:rPr>
          <w:color w:val="0093C1"/>
        </w:rPr>
        <w:t>Chart 1.14</w:t>
      </w:r>
    </w:p>
    <w:p>
      <w:pPr>
        <w:spacing w:before="10"/>
        <w:ind w:left="220" w:right="0" w:firstLine="0"/>
        <w:jc w:val="left"/>
        <w:rPr>
          <w:sz w:val="12"/>
        </w:rPr>
      </w:pPr>
      <w:r>
        <w:rPr>
          <w:b/>
          <w:color w:val="0093C1"/>
          <w:sz w:val="20"/>
        </w:rPr>
        <w:t>Sterling effective exchange rates</w:t>
      </w:r>
      <w:r>
        <w:rPr>
          <w:position w:val="4"/>
          <w:sz w:val="12"/>
        </w:rPr>
        <w:t>(a)</w:t>
      </w:r>
    </w:p>
    <w:p>
      <w:pPr>
        <w:spacing w:before="123"/>
        <w:ind w:left="0" w:right="38" w:firstLine="0"/>
        <w:jc w:val="right"/>
        <w:rPr>
          <w:sz w:val="12"/>
        </w:rPr>
      </w:pPr>
      <w:r>
        <w:rPr/>
        <w:pict>
          <v:line style="position:absolute;mso-position-horizontal-relative:page;mso-position-vertical-relative:paragraph;z-index:15801856" from="47.5pt,14.230166pt" to="42.5pt,14.230166pt" stroked="true" strokeweight=".5pt" strokecolor="#000000">
            <v:stroke dashstyle="solid"/>
            <w10:wrap type="none"/>
          </v:line>
        </w:pict>
      </w:r>
      <w:r>
        <w:rPr/>
        <w:pict>
          <v:line style="position:absolute;mso-position-horizontal-relative:page;mso-position-vertical-relative:paragraph;z-index:15802368" from="207.5pt,14.251166pt" to="202.5pt,14.251166pt" stroked="true" strokeweight=".5pt" strokecolor="#000000">
            <v:stroke dashstyle="solid"/>
            <w10:wrap type="none"/>
          </v:line>
        </w:pict>
      </w:r>
      <w:r>
        <w:rPr>
          <w:sz w:val="12"/>
        </w:rPr>
        <w:t>2 Jan. 1998 = 100 </w:t>
      </w:r>
      <w:r>
        <w:rPr>
          <w:position w:val="-5"/>
          <w:sz w:val="12"/>
        </w:rPr>
        <w:t>105.0</w:t>
      </w:r>
    </w:p>
    <w:p>
      <w:pPr>
        <w:spacing w:before="44"/>
        <w:ind w:left="1900" w:right="1454" w:firstLine="0"/>
        <w:jc w:val="center"/>
        <w:rPr>
          <w:sz w:val="12"/>
        </w:rPr>
      </w:pPr>
      <w:r>
        <w:rPr/>
        <w:pict>
          <v:group style="position:absolute;margin-left:42.5pt;margin-top:6.800735pt;width:165pt;height:116pt;mso-position-horizontal-relative:page;mso-position-vertical-relative:paragraph;z-index:-21687296" coordorigin="850,136" coordsize="3300,2320">
            <v:shape style="position:absolute;left:850;top:563;width:100;height:1200" coordorigin="850,564" coordsize="100,1200" path="m950,1764l850,1764m950,1164l850,1164m950,564l850,564e" filled="false" stroked="true" strokeweight=".5pt" strokecolor="#000000">
              <v:path arrowok="t"/>
              <v:stroke dashstyle="solid"/>
            </v:shape>
            <v:shape style="position:absolute;left:990;top:266;width:3020;height:1880" coordorigin="990,266" coordsize="3020,1880" path="m990,1146l1010,986,1030,1086,1050,1226,1070,1266,1070,1166,1090,986,1110,1046,1110,1026,1130,966,1150,926,1170,986,1170,1066,1190,946,1210,866,1210,926,1230,1106,1250,1066,1250,966,1270,1026,1290,1066,1310,1026,1310,986,1330,1126,1350,1166,1370,1246,1370,1466,1390,1246,1410,1206,1410,1086,1430,1066,1450,1106,1450,1026,1470,1106,1490,1086,1510,1146,1510,1066,1530,1006,1550,1006,1550,1026,1570,1066,1590,1006,1590,986,1610,926,1630,966,1650,1026,1650,966,1670,826,1690,726,1690,666,1710,686,1730,686,1750,526,1750,586,1770,586,1790,486,1790,506,1810,526,1830,406,1850,306,1890,266,1890,346,1910,446,1930,486,1950,446,1950,566,1970,586,1990,546,1990,606,2010,366,2030,486,2030,606,2050,766,2070,786,2090,886,2090,866,2130,826,2130,806,2150,786,2170,986,2170,1166,2190,1146,2210,1366,2230,1466,2230,1486,2270,1366,2270,1406,2330,1406,2330,1426,2350,1546,2370,1526,2370,1306,2390,1306,2410,1346,2410,1286,2430,1166,2450,1166,2470,1266,2470,1246,2490,1246,2510,1226,2530,1146,2530,1086,2550,966,2570,926,2570,726,2590,626,2610,726,2610,546,2630,666,2650,506,2670,546,2670,506,2690,486,2710,426,2710,366,2730,446,2750,466,2750,406,2770,626,2810,786,2830,766,2850,806,2850,786,2870,946,2890,966,2890,1026,2910,1006,2930,966,2950,886,2950,946,2970,886,2990,786,3010,906,3030,1046,3050,1086,3070,1146,3090,1066,3090,1106,3110,1146,3130,1106,3150,1026,3150,986,3170,1106,3190,1086,3190,1026,3210,1126,3230,1106,3230,1046,3250,1006,3270,846,3290,786,3290,746,3310,706,3330,526,3330,586,3350,726,3390,926,3390,966,3410,1146,3430,1266,3430,1126,3470,1246,3470,1186,3490,1386,3510,1286,3530,1226,3530,1166,3550,1246,3570,1206,3570,1166,3590,1146,3610,1086,3630,966,3630,1006,3650,1106,3670,1266,3670,1286,3690,1546,3710,1626,3730,1866,3730,1666,3750,1566,3770,1686,3770,1646,3790,1546,3810,1766,3810,1846,3830,1866,3850,1606,3870,1666,3870,1766,3890,1846,3910,1866,3910,1986,3930,1906,3950,1886,3970,2066,3990,2146,4010,2046e" filled="false" stroked="true" strokeweight="1pt" strokecolor="#9aca3c">
              <v:path arrowok="t"/>
              <v:stroke dashstyle="solid"/>
            </v:shape>
            <v:line style="position:absolute" from="950,2364" to="850,2364" stroked="true" strokeweight=".5pt" strokecolor="#000000">
              <v:stroke dashstyle="solid"/>
            </v:line>
            <v:shape style="position:absolute;left:990;top:146;width:3020;height:2300" coordorigin="990,146" coordsize="3020,2300" path="m990,1146l1010,1026,1010,1046,1030,1146,1050,1366,1070,1366,1070,1286,1090,1086,1110,1086,1110,1046,1130,1006,1150,926,1170,1006,1170,1146,1190,1086,1210,1066,1210,1086,1230,1226,1250,1166,1250,1046,1270,1026,1290,1086,1310,1026,1310,1006,1330,1166,1370,1206,1370,1406,1390,1186,1410,1206,1410,1066,1430,1086,1450,1086,1450,1026,1470,1086,1490,1066,1510,1166,1510,1086,1530,986,1550,986,1550,1006,1570,1026,1590,986,1590,946,1610,906,1630,946,1650,1006,1650,926,1670,786,1690,686,1690,626,1710,626,1730,606,1750,466,1750,526,1770,486,1790,366,1790,386,1810,426,1830,326,1830,286,1850,166,1870,146,1890,146,1890,226,1910,366,1930,386,1950,326,1950,486,1970,506,1990,506,1990,546,2010,306,2030,426,2030,586,2050,746,2070,746,2090,846,2090,826,2130,786,2130,766,2150,726,2170,966,2170,1146,2190,1166,2210,1406,2230,1506,2230,1526,2250,1466,2270,1426,2270,1466,2330,1466,2330,1506,2350,1626,2370,1606,2370,1406,2390,1386,2410,1446,2410,1346,2430,1266,2450,1266,2470,1366,2490,1366,2510,1346,2530,1286,2530,1206,2550,1086,2570,1066,2570,866,2590,786,2610,846,2610,646,2630,746,2650,606,2670,646,2670,606,2690,626,2710,526,2710,486,2730,586,2750,566,2750,506,2770,726,2790,826,2810,906,2810,866,2830,846,2850,926,2870,1046,2890,1066,2890,1126,2910,1126,2930,1106,2950,1026,2950,1066,2970,1026,2990,926,3010,1066,3030,1186,3050,1206,3050,1226,3070,1286,3090,1186,3090,1266,3110,1346,3130,1286,3150,1206,3150,1186,3170,1306,3190,1266,3190,1206,3210,1306,3230,1286,3230,1186,3250,1146,3290,946,3290,906,3310,846,3330,706,3330,806,3350,966,3370,1046,3390,1166,3390,1206,3410,1406,3430,1526,3430,1426,3470,1586,3470,1506,3490,1706,3510,1606,3530,1586,3530,1506,3550,1566,3570,1546,3570,1506,3590,1466,3610,1406,3630,1286,3630,1306,3650,1446,3670,1626,3670,1666,3690,1926,3710,1986,3730,2246,3730,2046,3750,1886,3770,1966,3790,1866,3810,2086,3810,2166,3830,2186,3850,1926,3870,1946,3870,2066,3890,2166,3910,2146,3910,2246,3950,2206,3970,2386,3990,2446,4010,2326e" filled="false" stroked="true" strokeweight="1pt" strokecolor="#009483">
              <v:path arrowok="t"/>
              <v:stroke dashstyle="solid"/>
            </v:shape>
            <v:shape style="position:absolute;left:4050;top:563;width:100;height:1800" coordorigin="4050,564" coordsize="100,1800" path="m4150,1764l4050,1764m4150,2364l4050,2364m4150,1164l4050,1164m4150,564l4050,564e" filled="false" stroked="true" strokeweight=".5pt" strokecolor="#000000">
              <v:path arrowok="t"/>
              <v:stroke dashstyle="solid"/>
            </v:shape>
            <v:shape style="position:absolute;left:2928;top:172;width:362;height:438" type="#_x0000_t75" stroked="false">
              <v:imagedata r:id="rId29" o:title=""/>
            </v:shape>
            <v:shape style="position:absolute;left:3540;top:2289;width:214;height:133" type="#_x0000_t202" filled="false" stroked="false">
              <v:textbox inset="0,0,0,0">
                <w:txbxContent>
                  <w:p>
                    <w:pPr>
                      <w:spacing w:line="133" w:lineRule="exact" w:before="0"/>
                      <w:ind w:left="0" w:right="0" w:firstLine="0"/>
                      <w:jc w:val="left"/>
                      <w:rPr>
                        <w:sz w:val="12"/>
                      </w:rPr>
                    </w:pPr>
                    <w:r>
                      <w:rPr>
                        <w:sz w:val="12"/>
                      </w:rPr>
                      <w:t>ERI</w:t>
                    </w:r>
                  </w:p>
                </w:txbxContent>
              </v:textbox>
              <w10:wrap type="none"/>
            </v:shape>
            <w10:wrap type="none"/>
          </v:group>
        </w:pict>
      </w:r>
      <w:r>
        <w:rPr>
          <w:sz w:val="12"/>
        </w:rPr>
        <w:t>Broad ERI</w:t>
      </w:r>
    </w:p>
    <w:p>
      <w:pPr>
        <w:pStyle w:val="BodyText"/>
        <w:rPr>
          <w:sz w:val="12"/>
        </w:rPr>
      </w:pPr>
    </w:p>
    <w:p>
      <w:pPr>
        <w:pStyle w:val="BodyText"/>
        <w:spacing w:before="4"/>
        <w:rPr>
          <w:sz w:val="12"/>
        </w:rPr>
      </w:pPr>
    </w:p>
    <w:p>
      <w:pPr>
        <w:spacing w:before="0"/>
        <w:ind w:left="0" w:right="38" w:firstLine="0"/>
        <w:jc w:val="right"/>
        <w:rPr>
          <w:sz w:val="12"/>
        </w:rPr>
      </w:pPr>
      <w:r>
        <w:rPr>
          <w:sz w:val="12"/>
        </w:rPr>
        <w:t>102.5</w:t>
      </w:r>
    </w:p>
    <w:p>
      <w:pPr>
        <w:pStyle w:val="BodyText"/>
        <w:rPr>
          <w:sz w:val="12"/>
        </w:rPr>
      </w:pPr>
    </w:p>
    <w:p>
      <w:pPr>
        <w:pStyle w:val="BodyText"/>
        <w:rPr>
          <w:sz w:val="12"/>
        </w:rPr>
      </w:pPr>
    </w:p>
    <w:p>
      <w:pPr>
        <w:pStyle w:val="BodyText"/>
        <w:spacing w:before="10"/>
        <w:rPr>
          <w:sz w:val="17"/>
        </w:rPr>
      </w:pPr>
    </w:p>
    <w:p>
      <w:pPr>
        <w:spacing w:before="1"/>
        <w:ind w:left="0" w:right="38" w:firstLine="0"/>
        <w:jc w:val="right"/>
        <w:rPr>
          <w:sz w:val="12"/>
        </w:rPr>
      </w:pPr>
      <w:r>
        <w:rPr>
          <w:sz w:val="12"/>
        </w:rPr>
        <w:t>100.0</w:t>
      </w:r>
    </w:p>
    <w:p>
      <w:pPr>
        <w:pStyle w:val="BodyText"/>
        <w:rPr>
          <w:sz w:val="12"/>
        </w:rPr>
      </w:pPr>
    </w:p>
    <w:p>
      <w:pPr>
        <w:pStyle w:val="BodyText"/>
        <w:rPr>
          <w:sz w:val="12"/>
        </w:rPr>
      </w:pPr>
    </w:p>
    <w:p>
      <w:pPr>
        <w:pStyle w:val="BodyText"/>
        <w:spacing w:before="1"/>
        <w:rPr>
          <w:sz w:val="16"/>
        </w:rPr>
      </w:pPr>
    </w:p>
    <w:p>
      <w:pPr>
        <w:spacing w:before="1"/>
        <w:ind w:left="0" w:right="38" w:firstLine="0"/>
        <w:jc w:val="right"/>
        <w:rPr>
          <w:sz w:val="12"/>
        </w:rPr>
      </w:pPr>
      <w:r>
        <w:rPr>
          <w:sz w:val="12"/>
        </w:rPr>
        <w:t>97.5</w:t>
      </w:r>
    </w:p>
    <w:p>
      <w:pPr>
        <w:pStyle w:val="BodyText"/>
        <w:rPr>
          <w:sz w:val="12"/>
        </w:rPr>
      </w:pPr>
    </w:p>
    <w:p>
      <w:pPr>
        <w:pStyle w:val="BodyText"/>
        <w:rPr>
          <w:sz w:val="12"/>
        </w:rPr>
      </w:pPr>
    </w:p>
    <w:p>
      <w:pPr>
        <w:pStyle w:val="BodyText"/>
        <w:spacing w:before="1"/>
        <w:rPr>
          <w:sz w:val="16"/>
        </w:rPr>
      </w:pPr>
    </w:p>
    <w:p>
      <w:pPr>
        <w:spacing w:before="1"/>
        <w:ind w:left="0" w:right="38" w:firstLine="0"/>
        <w:jc w:val="right"/>
        <w:rPr>
          <w:sz w:val="12"/>
        </w:rPr>
      </w:pPr>
      <w:r>
        <w:rPr>
          <w:sz w:val="12"/>
        </w:rPr>
        <w:t>95.0</w:t>
      </w:r>
    </w:p>
    <w:p>
      <w:pPr>
        <w:pStyle w:val="Heading4"/>
        <w:spacing w:line="242" w:lineRule="auto" w:before="207"/>
        <w:ind w:left="220" w:right="293"/>
      </w:pPr>
      <w:r>
        <w:rPr/>
        <w:br w:type="column"/>
      </w:r>
      <w:r>
        <w:rPr/>
        <w:t>August projection. Many factors could </w:t>
      </w:r>
      <w:r>
        <w:rPr>
          <w:spacing w:val="-3"/>
        </w:rPr>
        <w:t>have </w:t>
      </w:r>
      <w:r>
        <w:rPr/>
        <w:t>accounted for the depreciation. A small part of the fall can be explained by the positive interest rate differential that existed between UK interest rates and overseas interest rates: other things being equal, currencies should move in order to equalise the risk-adjusted rate of return on assets across countries. The path implied by market interest rates at the time of the August </w:t>
      </w:r>
      <w:r>
        <w:rPr>
          <w:i/>
        </w:rPr>
        <w:t>Report </w:t>
      </w:r>
      <w:r>
        <w:rPr/>
        <w:t>is shown in Chart 1.15. In addition, interest rate differentials </w:t>
      </w:r>
      <w:r>
        <w:rPr>
          <w:spacing w:val="-3"/>
        </w:rPr>
        <w:t>have </w:t>
      </w:r>
      <w:r>
        <w:rPr/>
        <w:t>narrowed at the short end of the yield curve, as financial markets are now expecting UK monetary policy to be less tight relative to overseas than they were in August. This would </w:t>
      </w:r>
      <w:r>
        <w:rPr>
          <w:spacing w:val="-3"/>
        </w:rPr>
        <w:t>have </w:t>
      </w:r>
      <w:r>
        <w:rPr/>
        <w:t>caused the exchange rate to jump</w:t>
      </w:r>
      <w:r>
        <w:rPr>
          <w:spacing w:val="6"/>
        </w:rPr>
        <w:t> </w:t>
      </w:r>
      <w:r>
        <w:rPr>
          <w:spacing w:val="-6"/>
        </w:rPr>
        <w:t>down,</w:t>
      </w:r>
    </w:p>
    <w:p>
      <w:pPr>
        <w:spacing w:after="0" w:line="242" w:lineRule="auto"/>
        <w:sectPr>
          <w:type w:val="continuous"/>
          <w:pgSz w:w="11900" w:h="16840"/>
          <w:pgMar w:top="1220" w:bottom="280" w:left="620" w:right="520"/>
          <w:cols w:num="2" w:equalWidth="0">
            <w:col w:w="3911" w:space="849"/>
            <w:col w:w="6000"/>
          </w:cols>
        </w:sectPr>
      </w:pPr>
    </w:p>
    <w:p>
      <w:pPr>
        <w:pStyle w:val="BodyText"/>
        <w:spacing w:before="3"/>
        <w:rPr>
          <w:sz w:val="2"/>
        </w:rPr>
      </w:pPr>
    </w:p>
    <w:p>
      <w:pPr>
        <w:pStyle w:val="BodyText"/>
        <w:spacing w:line="150" w:lineRule="exact"/>
        <w:ind w:left="225"/>
        <w:rPr>
          <w:sz w:val="15"/>
        </w:rPr>
      </w:pPr>
      <w:r>
        <w:rPr>
          <w:position w:val="-2"/>
          <w:sz w:val="15"/>
        </w:rPr>
        <w:pict>
          <v:group style="width:165pt;height:7.25pt;mso-position-horizontal-relative:char;mso-position-vertical-relative:line" coordorigin="0,0" coordsize="3300,145">
            <v:shape style="position:absolute;left:0;top:0;width:3300;height:140" coordorigin="0,0" coordsize="3300,140" path="m140,140l3140,140m140,140l140,80m420,140l420,80m720,140l720,80m1020,140l1020,80m1300,140l1300,80m1580,140l1580,80m2220,140l2220,80m2500,140l2500,80m3140,140l3140,80m140,0l140,140m1900,140l1900,80m2820,140l2820,80m3140,140l3160,140m100,138l0,138m3300,138l3200,138e" filled="false" stroked="true" strokeweight=".5pt" strokecolor="#000000">
              <v:path arrowok="t"/>
              <v:stroke dashstyle="solid"/>
            </v:shape>
          </v:group>
        </w:pict>
      </w:r>
      <w:r>
        <w:rPr>
          <w:position w:val="-2"/>
          <w:sz w:val="15"/>
        </w:rPr>
      </w:r>
    </w:p>
    <w:p>
      <w:pPr>
        <w:spacing w:before="0"/>
        <w:ind w:left="621" w:right="517" w:firstLine="0"/>
        <w:jc w:val="center"/>
        <w:rPr>
          <w:sz w:val="12"/>
        </w:rPr>
      </w:pPr>
      <w:r>
        <w:rPr>
          <w:sz w:val="12"/>
        </w:rPr>
        <w:t>Jan. Feb. Mar. Apr. May June July Aug. Sept. Oct.</w:t>
      </w:r>
    </w:p>
    <w:p>
      <w:pPr>
        <w:spacing w:before="22"/>
        <w:ind w:left="578" w:right="517" w:firstLine="0"/>
        <w:jc w:val="center"/>
        <w:rPr>
          <w:sz w:val="12"/>
        </w:rPr>
      </w:pPr>
      <w:r>
        <w:rPr>
          <w:sz w:val="12"/>
        </w:rPr>
        <w:t>1998</w:t>
      </w:r>
    </w:p>
    <w:p>
      <w:pPr>
        <w:spacing w:before="89"/>
        <w:ind w:left="200" w:right="0" w:firstLine="0"/>
        <w:jc w:val="left"/>
        <w:rPr>
          <w:sz w:val="12"/>
        </w:rPr>
      </w:pPr>
      <w:r>
        <w:rPr>
          <w:sz w:val="12"/>
        </w:rPr>
        <w:t>Source: Bank of England.</w:t>
      </w:r>
    </w:p>
    <w:p>
      <w:pPr>
        <w:pStyle w:val="BodyText"/>
        <w:spacing w:before="1"/>
        <w:rPr>
          <w:sz w:val="10"/>
        </w:rPr>
      </w:pPr>
    </w:p>
    <w:p>
      <w:pPr>
        <w:spacing w:line="208" w:lineRule="auto" w:before="0"/>
        <w:ind w:left="440" w:right="0" w:hanging="240"/>
        <w:jc w:val="both"/>
        <w:rPr>
          <w:sz w:val="12"/>
        </w:rPr>
      </w:pPr>
      <w:r>
        <w:rPr>
          <w:sz w:val="12"/>
        </w:rPr>
        <w:t>(a) The ERI is a trade-weighted index of 20 countries’ exchange rates against sterling. The broad ERI is constructed using 49 countries’ exchange rates.</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Heading7"/>
        <w:spacing w:before="73"/>
        <w:ind w:left="220"/>
      </w:pPr>
      <w:r>
        <w:rPr>
          <w:color w:val="0093C1"/>
        </w:rPr>
        <w:t>Chart 1.15</w:t>
      </w:r>
    </w:p>
    <w:p>
      <w:pPr>
        <w:spacing w:before="10"/>
        <w:ind w:left="220" w:right="0" w:firstLine="0"/>
        <w:jc w:val="left"/>
        <w:rPr>
          <w:sz w:val="12"/>
        </w:rPr>
      </w:pPr>
      <w:r>
        <w:rPr>
          <w:b/>
          <w:color w:val="0093C1"/>
          <w:sz w:val="20"/>
        </w:rPr>
        <w:t>UK effective exchange rate profiles</w:t>
      </w:r>
      <w:r>
        <w:rPr>
          <w:position w:val="4"/>
          <w:sz w:val="12"/>
        </w:rPr>
        <w:t>(a)</w:t>
      </w:r>
    </w:p>
    <w:p>
      <w:pPr>
        <w:spacing w:before="131"/>
        <w:ind w:left="250" w:right="0" w:firstLine="0"/>
        <w:jc w:val="left"/>
        <w:rPr>
          <w:sz w:val="12"/>
        </w:rPr>
      </w:pPr>
      <w:r>
        <w:rPr>
          <w:sz w:val="12"/>
        </w:rPr>
        <w:t>ERI implied:</w:t>
      </w:r>
    </w:p>
    <w:p>
      <w:pPr>
        <w:spacing w:before="87"/>
        <w:ind w:left="1" w:right="0" w:firstLine="0"/>
        <w:jc w:val="left"/>
        <w:rPr>
          <w:sz w:val="12"/>
        </w:rPr>
      </w:pPr>
      <w:r>
        <w:rPr/>
        <w:br w:type="column"/>
      </w:r>
      <w:r>
        <w:rPr>
          <w:sz w:val="12"/>
        </w:rPr>
        <w:t>92.5</w:t>
      </w:r>
    </w:p>
    <w:p>
      <w:pPr>
        <w:pStyle w:val="Heading4"/>
        <w:spacing w:line="242" w:lineRule="auto" w:before="17"/>
        <w:ind w:right="221"/>
      </w:pPr>
      <w:r>
        <w:rPr/>
        <w:br w:type="column"/>
      </w:r>
      <w:r>
        <w:rPr/>
        <w:t>other things being equal. But at longer maturities, UK forward nominal interest rates have risen relative to overseas rates, suggesting that UK implied forward inflation rates have risen relative to the rest of the world. This would tend to imply a slightly steeper path for the depreciation of sterling expected by the market over the longer term (see Chart 1.15).</w:t>
      </w:r>
    </w:p>
    <w:p>
      <w:pPr>
        <w:pStyle w:val="BodyText"/>
        <w:rPr>
          <w:sz w:val="23"/>
        </w:rPr>
      </w:pPr>
    </w:p>
    <w:p>
      <w:pPr>
        <w:spacing w:line="280" w:lineRule="atLeast" w:before="0"/>
        <w:ind w:left="200" w:right="247" w:firstLine="0"/>
        <w:jc w:val="left"/>
        <w:rPr>
          <w:sz w:val="24"/>
        </w:rPr>
      </w:pPr>
      <w:r>
        <w:rPr/>
        <w:pict>
          <v:group style="position:absolute;margin-left:43.382999pt;margin-top:80.13768pt;width:5.85pt;height:11.8pt;mso-position-horizontal-relative:page;mso-position-vertical-relative:paragraph;z-index:15805952" coordorigin="868,1603" coordsize="117,236">
            <v:shape style="position:absolute;left:893;top:1748;width:85;height:85" coordorigin="894,1749" coordsize="85,85" path="m936,1749l919,1752,906,1761,897,1775,894,1791,897,1808,906,1821,919,1830,936,1834,953,1830,966,1821,975,1808,978,1791,975,1775,966,1761,953,1752,936,1749xe" filled="true" fillcolor="#ed1b2d" stroked="false">
              <v:path arrowok="t"/>
              <v:fill type="solid"/>
            </v:shape>
            <v:shape style="position:absolute;left:893;top:1748;width:85;height:85" coordorigin="894,1749" coordsize="85,85" path="m936,1834l953,1830,966,1821,975,1808,978,1791,975,1775,966,1761,953,1752,936,1749,919,1752,906,1761,897,1775,894,1791,897,1808,906,1821,919,1830,936,1834xe" filled="false" stroked="true" strokeweight=".5pt" strokecolor="#000000">
              <v:path arrowok="t"/>
              <v:stroke dashstyle="solid"/>
            </v:shape>
            <v:shape style="position:absolute;left:867;top:1602;width:117;height:104" type="#_x0000_t75" stroked="false">
              <v:imagedata r:id="rId30" o:title=""/>
            </v:shape>
            <w10:wrap type="none"/>
          </v:group>
        </w:pict>
      </w:r>
      <w:r>
        <w:rPr/>
        <w:pict>
          <v:group style="position:absolute;margin-left:103.555pt;margin-top:79.642685pt;width:6.2pt;height:13pt;mso-position-horizontal-relative:page;mso-position-vertical-relative:paragraph;z-index:-21682176" coordorigin="2071,1593" coordsize="124,260">
            <v:shape style="position:absolute;left:2071;top:1592;width:124;height:124" type="#_x0000_t75" stroked="false">
              <v:imagedata r:id="rId31" o:title=""/>
            </v:shape>
            <v:shape style="position:absolute;left:2092;top:1771;width:77;height:77" coordorigin="2093,1771" coordsize="77,77" path="m2169,1771l2093,1848e" filled="true" fillcolor="#ed1b2d" stroked="false">
              <v:path arrowok="t"/>
              <v:fill type="solid"/>
            </v:shape>
            <v:line style="position:absolute" from="2093,1848" to="2169,1771" stroked="true" strokeweight=".5pt" strokecolor="#ed1b2d">
              <v:stroke dashstyle="solid"/>
            </v:line>
            <v:shape style="position:absolute;left:2089;top:1764;width:84;height:84" coordorigin="2089,1764" coordsize="84,84" path="m2089,1764l2173,1848e" filled="true" fillcolor="#ed1b2d" stroked="false">
              <v:path arrowok="t"/>
              <v:fill type="solid"/>
            </v:shape>
            <v:line style="position:absolute" from="2089,1764" to="2173,1848" stroked="true" strokeweight=".5pt" strokecolor="#ed1b2d">
              <v:stroke dashstyle="solid"/>
            </v:line>
            <w10:wrap type="none"/>
          </v:group>
        </w:pict>
      </w:r>
      <w:r>
        <w:rPr/>
        <w:pict>
          <v:group style="position:absolute;margin-left:160.884003pt;margin-top:80.804680pt;width:4.5pt;height:4.5pt;mso-position-horizontal-relative:page;mso-position-vertical-relative:paragraph;z-index:15806976" coordorigin="3218,1616" coordsize="90,90">
            <v:rect style="position:absolute;left:3222;top:1621;width:80;height:80" filled="true" fillcolor="#edc5dd" stroked="false">
              <v:fill type="solid"/>
            </v:rect>
            <v:rect style="position:absolute;left:3222;top:1621;width:80;height:80" filled="false" stroked="true" strokeweight=".5pt" strokecolor="#000000">
              <v:stroke dashstyle="solid"/>
            </v:rect>
            <w10:wrap type="none"/>
          </v:group>
        </w:pict>
      </w:r>
      <w:r>
        <w:rPr>
          <w:sz w:val="24"/>
        </w:rPr>
        <w:t>The problems in emerging market economies have led to net capital outflows from, or lower net capital inflows to, those countries. Unless the flows resume, these economies will have to run larger current account surpluses or smaller deficits than before. This is part of the explanation for their currencies depreciating against</w:t>
      </w:r>
    </w:p>
    <w:p>
      <w:pPr>
        <w:spacing w:after="0" w:line="280" w:lineRule="atLeast"/>
        <w:jc w:val="left"/>
        <w:rPr>
          <w:sz w:val="24"/>
        </w:rPr>
        <w:sectPr>
          <w:type w:val="continuous"/>
          <w:pgSz w:w="11900" w:h="16840"/>
          <w:pgMar w:top="1220" w:bottom="280" w:left="620" w:right="520"/>
          <w:cols w:num="3" w:equalWidth="0">
            <w:col w:w="3619" w:space="40"/>
            <w:col w:w="252" w:space="869"/>
            <w:col w:w="5980"/>
          </w:cols>
        </w:sectPr>
      </w:pPr>
    </w:p>
    <w:p>
      <w:pPr>
        <w:tabs>
          <w:tab w:pos="1585" w:val="left" w:leader="none"/>
          <w:tab w:pos="2705" w:val="left" w:leader="none"/>
        </w:tabs>
        <w:spacing w:line="15" w:lineRule="exact" w:before="0"/>
        <w:ind w:left="405" w:right="0" w:firstLine="0"/>
        <w:jc w:val="left"/>
        <w:rPr>
          <w:sz w:val="12"/>
        </w:rPr>
      </w:pPr>
      <w:r>
        <w:rPr>
          <w:sz w:val="12"/>
        </w:rPr>
        <w:t>Three months ahead</w:t>
        <w:tab/>
        <w:t>Six months ahead</w:t>
        <w:tab/>
        <w:t>Twelve months ahead</w:t>
      </w:r>
    </w:p>
    <w:p>
      <w:pPr>
        <w:spacing w:after="0" w:line="15" w:lineRule="exact"/>
        <w:jc w:val="left"/>
        <w:rPr>
          <w:sz w:val="12"/>
        </w:rPr>
        <w:sectPr>
          <w:type w:val="continuous"/>
          <w:pgSz w:w="11900" w:h="16840"/>
          <w:pgMar w:top="1220" w:bottom="280" w:left="620" w:right="520"/>
        </w:sectPr>
      </w:pPr>
    </w:p>
    <w:p>
      <w:pPr>
        <w:spacing w:before="28"/>
        <w:ind w:left="405" w:right="0" w:firstLine="0"/>
        <w:jc w:val="left"/>
        <w:rPr>
          <w:sz w:val="12"/>
        </w:rPr>
      </w:pPr>
      <w:r>
        <w:rPr>
          <w:sz w:val="12"/>
        </w:rPr>
        <w:t>Five years ahead</w:t>
      </w:r>
    </w:p>
    <w:p>
      <w:pPr>
        <w:pStyle w:val="BodyText"/>
        <w:spacing w:before="2"/>
        <w:rPr>
          <w:sz w:val="7"/>
        </w:rPr>
      </w:pPr>
    </w:p>
    <w:p>
      <w:pPr>
        <w:pStyle w:val="BodyText"/>
        <w:spacing w:line="20" w:lineRule="exact"/>
        <w:ind w:left="225"/>
        <w:rPr>
          <w:sz w:val="2"/>
        </w:rPr>
      </w:pPr>
      <w:r>
        <w:rPr>
          <w:sz w:val="2"/>
        </w:rPr>
        <w:pict>
          <v:group style="width:4pt;height:.5pt;mso-position-horizontal-relative:char;mso-position-vertical-relative:line" coordorigin="0,0" coordsize="80,10">
            <v:line style="position:absolute" from="0,5" to="80,5" stroked="true" strokeweight=".5pt" strokecolor="#000000">
              <v:stroke dashstyle="solid"/>
            </v:line>
          </v:group>
        </w:pict>
      </w:r>
      <w:r>
        <w:rPr>
          <w:sz w:val="2"/>
        </w:rPr>
      </w:r>
    </w:p>
    <w:p>
      <w:pPr>
        <w:pStyle w:val="BodyText"/>
        <w:spacing w:before="3"/>
        <w:rPr>
          <w:sz w:val="19"/>
        </w:rPr>
      </w:pPr>
      <w:r>
        <w:rPr/>
        <w:pict>
          <v:shape style="position:absolute;margin-left:42.5pt;margin-top:13.279287pt;width:4pt;height:.1pt;mso-position-horizontal-relative:page;mso-position-vertical-relative:paragraph;z-index:-15662080;mso-wrap-distance-left:0;mso-wrap-distance-right:0" coordorigin="850,266" coordsize="80,0" path="m850,266l930,266e" filled="false" stroked="true" strokeweight=".5pt" strokecolor="#000000">
            <v:path arrowok="t"/>
            <v:stroke dashstyle="solid"/>
            <w10:wrap type="topAndBottom"/>
          </v:shape>
        </w:pict>
      </w:r>
    </w:p>
    <w:p>
      <w:pPr>
        <w:spacing w:before="28"/>
        <w:ind w:left="333" w:right="0" w:firstLine="0"/>
        <w:jc w:val="left"/>
        <w:rPr>
          <w:sz w:val="12"/>
        </w:rPr>
      </w:pPr>
      <w:r>
        <w:rPr/>
        <w:br w:type="column"/>
      </w:r>
      <w:r>
        <w:rPr>
          <w:sz w:val="12"/>
        </w:rPr>
        <w:t>Ten years ahead</w:t>
      </w:r>
    </w:p>
    <w:p>
      <w:pPr>
        <w:spacing w:before="93"/>
        <w:ind w:left="405" w:right="0" w:firstLine="0"/>
        <w:jc w:val="left"/>
        <w:rPr>
          <w:sz w:val="12"/>
        </w:rPr>
      </w:pPr>
      <w:r>
        <w:rPr/>
        <w:br w:type="column"/>
      </w:r>
      <w:r>
        <w:rPr>
          <w:sz w:val="12"/>
        </w:rPr>
        <w:t>1990 = 100</w:t>
      </w:r>
    </w:p>
    <w:p>
      <w:pPr>
        <w:pStyle w:val="BodyText"/>
        <w:spacing w:line="20" w:lineRule="exact"/>
        <w:ind w:left="863" w:right="-72"/>
        <w:rPr>
          <w:sz w:val="2"/>
        </w:rPr>
      </w:pPr>
      <w:r>
        <w:rPr>
          <w:sz w:val="2"/>
        </w:rPr>
        <w:pict>
          <v:group style="width:4pt;height:.5pt;mso-position-horizontal-relative:char;mso-position-vertical-relative:line" coordorigin="0,0" coordsize="80,10">
            <v:line style="position:absolute" from="0,5" to="80,5" stroked="true" strokeweight=".5pt" strokecolor="#000000">
              <v:stroke dashstyle="solid"/>
            </v:line>
          </v:group>
        </w:pict>
      </w:r>
      <w:r>
        <w:rPr>
          <w:sz w:val="2"/>
        </w:rPr>
      </w:r>
    </w:p>
    <w:p>
      <w:pPr>
        <w:pStyle w:val="BodyText"/>
        <w:spacing w:before="9"/>
        <w:rPr>
          <w:sz w:val="20"/>
        </w:rPr>
      </w:pPr>
      <w:r>
        <w:rPr/>
        <w:pict>
          <v:shape style="position:absolute;margin-left:206.5pt;margin-top:14.153945pt;width:4pt;height:.1pt;mso-position-horizontal-relative:page;mso-position-vertical-relative:paragraph;z-index:-15661056;mso-wrap-distance-left:0;mso-wrap-distance-right:0" coordorigin="4130,283" coordsize="80,0" path="m4130,283l4210,283e" filled="false" stroked="true" strokeweight=".5pt" strokecolor="#000000">
            <v:path arrowok="t"/>
            <v:stroke dashstyle="solid"/>
            <w10:wrap type="topAndBottom"/>
          </v:shape>
        </w:pict>
      </w:r>
      <w:r>
        <w:rPr/>
        <w:pict>
          <v:shape style="position:absolute;margin-left:206.5pt;margin-top:28.153946pt;width:4pt;height:.1pt;mso-position-horizontal-relative:page;mso-position-vertical-relative:paragraph;z-index:-15660544;mso-wrap-distance-left:0;mso-wrap-distance-right:0" coordorigin="4130,563" coordsize="80,0" path="m4130,563l4210,563e" filled="false" stroked="true" strokeweight=".5pt" strokecolor="#000000">
            <v:path arrowok="t"/>
            <v:stroke dashstyle="solid"/>
            <w10:wrap type="topAndBottom"/>
          </v:shape>
        </w:pict>
      </w:r>
      <w:r>
        <w:rPr/>
        <w:pict>
          <v:shape style="position:absolute;margin-left:206.5pt;margin-top:41.153946pt;width:4pt;height:.1pt;mso-position-horizontal-relative:page;mso-position-vertical-relative:paragraph;z-index:-15660032;mso-wrap-distance-left:0;mso-wrap-distance-right:0" coordorigin="4130,823" coordsize="80,0" path="m4130,823l4210,823e" filled="false" stroked="true" strokeweight=".5pt" strokecolor="#000000">
            <v:path arrowok="t"/>
            <v:stroke dashstyle="solid"/>
            <w10:wrap type="topAndBottom"/>
          </v:shape>
        </w:pict>
      </w:r>
      <w:r>
        <w:rPr/>
        <w:pict>
          <v:shape style="position:absolute;margin-left:206.5pt;margin-top:55.153946pt;width:4pt;height:.1pt;mso-position-horizontal-relative:page;mso-position-vertical-relative:paragraph;z-index:-15659520;mso-wrap-distance-left:0;mso-wrap-distance-right:0" coordorigin="4130,1103" coordsize="80,0" path="m4130,1103l4210,1103e" filled="false" stroked="true" strokeweight=".5pt" strokecolor="#000000">
            <v:path arrowok="t"/>
            <v:stroke dashstyle="solid"/>
            <w10:wrap type="topAndBottom"/>
          </v:shape>
        </w:pict>
      </w:r>
      <w:r>
        <w:rPr/>
        <w:pict>
          <v:shape style="position:absolute;margin-left:206.5pt;margin-top:69.153946pt;width:4pt;height:.1pt;mso-position-horizontal-relative:page;mso-position-vertical-relative:paragraph;z-index:-15659008;mso-wrap-distance-left:0;mso-wrap-distance-right:0" coordorigin="4130,1383" coordsize="80,0" path="m4130,1383l4210,1383e" filled="false" stroked="true" strokeweight=".5pt" strokecolor="#000000">
            <v:path arrowok="t"/>
            <v:stroke dashstyle="solid"/>
            <w10:wrap type="topAndBottom"/>
          </v:shape>
        </w:pict>
      </w:r>
      <w:r>
        <w:rPr/>
        <w:pict>
          <v:shape style="position:absolute;margin-left:206.5pt;margin-top:82.153946pt;width:4pt;height:.1pt;mso-position-horizontal-relative:page;mso-position-vertical-relative:paragraph;z-index:-15658496;mso-wrap-distance-left:0;mso-wrap-distance-right:0" coordorigin="4130,1643" coordsize="80,0" path="m4130,1643l4210,1643e" filled="false" stroked="true" strokeweight=".5pt" strokecolor="#000000">
            <v:path arrowok="t"/>
            <v:stroke dashstyle="solid"/>
            <w10:wrap type="topAndBottom"/>
          </v:shape>
        </w:pict>
      </w:r>
      <w:r>
        <w:rPr/>
        <w:pict>
          <v:shape style="position:absolute;margin-left:206.5pt;margin-top:96.153946pt;width:4pt;height:.1pt;mso-position-horizontal-relative:page;mso-position-vertical-relative:paragraph;z-index:-15657984;mso-wrap-distance-left:0;mso-wrap-distance-right:0" coordorigin="4130,1923" coordsize="80,0" path="m4130,1923l4210,1923e" filled="false" stroked="true" strokeweight=".5pt" strokecolor="#000000">
            <v:path arrowok="t"/>
            <v:stroke dashstyle="solid"/>
            <w10:wrap type="topAndBottom"/>
          </v:shape>
        </w:pict>
      </w:r>
      <w:r>
        <w:rPr/>
        <w:pict>
          <v:shape style="position:absolute;margin-left:206.5pt;margin-top:110.153946pt;width:4pt;height:.1pt;mso-position-horizontal-relative:page;mso-position-vertical-relative:paragraph;z-index:-15657472;mso-wrap-distance-left:0;mso-wrap-distance-right:0" coordorigin="4130,2203" coordsize="80,0" path="m4130,2203l4210,2203e" filled="false" stroked="true" strokeweight=".5pt" strokecolor="#000000">
            <v:path arrowok="t"/>
            <v:stroke dashstyle="solid"/>
            <w10:wrap type="topAndBottom"/>
          </v:shape>
        </w:pict>
      </w:r>
      <w:r>
        <w:rPr/>
        <w:pict>
          <v:shape style="position:absolute;margin-left:206.5pt;margin-top:124.153946pt;width:4pt;height:.1pt;mso-position-horizontal-relative:page;mso-position-vertical-relative:paragraph;z-index:-15656960;mso-wrap-distance-left:0;mso-wrap-distance-right:0" coordorigin="4130,2483" coordsize="80,0" path="m4130,2483l4210,2483e" filled="false" stroked="true" strokeweight=".5pt" strokecolor="#000000">
            <v:path arrowok="t"/>
            <v:stroke dashstyle="solid"/>
            <w10:wrap type="topAndBottom"/>
          </v:shape>
        </w:pict>
      </w:r>
    </w:p>
    <w:p>
      <w:pPr>
        <w:pStyle w:val="BodyText"/>
        <w:spacing w:before="6"/>
        <w:rPr>
          <w:sz w:val="17"/>
        </w:rPr>
      </w:pPr>
    </w:p>
    <w:p>
      <w:pPr>
        <w:pStyle w:val="BodyText"/>
        <w:spacing w:before="9"/>
        <w:rPr>
          <w:sz w:val="15"/>
        </w:rPr>
      </w:pPr>
    </w:p>
    <w:p>
      <w:pPr>
        <w:pStyle w:val="BodyText"/>
        <w:spacing w:before="6"/>
        <w:rPr>
          <w:sz w:val="17"/>
        </w:rPr>
      </w:pPr>
    </w:p>
    <w:p>
      <w:pPr>
        <w:pStyle w:val="BodyText"/>
        <w:spacing w:before="6"/>
        <w:rPr>
          <w:sz w:val="17"/>
        </w:rPr>
      </w:pPr>
    </w:p>
    <w:p>
      <w:pPr>
        <w:pStyle w:val="BodyText"/>
        <w:spacing w:before="9"/>
        <w:rPr>
          <w:sz w:val="15"/>
        </w:rPr>
      </w:pPr>
    </w:p>
    <w:p>
      <w:pPr>
        <w:pStyle w:val="BodyText"/>
        <w:spacing w:before="6"/>
        <w:rPr>
          <w:sz w:val="17"/>
        </w:rPr>
      </w:pPr>
    </w:p>
    <w:p>
      <w:pPr>
        <w:pStyle w:val="BodyText"/>
        <w:spacing w:before="6"/>
        <w:rPr>
          <w:sz w:val="17"/>
        </w:rPr>
      </w:pPr>
    </w:p>
    <w:p>
      <w:pPr>
        <w:pStyle w:val="BodyText"/>
        <w:spacing w:before="6"/>
        <w:rPr>
          <w:sz w:val="17"/>
        </w:rPr>
      </w:pPr>
    </w:p>
    <w:p>
      <w:pPr>
        <w:pStyle w:val="BodyText"/>
        <w:spacing w:before="8"/>
        <w:rPr>
          <w:sz w:val="16"/>
        </w:rPr>
      </w:pPr>
      <w:r>
        <w:rPr/>
        <w:br w:type="column"/>
      </w:r>
      <w:r>
        <w:rPr>
          <w:sz w:val="16"/>
        </w:rPr>
      </w:r>
    </w:p>
    <w:p>
      <w:pPr>
        <w:spacing w:before="0"/>
        <w:ind w:left="-15" w:right="0" w:firstLine="0"/>
        <w:jc w:val="left"/>
        <w:rPr>
          <w:sz w:val="12"/>
        </w:rPr>
      </w:pPr>
      <w:r>
        <w:rPr>
          <w:sz w:val="12"/>
        </w:rPr>
        <w:t>110</w:t>
      </w:r>
    </w:p>
    <w:p>
      <w:pPr>
        <w:pStyle w:val="BodyText"/>
        <w:spacing w:before="4"/>
        <w:rPr>
          <w:sz w:val="12"/>
        </w:rPr>
      </w:pPr>
    </w:p>
    <w:p>
      <w:pPr>
        <w:spacing w:before="0"/>
        <w:ind w:left="-15" w:right="0" w:firstLine="0"/>
        <w:jc w:val="left"/>
        <w:rPr>
          <w:sz w:val="12"/>
        </w:rPr>
      </w:pPr>
      <w:r>
        <w:rPr>
          <w:sz w:val="12"/>
        </w:rPr>
        <w:t>108</w:t>
      </w:r>
    </w:p>
    <w:p>
      <w:pPr>
        <w:pStyle w:val="BodyText"/>
        <w:spacing w:before="7"/>
        <w:rPr>
          <w:sz w:val="10"/>
        </w:rPr>
      </w:pPr>
    </w:p>
    <w:p>
      <w:pPr>
        <w:spacing w:before="0"/>
        <w:ind w:left="-15" w:right="0" w:firstLine="0"/>
        <w:jc w:val="left"/>
        <w:rPr>
          <w:sz w:val="12"/>
        </w:rPr>
      </w:pPr>
      <w:r>
        <w:rPr>
          <w:sz w:val="12"/>
        </w:rPr>
        <w:t>106</w:t>
      </w:r>
    </w:p>
    <w:p>
      <w:pPr>
        <w:pStyle w:val="BodyText"/>
        <w:spacing w:before="4"/>
        <w:rPr>
          <w:sz w:val="12"/>
        </w:rPr>
      </w:pPr>
    </w:p>
    <w:p>
      <w:pPr>
        <w:spacing w:before="0"/>
        <w:ind w:left="-15" w:right="0" w:firstLine="0"/>
        <w:jc w:val="left"/>
        <w:rPr>
          <w:sz w:val="12"/>
        </w:rPr>
      </w:pPr>
      <w:r>
        <w:rPr>
          <w:sz w:val="12"/>
        </w:rPr>
        <w:t>104</w:t>
      </w:r>
    </w:p>
    <w:p>
      <w:pPr>
        <w:pStyle w:val="BodyText"/>
        <w:spacing w:before="4"/>
        <w:rPr>
          <w:sz w:val="12"/>
        </w:rPr>
      </w:pPr>
    </w:p>
    <w:p>
      <w:pPr>
        <w:spacing w:before="0"/>
        <w:ind w:left="-15" w:right="0" w:firstLine="0"/>
        <w:jc w:val="left"/>
        <w:rPr>
          <w:sz w:val="12"/>
        </w:rPr>
      </w:pPr>
      <w:r>
        <w:rPr>
          <w:sz w:val="12"/>
        </w:rPr>
        <w:t>102</w:t>
      </w:r>
    </w:p>
    <w:p>
      <w:pPr>
        <w:pStyle w:val="BodyText"/>
        <w:spacing w:before="7"/>
        <w:rPr>
          <w:sz w:val="10"/>
        </w:rPr>
      </w:pPr>
    </w:p>
    <w:p>
      <w:pPr>
        <w:spacing w:before="0"/>
        <w:ind w:left="-15" w:right="0" w:firstLine="0"/>
        <w:jc w:val="left"/>
        <w:rPr>
          <w:sz w:val="12"/>
        </w:rPr>
      </w:pPr>
      <w:r>
        <w:rPr>
          <w:sz w:val="12"/>
        </w:rPr>
        <w:t>100</w:t>
      </w:r>
    </w:p>
    <w:p>
      <w:pPr>
        <w:pStyle w:val="BodyText"/>
        <w:spacing w:before="4"/>
        <w:rPr>
          <w:sz w:val="12"/>
        </w:rPr>
      </w:pPr>
    </w:p>
    <w:p>
      <w:pPr>
        <w:spacing w:before="0"/>
        <w:ind w:left="45" w:right="0" w:firstLine="0"/>
        <w:jc w:val="left"/>
        <w:rPr>
          <w:sz w:val="12"/>
        </w:rPr>
      </w:pPr>
      <w:r>
        <w:rPr>
          <w:sz w:val="12"/>
        </w:rPr>
        <w:t>98</w:t>
      </w:r>
    </w:p>
    <w:p>
      <w:pPr>
        <w:pStyle w:val="BodyText"/>
        <w:spacing w:before="4"/>
        <w:rPr>
          <w:sz w:val="12"/>
        </w:rPr>
      </w:pPr>
    </w:p>
    <w:p>
      <w:pPr>
        <w:spacing w:before="0"/>
        <w:ind w:left="45" w:right="0" w:firstLine="0"/>
        <w:jc w:val="left"/>
        <w:rPr>
          <w:sz w:val="12"/>
        </w:rPr>
      </w:pPr>
      <w:r>
        <w:rPr>
          <w:sz w:val="12"/>
        </w:rPr>
        <w:t>96</w:t>
      </w:r>
    </w:p>
    <w:p>
      <w:pPr>
        <w:pStyle w:val="BodyText"/>
        <w:spacing w:before="7"/>
        <w:rPr>
          <w:sz w:val="10"/>
        </w:rPr>
      </w:pPr>
    </w:p>
    <w:p>
      <w:pPr>
        <w:spacing w:before="0"/>
        <w:ind w:left="45" w:right="0" w:firstLine="0"/>
        <w:jc w:val="left"/>
        <w:rPr>
          <w:sz w:val="12"/>
        </w:rPr>
      </w:pPr>
      <w:r>
        <w:rPr>
          <w:sz w:val="12"/>
        </w:rPr>
        <w:t>94</w:t>
      </w:r>
    </w:p>
    <w:p>
      <w:pPr>
        <w:pStyle w:val="BodyText"/>
        <w:spacing w:before="4"/>
        <w:rPr>
          <w:sz w:val="12"/>
        </w:rPr>
      </w:pPr>
    </w:p>
    <w:p>
      <w:pPr>
        <w:spacing w:before="0"/>
        <w:ind w:left="45" w:right="0" w:firstLine="0"/>
        <w:jc w:val="left"/>
        <w:rPr>
          <w:sz w:val="12"/>
        </w:rPr>
      </w:pPr>
      <w:r>
        <w:rPr>
          <w:sz w:val="12"/>
        </w:rPr>
        <w:t>92</w:t>
      </w:r>
    </w:p>
    <w:p>
      <w:pPr>
        <w:pStyle w:val="Heading4"/>
        <w:spacing w:line="242" w:lineRule="auto"/>
        <w:ind w:left="405" w:right="309"/>
      </w:pPr>
      <w:r>
        <w:rPr/>
        <w:br w:type="column"/>
      </w:r>
      <w:r>
        <w:rPr/>
        <w:t>those of the major industrialised countries. And the counterpart to these surpluses or smaller deficits has to be larger deficits or smaller surpluses elsewhere in the world. Relatively weak demand relative to capacity and strong net exports in continental Europe and Japan could enable them to bear the largest part of the adjustment on their current accounts. Consequently, this may help to explain why the Japanese and continental European currencies appreciated by more against the emerging market currencies than the dollar and sterling.</w:t>
      </w:r>
    </w:p>
    <w:p>
      <w:pPr>
        <w:spacing w:after="0" w:line="242" w:lineRule="auto"/>
        <w:sectPr>
          <w:type w:val="continuous"/>
          <w:pgSz w:w="11900" w:h="16840"/>
          <w:pgMar w:top="1220" w:bottom="280" w:left="620" w:right="520"/>
          <w:cols w:num="5" w:equalWidth="0">
            <w:col w:w="1213" w:space="40"/>
            <w:col w:w="1154" w:space="235"/>
            <w:col w:w="954" w:space="39"/>
            <w:col w:w="206" w:space="733"/>
            <w:col w:w="6186"/>
          </w:cols>
        </w:sectPr>
      </w:pPr>
    </w:p>
    <w:p>
      <w:pPr>
        <w:pStyle w:val="BodyText"/>
        <w:spacing w:before="4"/>
        <w:rPr>
          <w:sz w:val="12"/>
        </w:rPr>
      </w:pPr>
    </w:p>
    <w:p>
      <w:pPr>
        <w:spacing w:before="0"/>
        <w:ind w:left="0" w:right="250" w:firstLine="0"/>
        <w:jc w:val="right"/>
        <w:rPr>
          <w:sz w:val="12"/>
        </w:rPr>
      </w:pPr>
      <w:r>
        <w:rPr/>
        <w:pict>
          <v:group style="position:absolute;margin-left:42.5pt;margin-top:-106.397629pt;width:168pt;height:109.75pt;mso-position-horizontal-relative:page;mso-position-vertical-relative:paragraph;z-index:-21685248" coordorigin="850,-2128" coordsize="3360,2195">
            <v:shape style="position:absolute;left:1010;top:-2118;width:2880;height:1140" coordorigin="1010,-2118" coordsize="2880,1140" path="m1010,-2118l1170,-1878,1310,-1678,2450,-1078,3890,-978e" filled="false" stroked="true" strokeweight="1pt" strokecolor="#ed1b2d">
              <v:path arrowok="t"/>
              <v:stroke dashstyle="solid"/>
            </v:shape>
            <v:rect style="position:absolute;left:1290;top:-1698;width:40;height:40" filled="false" stroked="true" strokeweight=".5pt" strokecolor="#000000">
              <v:stroke dashstyle="solid"/>
            </v:rect>
            <v:shape style="position:absolute;left:1090;top:-1838;width:2860;height:1500" coordorigin="1090,-1838" coordsize="2860,1500" path="m1090,-1838l1170,-1718,1230,-1598,1230,-1578,1370,-1338,2530,-618,3950,-338e" filled="false" stroked="true" strokeweight="1pt" strokecolor="#0066a5">
              <v:path arrowok="t"/>
              <v:stroke dashstyle="solid"/>
            </v:shape>
            <v:shape style="position:absolute;left:1170;top:-1218;width:2860;height:1180" coordorigin="1170,-1218" coordsize="2860,1180" path="m1170,-1218l1230,-1098,1310,-998,1450,-838,1450,-818,2590,-438,4030,-38e" filled="false" stroked="true" strokeweight="1pt" strokecolor="#faab54">
              <v:path arrowok="t"/>
              <v:stroke dashstyle="solid"/>
            </v:shape>
            <v:shape style="position:absolute;left:1290;top:-1018;width:40;height:40" coordorigin="1290,-1018" coordsize="40,40" path="m1310,-1018l1290,-998,1310,-978,1330,-998,1310,-1018e" filled="false" stroked="true" strokeweight=".5pt" strokecolor="#000000">
              <v:path arrowok="t"/>
              <v:stroke dashstyle="solid"/>
            </v:shape>
            <v:shape style="position:absolute;left:850;top:-2118;width:80;height:1920" coordorigin="850,-2118" coordsize="80,1920" path="m850,-2118l930,-2118m850,-1858l930,-1858m850,-1578l930,-1578m850,-1298l930,-1298m850,-1038l930,-1038m850,-758l930,-758m850,-478l930,-478m850,-198l930,-198e" filled="false" stroked="true" strokeweight=".5pt" strokecolor="#000000">
              <v:path arrowok="t"/>
              <v:stroke dashstyle="solid"/>
            </v:shape>
            <v:shape style="position:absolute;left:1070;top:-2018;width:180;height:940" coordorigin="1070,-2018" coordsize="180,940" path="m1230,-1078l1250,-1118,1210,-1118,1230,-1078m1170,-1698l1190,-1718,1130,-1718,1170,-1698m1090,-1978l1110,-2018,1070,-2018,1090,-1978m1230,-1618l1210,-1578,1230,-1558,1250,-1578,1230,-1618m1150,-1918l1130,-1878,1150,-1858,1170,-1878,1150,-1918e" filled="false" stroked="true" strokeweight=".5pt" strokecolor="#000000">
              <v:path arrowok="t"/>
              <v:stroke dashstyle="solid"/>
            </v:shape>
            <v:line style="position:absolute" from="1170,-1878" to="1170,-1878" stroked="true" strokeweight=".5pt" strokecolor="#000000">
              <v:stroke dashstyle="solid"/>
            </v:line>
            <v:shape style="position:absolute;left:1350;top:-1378;width:1240;height:960" coordorigin="1350,-1378" coordsize="1240,960" path="m1430,-858l1430,-818,1470,-818,1470,-858,1430,-858m1350,-1378l1350,-1318,1390,-1318,1390,-1378,1350,-1378m2520,-658l2525,-658,2530,-643,2530,-628,2530,-613,2525,-598,2520,-598,2515,-598,2510,-613,2510,-628,2510,-643,2515,-658,2520,-658xm2440,-1118l2445,-1118,2450,-1103,2450,-1088,2450,-1073,2445,-1058,2440,-1058,2435,-1058,2430,-1073,2430,-1088,2430,-1103,2435,-1118,2440,-1118xm2580,-478l2585,-478,2590,-463,2590,-448,2590,-433,2585,-418,2580,-418,2575,-418,2570,-433,2570,-448,2570,-463,2575,-478,2580,-478xe" filled="false" stroked="true" strokeweight=".5pt" strokecolor="#000000">
              <v:path arrowok="t"/>
              <v:stroke dashstyle="solid"/>
            </v:shape>
            <v:shape style="position:absolute;left:1179;top:-1140;width:107;height:94" coordorigin="1179,-1140" coordsize="107,94" path="m1286,-1140l1179,-1140,1233,-1046,1286,-1140xe" filled="true" fillcolor="#b5e1e1" stroked="false">
              <v:path arrowok="t"/>
              <v:fill type="solid"/>
            </v:shape>
            <v:shape style="position:absolute;left:1179;top:-1140;width:107;height:94" coordorigin="1179,-1140" coordsize="107,94" path="m1179,-1140l1286,-1140,1233,-1046,1179,-1140xe" filled="false" stroked="true" strokeweight=".5pt" strokecolor="#000000">
              <v:path arrowok="t"/>
              <v:stroke dashstyle="solid"/>
            </v:shape>
            <v:shape style="position:absolute;left:1114;top:-1729;width:107;height:94" coordorigin="1114,-1728" coordsize="107,94" path="m1221,-1728l1114,-1728,1168,-1635,1221,-1728xe" filled="true" fillcolor="#b5e1e1" stroked="false">
              <v:path arrowok="t"/>
              <v:fill type="solid"/>
            </v:shape>
            <v:shape style="position:absolute;left:1114;top:-1729;width:107;height:94" coordorigin="1114,-1728" coordsize="107,94" path="m1114,-1728l1221,-1728,1168,-1635,1114,-1728xe" filled="false" stroked="true" strokeweight=".5pt" strokecolor="#000000">
              <v:path arrowok="t"/>
              <v:stroke dashstyle="solid"/>
            </v:shape>
            <v:shape style="position:absolute;left:1039;top:-2033;width:107;height:94" coordorigin="1039,-2032" coordsize="107,94" path="m1146,-2032l1039,-2032,1093,-1939,1146,-2032xe" filled="true" fillcolor="#b5e1e1" stroked="false">
              <v:path arrowok="t"/>
              <v:fill type="solid"/>
            </v:shape>
            <v:shape style="position:absolute;left:1039;top:-2033;width:107;height:94" coordorigin="1039,-2032" coordsize="107,94" path="m1039,-2032l1146,-2032,1093,-1939,1039,-2032xe" filled="false" stroked="true" strokeweight=".5pt" strokecolor="#000000">
              <v:path arrowok="t"/>
              <v:stroke dashstyle="solid"/>
            </v:shape>
            <v:shape style="position:absolute;left:1253;top:-1055;width:114;height:114" coordorigin="1253,-1055" coordsize="114,114" path="m1310,-1055l1253,-998,1310,-941,1367,-998,1310,-1055xe" filled="true" fillcolor="#a790c4" stroked="false">
              <v:path arrowok="t"/>
              <v:fill type="solid"/>
            </v:shape>
            <v:shape style="position:absolute;left:1253;top:-1055;width:114;height:114" coordorigin="1253,-1055" coordsize="114,114" path="m1310,-941l1367,-998,1310,-1055,1253,-998,1310,-941xe" filled="false" stroked="true" strokeweight=".5pt" strokecolor="#000000">
              <v:path arrowok="t"/>
              <v:stroke dashstyle="solid"/>
            </v:shape>
            <v:shape style="position:absolute;left:1173;top:-1635;width:114;height:114" coordorigin="1173,-1635" coordsize="114,114" path="m1230,-1635l1173,-1578,1230,-1521,1287,-1578,1230,-1635xe" filled="true" fillcolor="#a790c4" stroked="false">
              <v:path arrowok="t"/>
              <v:fill type="solid"/>
            </v:shape>
            <v:shape style="position:absolute;left:1173;top:-1635;width:114;height:114" coordorigin="1173,-1635" coordsize="114,114" path="m1230,-1521l1287,-1578,1230,-1635,1173,-1578,1230,-1521xe" filled="false" stroked="true" strokeweight=".5pt" strokecolor="#000000">
              <v:path arrowok="t"/>
              <v:stroke dashstyle="solid"/>
            </v:shape>
            <v:shape style="position:absolute;left:1098;top:-1945;width:114;height:114" coordorigin="1098,-1945" coordsize="114,114" path="m1155,-1945l1098,-1888,1155,-1831,1212,-1888,1155,-1945xe" filled="true" fillcolor="#a790c4" stroked="false">
              <v:path arrowok="t"/>
              <v:fill type="solid"/>
            </v:shape>
            <v:shape style="position:absolute;left:1098;top:-1945;width:114;height:114" coordorigin="1098,-1945" coordsize="114,114" path="m1155,-1831l1212,-1888,1155,-1945,1098,-1888,1155,-1831xe" filled="false" stroked="true" strokeweight=".5pt" strokecolor="#000000">
              <v:path arrowok="t"/>
              <v:stroke dashstyle="solid"/>
            </v:shape>
            <v:rect style="position:absolute;left:1410;top:-878;width:80;height:80" filled="true" fillcolor="#edc5dd" stroked="false">
              <v:fill type="solid"/>
            </v:rect>
            <v:rect style="position:absolute;left:1410;top:-878;width:80;height:80" filled="false" stroked="true" strokeweight=".5pt" strokecolor="#000000">
              <v:stroke dashstyle="solid"/>
            </v:rect>
            <v:rect style="position:absolute;left:1330;top:-1378;width:80;height:80" filled="true" fillcolor="#edc5dd" stroked="false">
              <v:fill type="solid"/>
            </v:rect>
            <v:rect style="position:absolute;left:1330;top:-1378;width:80;height:80" filled="false" stroked="true" strokeweight=".5pt" strokecolor="#000000">
              <v:stroke dashstyle="solid"/>
            </v:rect>
            <v:rect style="position:absolute;left:1270;top:-1718;width:80;height:80" filled="true" fillcolor="#edc5dd" stroked="false">
              <v:fill type="solid"/>
            </v:rect>
            <v:rect style="position:absolute;left:1270;top:-1718;width:80;height:80" filled="false" stroked="true" strokeweight=".5pt" strokecolor="#000000">
              <v:stroke dashstyle="solid"/>
            </v:rect>
            <v:shape style="position:absolute;left:2527;top:-491;width:85;height:85" coordorigin="2528,-490" coordsize="85,85" path="m2570,-490l2553,-487,2540,-478,2531,-464,2528,-448,2531,-431,2540,-418,2553,-409,2570,-406,2586,-409,2600,-418,2609,-431,2612,-448,2609,-464,2600,-478,2586,-487,2570,-490xe" filled="true" fillcolor="#ed1b2d" stroked="false">
              <v:path arrowok="t"/>
              <v:fill type="solid"/>
            </v:shape>
            <v:shape style="position:absolute;left:2527;top:-491;width:85;height:85" coordorigin="2528,-490" coordsize="85,85" path="m2570,-406l2586,-409,2600,-418,2609,-431,2612,-448,2609,-464,2600,-478,2586,-487,2570,-490,2553,-487,2540,-478,2531,-464,2528,-448,2531,-431,2540,-418,2553,-409,2570,-406xe" filled="false" stroked="true" strokeweight=".5pt" strokecolor="#000000">
              <v:path arrowok="t"/>
              <v:stroke dashstyle="solid"/>
            </v:shape>
            <v:shape style="position:absolute;left:2487;top:-671;width:85;height:85" coordorigin="2488,-670" coordsize="85,85" path="m2530,-670l2513,-667,2500,-658,2491,-644,2488,-628,2491,-611,2500,-598,2513,-589,2530,-586,2546,-589,2560,-598,2569,-611,2572,-628,2569,-644,2560,-658,2546,-667,2530,-670xe" filled="true" fillcolor="#ed1b2d" stroked="false">
              <v:path arrowok="t"/>
              <v:fill type="solid"/>
            </v:shape>
            <v:shape style="position:absolute;left:2487;top:-671;width:85;height:85" coordorigin="2488,-670" coordsize="85,85" path="m2530,-586l2546,-589,2560,-598,2569,-611,2572,-628,2569,-644,2560,-658,2546,-667,2530,-670,2513,-667,2500,-658,2491,-644,2488,-628,2491,-611,2500,-598,2513,-589,2530,-586xe" filled="false" stroked="true" strokeweight=".5pt" strokecolor="#000000">
              <v:path arrowok="t"/>
              <v:stroke dashstyle="solid"/>
            </v:shape>
            <v:shape style="position:absolute;left:2407;top:-1131;width:85;height:85" coordorigin="2408,-1130" coordsize="85,85" path="m2450,-1130l2433,-1127,2420,-1118,2411,-1104,2408,-1088,2411,-1071,2420,-1058,2433,-1049,2450,-1046,2466,-1049,2480,-1058,2489,-1071,2492,-1088,2489,-1104,2480,-1118,2466,-1127,2450,-1130xe" filled="true" fillcolor="#ed1b2d" stroked="false">
              <v:path arrowok="t"/>
              <v:fill type="solid"/>
            </v:shape>
            <v:shape style="position:absolute;left:2407;top:-1131;width:85;height:85" coordorigin="2408,-1130" coordsize="85,85" path="m2450,-1046l2466,-1049,2480,-1058,2489,-1071,2492,-1088,2489,-1104,2480,-1118,2466,-1127,2450,-1130,2433,-1127,2420,-1118,2411,-1104,2408,-1088,2411,-1071,2420,-1058,2433,-1049,2450,-1046xe" filled="false" stroked="true" strokeweight=".5pt" strokecolor="#000000">
              <v:path arrowok="t"/>
              <v:stroke dashstyle="solid"/>
            </v:shape>
            <v:shape style="position:absolute;left:3982;top:-67;width:77;height:77" coordorigin="3983,-67" coordsize="77,77" path="m4060,-67l3983,10e" filled="true" fillcolor="#ed1b2d" stroked="false">
              <v:path arrowok="t"/>
              <v:fill type="solid"/>
            </v:shape>
            <v:line style="position:absolute" from="4130,62" to="4210,62" stroked="true" strokeweight=".5pt" strokecolor="#000000">
              <v:stroke dashstyle="solid"/>
            </v:line>
            <v:line style="position:absolute" from="3983,10" to="4060,-67" stroked="true" strokeweight=".5pt" strokecolor="#ed1b2d">
              <v:stroke dashstyle="solid"/>
            </v:line>
            <v:shape style="position:absolute;left:3979;top:-74;width:84;height:84" coordorigin="3980,-73" coordsize="84,84" path="m3980,-73l4063,10e" filled="true" fillcolor="#ed1b2d" stroked="false">
              <v:path arrowok="t"/>
              <v:fill type="solid"/>
            </v:shape>
            <v:line style="position:absolute" from="3980,-73" to="4063,10" stroked="true" strokeweight=".5pt" strokecolor="#ed1b2d">
              <v:stroke dashstyle="solid"/>
            </v:line>
            <v:shape style="position:absolute;left:3900;top:-375;width:77;height:77" coordorigin="3900,-374" coordsize="77,77" path="m3977,-374l3900,-298e" filled="true" fillcolor="#ed1b2d" stroked="false">
              <v:path arrowok="t"/>
              <v:fill type="solid"/>
            </v:shape>
            <v:line style="position:absolute" from="3900,-298" to="3977,-374" stroked="true" strokeweight=".5pt" strokecolor="#ed1b2d">
              <v:stroke dashstyle="solid"/>
            </v:line>
            <v:shape style="position:absolute;left:3897;top:-381;width:84;height:84" coordorigin="3897,-381" coordsize="84,84" path="m3897,-381l3980,-298e" filled="true" fillcolor="#ed1b2d" stroked="false">
              <v:path arrowok="t"/>
              <v:fill type="solid"/>
            </v:shape>
            <v:line style="position:absolute" from="3897,-381" to="3980,-298" stroked="true" strokeweight=".5pt" strokecolor="#ed1b2d">
              <v:stroke dashstyle="solid"/>
            </v:line>
            <v:shape style="position:absolute;left:3835;top:-1005;width:77;height:77" coordorigin="3835,-1004" coordsize="77,77" path="m3912,-1004l3835,-928e" filled="true" fillcolor="#ed1b2d" stroked="false">
              <v:path arrowok="t"/>
              <v:fill type="solid"/>
            </v:shape>
            <v:line style="position:absolute" from="3835,-928" to="3912,-1004" stroked="true" strokeweight=".5pt" strokecolor="#ed1b2d">
              <v:stroke dashstyle="solid"/>
            </v:line>
            <v:shape style="position:absolute;left:3832;top:-1011;width:84;height:84" coordorigin="3832,-1011" coordsize="84,84" path="m3832,-1011l3915,-928e" filled="true" fillcolor="#ed1b2d" stroked="false">
              <v:path arrowok="t"/>
              <v:fill type="solid"/>
            </v:shape>
            <v:line style="position:absolute" from="3832,-1011" to="3915,-928" stroked="true" strokeweight=".5pt" strokecolor="#ed1b2d">
              <v:stroke dashstyle="solid"/>
            </v:line>
            <v:shape style="position:absolute;left:850;top:-2128;width:3360;height:2195" type="#_x0000_t202" filled="false" stroked="false">
              <v:textbox inset="0,0,0,0">
                <w:txbxContent>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5"/>
                      <w:rPr>
                        <w:sz w:val="15"/>
                      </w:rPr>
                    </w:pPr>
                  </w:p>
                  <w:p>
                    <w:pPr>
                      <w:spacing w:before="0"/>
                      <w:ind w:left="1630" w:right="0" w:firstLine="0"/>
                      <w:jc w:val="left"/>
                      <w:rPr>
                        <w:sz w:val="12"/>
                      </w:rPr>
                    </w:pPr>
                    <w:r>
                      <w:rPr>
                        <w:sz w:val="12"/>
                      </w:rPr>
                      <w:t>6 May</w:t>
                    </w:r>
                  </w:p>
                  <w:p>
                    <w:pPr>
                      <w:spacing w:line="240" w:lineRule="auto" w:before="0"/>
                      <w:rPr>
                        <w:sz w:val="12"/>
                      </w:rPr>
                    </w:pPr>
                  </w:p>
                  <w:p>
                    <w:pPr>
                      <w:spacing w:line="240" w:lineRule="auto" w:before="0"/>
                      <w:rPr>
                        <w:sz w:val="16"/>
                      </w:rPr>
                    </w:pPr>
                  </w:p>
                  <w:p>
                    <w:pPr>
                      <w:spacing w:before="0"/>
                      <w:ind w:left="1729" w:right="0" w:firstLine="0"/>
                      <w:jc w:val="left"/>
                      <w:rPr>
                        <w:sz w:val="12"/>
                      </w:rPr>
                    </w:pPr>
                    <w:r>
                      <w:rPr>
                        <w:sz w:val="12"/>
                      </w:rPr>
                      <w:t>5 August</w:t>
                    </w:r>
                  </w:p>
                  <w:p>
                    <w:pPr>
                      <w:spacing w:line="240" w:lineRule="auto" w:before="0"/>
                      <w:rPr>
                        <w:sz w:val="12"/>
                      </w:rPr>
                    </w:pPr>
                  </w:p>
                  <w:p>
                    <w:pPr>
                      <w:spacing w:before="99"/>
                      <w:ind w:left="1276" w:right="1447" w:firstLine="0"/>
                      <w:jc w:val="center"/>
                      <w:rPr>
                        <w:sz w:val="12"/>
                      </w:rPr>
                    </w:pPr>
                    <w:r>
                      <w:rPr>
                        <w:sz w:val="12"/>
                      </w:rPr>
                      <w:t>4 November</w:t>
                    </w:r>
                  </w:p>
                </w:txbxContent>
              </v:textbox>
              <w10:wrap type="none"/>
            </v:shape>
            <w10:wrap type="none"/>
          </v:group>
        </w:pict>
      </w:r>
      <w:r>
        <w:rPr/>
        <w:pict>
          <v:line style="position:absolute;mso-position-horizontal-relative:page;mso-position-vertical-relative:paragraph;z-index:15803904" from="42.5pt,3.102368pt" to="46.5pt,3.102368pt" stroked="true" strokeweight=".5pt" strokecolor="#000000">
            <v:stroke dashstyle="solid"/>
            <w10:wrap type="none"/>
          </v:line>
        </w:pict>
      </w:r>
      <w:r>
        <w:rPr>
          <w:sz w:val="12"/>
        </w:rPr>
        <w:t>90</w:t>
      </w:r>
    </w:p>
    <w:p>
      <w:pPr>
        <w:pStyle w:val="BodyText"/>
        <w:spacing w:before="4"/>
        <w:rPr>
          <w:sz w:val="12"/>
        </w:rPr>
      </w:pPr>
    </w:p>
    <w:p>
      <w:pPr>
        <w:tabs>
          <w:tab w:pos="462" w:val="left" w:leader="none"/>
          <w:tab w:pos="742" w:val="left" w:leader="none"/>
          <w:tab w:pos="3427" w:val="left" w:leader="none"/>
        </w:tabs>
        <w:spacing w:before="0"/>
        <w:ind w:left="162" w:right="0" w:firstLine="0"/>
        <w:jc w:val="center"/>
        <w:rPr>
          <w:sz w:val="12"/>
        </w:rPr>
      </w:pPr>
      <w:r>
        <w:rPr/>
        <w:pict>
          <v:line style="position:absolute;mso-position-horizontal-relative:page;mso-position-vertical-relative:paragraph;z-index:15804416" from="42.5pt,3.101757pt" to="46.5pt,3.101757pt" stroked="true" strokeweight=".5pt" strokecolor="#000000">
            <v:stroke dashstyle="solid"/>
            <w10:wrap type="none"/>
          </v:line>
        </w:pict>
      </w:r>
      <w:r>
        <w:rPr/>
        <w:pict>
          <v:line style="position:absolute;mso-position-horizontal-relative:page;mso-position-vertical-relative:paragraph;z-index:-21683712" from="206.5pt,3.101757pt" to="210.5pt,3.101757pt" stroked="true" strokeweight=".5pt" strokecolor="#000000">
            <v:stroke dashstyle="solid"/>
            <w10:wrap type="none"/>
          </v:line>
        </w:pict>
      </w:r>
      <w:r>
        <w:rPr/>
        <w:pict>
          <v:shape style="position:absolute;margin-left:51.5pt;margin-top:-1.898243pt;width:150pt;height:5pt;mso-position-horizontal-relative:page;mso-position-vertical-relative:paragraph;z-index:-21683200" coordorigin="1030,-38" coordsize="3000,100" path="m1030,62l1030,22m1090,62l1090,22m1170,62l1170,22m1230,62l1230,22m1310,62l1310,22m1390,62l1390,22m1450,62l1450,22m1530,62l1530,22m1590,62l1590,22m1670,62l1670,22m1730,62l1730,22m1810,62l1810,22m1890,62l1890,22m1950,62l1950,22m2030,62l2030,22m2090,62l2090,22m2170,62l2170,22m2230,62l2230,22m2310,62l2310,22m2390,62l2390,22m2450,62l2450,22m2530,62l2530,22m2590,62l2590,22m2670,62l2670,22m2750,62l2750,22m2810,62l2810,22m2890,62l2890,22m2950,62l2950,22m3090,62l3090,22m3170,62l3170,22m3250,62l3250,22m3310,62l3310,22m3390,62l3390,22m3450,62l3450,22m3530,62l3530,22m3590,62l3590,22m3670,62l3670,22m3750,62l3750,22m3810,62l3810,22m3890,62l3890,22m3950,62l3950,22m1030,62l3950,62m1030,-38l1030,62m1310,-38l1310,62m1590,-38l1590,62m1890,-38l1890,62m2170,-38l2170,62m2450,-38l2450,62m2750,-38l2750,62m3030,-38l3030,62m3310,-38l3310,62m3590,-38l3590,62m3890,-38l3890,62m3950,62l3950,22m4030,62l4030,22m1030,62l4030,62e" filled="false" stroked="true" strokeweight=".5pt" strokecolor="#000000">
            <v:path arrowok="t"/>
            <v:stroke dashstyle="solid"/>
            <w10:wrap type="none"/>
          </v:shape>
        </w:pict>
      </w:r>
      <w:r>
        <w:rPr>
          <w:sz w:val="12"/>
        </w:rPr>
        <w:t>1</w:t>
        <w:tab/>
        <w:t>5</w:t>
        <w:tab/>
        <w:t>9     </w:t>
      </w:r>
      <w:r>
        <w:rPr>
          <w:spacing w:val="20"/>
          <w:sz w:val="12"/>
        </w:rPr>
        <w:t> </w:t>
      </w:r>
      <w:r>
        <w:rPr>
          <w:sz w:val="12"/>
        </w:rPr>
        <w:t>13    </w:t>
      </w:r>
      <w:r>
        <w:rPr>
          <w:spacing w:val="9"/>
          <w:sz w:val="12"/>
        </w:rPr>
        <w:t> </w:t>
      </w:r>
      <w:r>
        <w:rPr>
          <w:sz w:val="12"/>
        </w:rPr>
        <w:t>17    </w:t>
      </w:r>
      <w:r>
        <w:rPr>
          <w:spacing w:val="10"/>
          <w:sz w:val="12"/>
        </w:rPr>
        <w:t> </w:t>
      </w:r>
      <w:r>
        <w:rPr>
          <w:sz w:val="12"/>
        </w:rPr>
        <w:t>21    </w:t>
      </w:r>
      <w:r>
        <w:rPr>
          <w:spacing w:val="10"/>
          <w:sz w:val="12"/>
        </w:rPr>
        <w:t> </w:t>
      </w:r>
      <w:r>
        <w:rPr>
          <w:sz w:val="12"/>
        </w:rPr>
        <w:t>25      29      33    </w:t>
      </w:r>
      <w:r>
        <w:rPr>
          <w:spacing w:val="9"/>
          <w:sz w:val="12"/>
        </w:rPr>
        <w:t> </w:t>
      </w:r>
      <w:r>
        <w:rPr>
          <w:sz w:val="12"/>
        </w:rPr>
        <w:t>37   </w:t>
      </w:r>
      <w:r>
        <w:rPr>
          <w:spacing w:val="20"/>
          <w:sz w:val="12"/>
        </w:rPr>
        <w:t> </w:t>
      </w:r>
      <w:r>
        <w:rPr>
          <w:sz w:val="12"/>
        </w:rPr>
        <w:t>41</w:t>
        <w:tab/>
      </w:r>
      <w:r>
        <w:rPr>
          <w:position w:val="6"/>
          <w:sz w:val="12"/>
        </w:rPr>
        <w:t>88</w:t>
      </w:r>
    </w:p>
    <w:p>
      <w:pPr>
        <w:spacing w:before="2"/>
        <w:ind w:left="162" w:right="232" w:firstLine="0"/>
        <w:jc w:val="center"/>
        <w:rPr>
          <w:sz w:val="12"/>
        </w:rPr>
      </w:pPr>
      <w:r>
        <w:rPr>
          <w:sz w:val="12"/>
        </w:rPr>
        <w:t>Number of quarters</w:t>
      </w:r>
    </w:p>
    <w:p>
      <w:pPr>
        <w:spacing w:before="106"/>
        <w:ind w:left="160" w:right="0" w:firstLine="0"/>
        <w:jc w:val="center"/>
        <w:rPr>
          <w:sz w:val="12"/>
        </w:rPr>
      </w:pPr>
      <w:r>
        <w:rPr>
          <w:sz w:val="12"/>
        </w:rPr>
        <w:t>Sources: Bank for International Settlements, Datastream and Bank of England.</w:t>
      </w:r>
    </w:p>
    <w:p>
      <w:pPr>
        <w:spacing w:before="102"/>
        <w:ind w:left="200" w:right="0" w:firstLine="0"/>
        <w:jc w:val="left"/>
        <w:rPr>
          <w:sz w:val="12"/>
        </w:rPr>
      </w:pPr>
      <w:r>
        <w:rPr>
          <w:sz w:val="12"/>
        </w:rPr>
        <w:t>(a) Assuming uncovered interest rate parity.</w:t>
      </w:r>
    </w:p>
    <w:p>
      <w:pPr>
        <w:pStyle w:val="BodyText"/>
        <w:spacing w:before="7"/>
        <w:rPr>
          <w:sz w:val="22"/>
        </w:rPr>
      </w:pPr>
      <w:r>
        <w:rPr/>
        <w:br w:type="column"/>
      </w:r>
      <w:r>
        <w:rPr>
          <w:sz w:val="22"/>
        </w:rPr>
      </w:r>
    </w:p>
    <w:p>
      <w:pPr>
        <w:pStyle w:val="Heading4"/>
        <w:spacing w:line="242" w:lineRule="auto"/>
        <w:ind w:right="307"/>
      </w:pPr>
      <w:r>
        <w:rPr/>
        <w:t>In constructing its forecast, the MPC makes assumptions about a probability distribution of the future path for sterling, conditional upon unchanged interest rates. In judging the most likely path for sterling (the mode of the distribution), the MPC takes into account interest rate differentials. In this modal case, the sterling ERI declines to 97.7 at the end of the two-year forecast horizon. This implies bilateral exchange rates, two </w:t>
      </w:r>
      <w:r>
        <w:rPr>
          <w:spacing w:val="-4"/>
        </w:rPr>
        <w:t>years </w:t>
      </w:r>
      <w:r>
        <w:rPr/>
        <w:t>hence, of about 1.68 and 2.69 against the US dollar and Deutsche Mark respectively. In the </w:t>
      </w:r>
      <w:r>
        <w:rPr>
          <w:spacing w:val="-3"/>
        </w:rPr>
        <w:t>MPC’s </w:t>
      </w:r>
      <w:r>
        <w:rPr>
          <w:spacing w:val="-5"/>
        </w:rPr>
        <w:t>view, </w:t>
      </w:r>
      <w:r>
        <w:rPr/>
        <w:t>the risks to sterling relative to the central projection lie on the downside.  So the mean of its forecast distribution for the exchange rate lies below the mode, at 94.9 two years from </w:t>
      </w:r>
      <w:r>
        <w:rPr>
          <w:spacing w:val="-6"/>
        </w:rPr>
        <w:t>now.</w:t>
      </w:r>
    </w:p>
    <w:p>
      <w:pPr>
        <w:spacing w:after="0" w:line="242" w:lineRule="auto"/>
        <w:sectPr>
          <w:type w:val="continuous"/>
          <w:pgSz w:w="11900" w:h="16840"/>
          <w:pgMar w:top="1220" w:bottom="280" w:left="620" w:right="520"/>
          <w:cols w:num="2" w:equalWidth="0">
            <w:col w:w="4053" w:space="727"/>
            <w:col w:w="5980"/>
          </w:cols>
        </w:sectPr>
      </w:pPr>
    </w:p>
    <w:p>
      <w:pPr>
        <w:pStyle w:val="BodyText"/>
        <w:spacing w:before="6"/>
        <w:rPr>
          <w:sz w:val="29"/>
        </w:rPr>
      </w:pPr>
    </w:p>
    <w:p>
      <w:pPr>
        <w:pStyle w:val="ListParagraph"/>
        <w:numPr>
          <w:ilvl w:val="1"/>
          <w:numId w:val="2"/>
        </w:numPr>
        <w:tabs>
          <w:tab w:pos="9057" w:val="left" w:leader="none"/>
          <w:tab w:pos="9059" w:val="left" w:leader="none"/>
          <w:tab w:pos="10479" w:val="left" w:leader="none"/>
        </w:tabs>
        <w:spacing w:line="240" w:lineRule="auto" w:before="88" w:after="0"/>
        <w:ind w:left="9058" w:right="0" w:hanging="4099"/>
        <w:jc w:val="left"/>
        <w:rPr>
          <w:b/>
          <w:sz w:val="28"/>
        </w:rPr>
      </w:pPr>
      <w:bookmarkStart w:name="Summary" w:id="27"/>
      <w:bookmarkEnd w:id="27"/>
      <w:r>
        <w:rPr/>
      </w:r>
      <w:bookmarkStart w:name="_bookmark7" w:id="28"/>
      <w:bookmarkEnd w:id="28"/>
      <w:r>
        <w:rPr/>
      </w:r>
      <w:bookmarkStart w:name="_bookmark7" w:id="29"/>
      <w:bookmarkEnd w:id="29"/>
      <w:r>
        <w:rPr>
          <w:b/>
          <w:color w:val="009483"/>
          <w:sz w:val="28"/>
          <w:u w:val="thick" w:color="0093C1"/>
        </w:rPr>
        <w:t>Summar</w:t>
      </w:r>
      <w:r>
        <w:rPr>
          <w:b/>
          <w:color w:val="009483"/>
          <w:sz w:val="28"/>
          <w:u w:val="thick" w:color="0093C1"/>
        </w:rPr>
        <w:t>y</w:t>
        <w:tab/>
      </w:r>
    </w:p>
    <w:p>
      <w:pPr>
        <w:pStyle w:val="BodyText"/>
        <w:spacing w:before="11"/>
        <w:rPr>
          <w:b/>
          <w:sz w:val="23"/>
        </w:rPr>
      </w:pPr>
    </w:p>
    <w:p>
      <w:pPr>
        <w:spacing w:line="242" w:lineRule="auto" w:before="0"/>
        <w:ind w:left="4960" w:right="296" w:firstLine="0"/>
        <w:jc w:val="left"/>
        <w:rPr>
          <w:sz w:val="24"/>
        </w:rPr>
      </w:pPr>
      <w:r>
        <w:rPr>
          <w:sz w:val="24"/>
        </w:rPr>
        <w:t>Since August, financial market prices </w:t>
      </w:r>
      <w:r>
        <w:rPr>
          <w:spacing w:val="-3"/>
          <w:sz w:val="24"/>
        </w:rPr>
        <w:t>have </w:t>
      </w:r>
      <w:r>
        <w:rPr>
          <w:sz w:val="24"/>
        </w:rPr>
        <w:t>moved sharply.  In bond markets, yields on government debt fell, but credit spreads for corporates increased </w:t>
      </w:r>
      <w:r>
        <w:rPr>
          <w:spacing w:val="-5"/>
          <w:sz w:val="24"/>
        </w:rPr>
        <w:t>markedly. </w:t>
      </w:r>
      <w:r>
        <w:rPr>
          <w:sz w:val="24"/>
        </w:rPr>
        <w:t>There </w:t>
      </w:r>
      <w:r>
        <w:rPr>
          <w:spacing w:val="-3"/>
          <w:sz w:val="24"/>
        </w:rPr>
        <w:t>have </w:t>
      </w:r>
      <w:r>
        <w:rPr>
          <w:sz w:val="24"/>
        </w:rPr>
        <w:t>been worries that credit conditions could tighten considerably, which would depress the outlook for world growth further. But so far there </w:t>
      </w:r>
      <w:r>
        <w:rPr>
          <w:spacing w:val="-3"/>
          <w:sz w:val="24"/>
        </w:rPr>
        <w:t>have </w:t>
      </w:r>
      <w:r>
        <w:rPr>
          <w:sz w:val="24"/>
        </w:rPr>
        <w:t>been few signs in the United Kingdom of a credit crunch. The </w:t>
      </w:r>
      <w:r>
        <w:rPr>
          <w:spacing w:val="-3"/>
          <w:sz w:val="24"/>
        </w:rPr>
        <w:t>MPC’s </w:t>
      </w:r>
      <w:r>
        <w:rPr>
          <w:sz w:val="24"/>
        </w:rPr>
        <w:t>central projection assumes that there will not be a credit crunch in the United Kingdom. But it has incorporated a small downside risk to activity and inflation from this source.</w:t>
      </w:r>
    </w:p>
    <w:p>
      <w:pPr>
        <w:pStyle w:val="BodyText"/>
        <w:spacing w:before="6"/>
        <w:rPr>
          <w:sz w:val="25"/>
        </w:rPr>
      </w:pPr>
    </w:p>
    <w:p>
      <w:pPr>
        <w:spacing w:line="242" w:lineRule="auto" w:before="1"/>
        <w:ind w:left="4960" w:right="375" w:firstLine="0"/>
        <w:jc w:val="left"/>
        <w:rPr>
          <w:sz w:val="24"/>
        </w:rPr>
      </w:pPr>
      <w:r>
        <w:rPr>
          <w:sz w:val="24"/>
        </w:rPr>
        <w:t>The exchange rate has depreciated more quickly than was implied by international interest rate differentials at the time of the August </w:t>
      </w:r>
      <w:r>
        <w:rPr>
          <w:i/>
          <w:sz w:val="24"/>
        </w:rPr>
        <w:t>Report</w:t>
      </w:r>
      <w:r>
        <w:rPr>
          <w:sz w:val="24"/>
        </w:rPr>
        <w:t>.</w:t>
      </w:r>
    </w:p>
    <w:p>
      <w:pPr>
        <w:pStyle w:val="BodyText"/>
        <w:spacing w:before="7"/>
        <w:rPr>
          <w:sz w:val="24"/>
        </w:rPr>
      </w:pPr>
    </w:p>
    <w:p>
      <w:pPr>
        <w:spacing w:line="242" w:lineRule="auto" w:before="0"/>
        <w:ind w:left="4960" w:right="314" w:firstLine="0"/>
        <w:jc w:val="left"/>
        <w:rPr>
          <w:sz w:val="24"/>
        </w:rPr>
      </w:pPr>
      <w:r>
        <w:rPr>
          <w:sz w:val="24"/>
        </w:rPr>
        <w:t>Annual broad money growth remains above the growth rate of nominal expenditure. The MPC assumes that some risk remains that past rapid money growth could feed through into higher inflation.</w:t>
      </w:r>
    </w:p>
    <w:p>
      <w:pPr>
        <w:spacing w:after="0" w:line="242" w:lineRule="auto"/>
        <w:jc w:val="left"/>
        <w:rPr>
          <w:sz w:val="24"/>
        </w:rPr>
        <w:sectPr>
          <w:pgSz w:w="11900" w:h="16840"/>
          <w:pgMar w:header="586" w:footer="617" w:top="780" w:bottom="800" w:left="620" w:right="520"/>
        </w:sectPr>
      </w:pPr>
    </w:p>
    <w:p>
      <w:pPr>
        <w:pStyle w:val="BodyText"/>
        <w:spacing w:line="20" w:lineRule="exact"/>
        <w:ind w:left="158"/>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rPr>
          <w:sz w:val="20"/>
        </w:rPr>
      </w:pPr>
    </w:p>
    <w:p>
      <w:pPr>
        <w:pStyle w:val="BodyText"/>
        <w:spacing w:before="9"/>
      </w:pPr>
      <w:r>
        <w:rPr/>
        <w:pict>
          <v:shape style="position:absolute;margin-left:40.090pt;margin-top:12.000977pt;width:516pt;height:48pt;mso-position-horizontal-relative:page;mso-position-vertical-relative:paragraph;z-index:-15649280;mso-wrap-distance-left:0;mso-wrap-distance-right:0" type="#_x0000_t202" filled="true" fillcolor="#b5dad6" stroked="false">
            <v:textbox inset="0,0,0,0">
              <w:txbxContent>
                <w:p>
                  <w:pPr>
                    <w:tabs>
                      <w:tab w:pos="5993" w:val="left" w:leader="none"/>
                    </w:tabs>
                    <w:spacing w:before="51"/>
                    <w:ind w:left="260" w:right="0" w:firstLine="0"/>
                    <w:jc w:val="left"/>
                    <w:rPr>
                      <w:b/>
                      <w:sz w:val="48"/>
                    </w:rPr>
                  </w:pPr>
                  <w:bookmarkStart w:name="Demand and output" w:id="30"/>
                  <w:bookmarkEnd w:id="30"/>
                  <w:r>
                    <w:rPr/>
                  </w:r>
                  <w:bookmarkStart w:name="External demand" w:id="31"/>
                  <w:bookmarkEnd w:id="31"/>
                  <w:r>
                    <w:rPr/>
                  </w:r>
                  <w:bookmarkStart w:name="_bookmark8" w:id="32"/>
                  <w:bookmarkEnd w:id="32"/>
                  <w:r>
                    <w:rPr/>
                  </w:r>
                  <w:r>
                    <w:rPr>
                      <w:b/>
                      <w:color w:val="009483"/>
                      <w:sz w:val="72"/>
                    </w:rPr>
                    <w:t>2</w:t>
                    <w:tab/>
                  </w:r>
                  <w:r>
                    <w:rPr>
                      <w:b/>
                      <w:color w:val="009483"/>
                      <w:sz w:val="48"/>
                    </w:rPr>
                    <w:t>Demand and output</w:t>
                  </w:r>
                </w:p>
              </w:txbxContent>
            </v:textbox>
            <v:fill type="solid"/>
            <w10:wrap type="topAndBottom"/>
          </v:shape>
        </w:pict>
      </w:r>
    </w:p>
    <w:p>
      <w:pPr>
        <w:pStyle w:val="BodyText"/>
        <w:rPr>
          <w:sz w:val="20"/>
        </w:rPr>
      </w:pPr>
    </w:p>
    <w:p>
      <w:pPr>
        <w:pStyle w:val="BodyText"/>
        <w:rPr>
          <w:sz w:val="20"/>
        </w:rPr>
      </w:pPr>
    </w:p>
    <w:p>
      <w:pPr>
        <w:spacing w:after="0"/>
        <w:rPr>
          <w:sz w:val="20"/>
        </w:rPr>
        <w:sectPr>
          <w:headerReference w:type="even" r:id="rId32"/>
          <w:footerReference w:type="even" r:id="rId33"/>
          <w:footerReference w:type="default" r:id="rId34"/>
          <w:pgSz w:w="11900" w:h="16840"/>
          <w:pgMar w:header="0" w:footer="597" w:top="780" w:bottom="780" w:left="620" w:right="520"/>
          <w:pgNumType w:start="12"/>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7"/>
        <w:spacing w:before="158"/>
        <w:ind w:left="220"/>
      </w:pPr>
      <w:r>
        <w:rPr>
          <w:color w:val="0093C1"/>
        </w:rPr>
        <w:t>Table 2.A</w:t>
      </w:r>
    </w:p>
    <w:p>
      <w:pPr>
        <w:spacing w:before="10"/>
        <w:ind w:left="220" w:right="0" w:firstLine="0"/>
        <w:jc w:val="left"/>
        <w:rPr>
          <w:sz w:val="12"/>
        </w:rPr>
      </w:pPr>
      <w:r>
        <w:rPr>
          <w:b/>
          <w:color w:val="0093C1"/>
          <w:sz w:val="20"/>
        </w:rPr>
        <w:t>IMF projections for GDP and trade growth</w:t>
      </w:r>
      <w:r>
        <w:rPr>
          <w:color w:val="231F20"/>
          <w:position w:val="4"/>
          <w:sz w:val="12"/>
        </w:rPr>
        <w:t>(a)</w:t>
      </w:r>
    </w:p>
    <w:p>
      <w:pPr>
        <w:spacing w:before="106"/>
        <w:ind w:left="220" w:right="0" w:firstLine="0"/>
        <w:jc w:val="left"/>
        <w:rPr>
          <w:sz w:val="14"/>
        </w:rPr>
      </w:pPr>
      <w:r>
        <w:rPr>
          <w:color w:val="231F20"/>
          <w:sz w:val="14"/>
        </w:rPr>
        <w:t>Per cent</w:t>
      </w:r>
    </w:p>
    <w:p>
      <w:pPr>
        <w:pStyle w:val="BodyText"/>
        <w:spacing w:before="10"/>
        <w:rPr>
          <w:sz w:val="10"/>
        </w:rPr>
      </w:pPr>
    </w:p>
    <w:tbl>
      <w:tblPr>
        <w:tblW w:w="0" w:type="auto"/>
        <w:jc w:val="left"/>
        <w:tblInd w:w="1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3"/>
        <w:gridCol w:w="417"/>
        <w:gridCol w:w="291"/>
        <w:gridCol w:w="1059"/>
        <w:gridCol w:w="291"/>
      </w:tblGrid>
      <w:tr>
        <w:trPr>
          <w:trHeight w:val="192" w:hRule="atLeast"/>
        </w:trPr>
        <w:tc>
          <w:tcPr>
            <w:tcW w:w="1373" w:type="dxa"/>
          </w:tcPr>
          <w:p>
            <w:pPr>
              <w:pStyle w:val="TableParagraph"/>
              <w:rPr>
                <w:sz w:val="12"/>
              </w:rPr>
            </w:pPr>
          </w:p>
        </w:tc>
        <w:tc>
          <w:tcPr>
            <w:tcW w:w="417" w:type="dxa"/>
            <w:tcBorders>
              <w:bottom w:val="single" w:sz="2" w:space="0" w:color="231F20"/>
            </w:tcBorders>
          </w:tcPr>
          <w:p>
            <w:pPr>
              <w:pStyle w:val="TableParagraph"/>
              <w:spacing w:line="155" w:lineRule="exact"/>
              <w:ind w:left="97"/>
              <w:rPr>
                <w:sz w:val="14"/>
              </w:rPr>
            </w:pPr>
            <w:r>
              <w:rPr>
                <w:color w:val="231F20"/>
                <w:sz w:val="14"/>
              </w:rPr>
              <w:t>1998</w:t>
            </w:r>
          </w:p>
        </w:tc>
        <w:tc>
          <w:tcPr>
            <w:tcW w:w="291" w:type="dxa"/>
            <w:tcBorders>
              <w:bottom w:val="single" w:sz="2" w:space="0" w:color="231F20"/>
            </w:tcBorders>
          </w:tcPr>
          <w:p>
            <w:pPr>
              <w:pStyle w:val="TableParagraph"/>
              <w:rPr>
                <w:sz w:val="12"/>
              </w:rPr>
            </w:pPr>
          </w:p>
        </w:tc>
        <w:tc>
          <w:tcPr>
            <w:tcW w:w="1059" w:type="dxa"/>
            <w:tcBorders>
              <w:bottom w:val="single" w:sz="2" w:space="0" w:color="231F20"/>
            </w:tcBorders>
          </w:tcPr>
          <w:p>
            <w:pPr>
              <w:pStyle w:val="TableParagraph"/>
              <w:spacing w:line="155" w:lineRule="exact"/>
              <w:ind w:right="17"/>
              <w:jc w:val="right"/>
              <w:rPr>
                <w:sz w:val="14"/>
              </w:rPr>
            </w:pPr>
            <w:r>
              <w:rPr>
                <w:color w:val="231F20"/>
                <w:sz w:val="14"/>
              </w:rPr>
              <w:t>1999</w:t>
            </w:r>
          </w:p>
        </w:tc>
        <w:tc>
          <w:tcPr>
            <w:tcW w:w="291" w:type="dxa"/>
            <w:tcBorders>
              <w:bottom w:val="single" w:sz="2" w:space="0" w:color="231F20"/>
            </w:tcBorders>
          </w:tcPr>
          <w:p>
            <w:pPr>
              <w:pStyle w:val="TableParagraph"/>
              <w:rPr>
                <w:sz w:val="12"/>
              </w:rPr>
            </w:pPr>
          </w:p>
        </w:tc>
      </w:tr>
      <w:tr>
        <w:trPr>
          <w:trHeight w:val="330" w:hRule="atLeast"/>
        </w:trPr>
        <w:tc>
          <w:tcPr>
            <w:tcW w:w="1373" w:type="dxa"/>
          </w:tcPr>
          <w:p>
            <w:pPr>
              <w:pStyle w:val="TableParagraph"/>
              <w:spacing w:line="150" w:lineRule="exact" w:before="36"/>
              <w:ind w:left="50"/>
              <w:rPr>
                <w:i/>
                <w:sz w:val="14"/>
              </w:rPr>
            </w:pPr>
            <w:r>
              <w:rPr>
                <w:i/>
                <w:color w:val="231F20"/>
                <w:sz w:val="14"/>
              </w:rPr>
              <w:t>GDP:</w:t>
            </w:r>
          </w:p>
          <w:p>
            <w:pPr>
              <w:pStyle w:val="TableParagraph"/>
              <w:spacing w:line="123" w:lineRule="exact"/>
              <w:ind w:left="50"/>
              <w:rPr>
                <w:sz w:val="14"/>
              </w:rPr>
            </w:pPr>
            <w:r>
              <w:rPr>
                <w:color w:val="231F20"/>
                <w:sz w:val="14"/>
              </w:rPr>
              <w:t>World</w:t>
            </w:r>
          </w:p>
        </w:tc>
        <w:tc>
          <w:tcPr>
            <w:tcW w:w="417" w:type="dxa"/>
            <w:tcBorders>
              <w:top w:val="single" w:sz="2" w:space="0" w:color="231F20"/>
            </w:tcBorders>
          </w:tcPr>
          <w:p>
            <w:pPr>
              <w:pStyle w:val="TableParagraph"/>
              <w:spacing w:before="4"/>
              <w:rPr>
                <w:sz w:val="15"/>
              </w:rPr>
            </w:pPr>
          </w:p>
          <w:p>
            <w:pPr>
              <w:pStyle w:val="TableParagraph"/>
              <w:spacing w:line="133" w:lineRule="exact"/>
              <w:ind w:left="82"/>
              <w:rPr>
                <w:sz w:val="14"/>
              </w:rPr>
            </w:pPr>
            <w:r>
              <w:rPr>
                <w:color w:val="231F20"/>
                <w:sz w:val="14"/>
              </w:rPr>
              <w:t>2.0</w:t>
            </w:r>
          </w:p>
        </w:tc>
        <w:tc>
          <w:tcPr>
            <w:tcW w:w="291" w:type="dxa"/>
            <w:tcBorders>
              <w:top w:val="single" w:sz="2" w:space="0" w:color="231F20"/>
            </w:tcBorders>
          </w:tcPr>
          <w:p>
            <w:pPr>
              <w:pStyle w:val="TableParagraph"/>
              <w:spacing w:before="4"/>
              <w:rPr>
                <w:sz w:val="15"/>
              </w:rPr>
            </w:pPr>
          </w:p>
          <w:p>
            <w:pPr>
              <w:pStyle w:val="TableParagraph"/>
              <w:spacing w:line="133" w:lineRule="exact"/>
              <w:ind w:right="28"/>
              <w:jc w:val="right"/>
              <w:rPr>
                <w:i/>
                <w:sz w:val="14"/>
              </w:rPr>
            </w:pPr>
            <w:r>
              <w:rPr>
                <w:i/>
                <w:color w:val="231F20"/>
                <w:sz w:val="14"/>
              </w:rPr>
              <w:t>-1.1</w:t>
            </w:r>
          </w:p>
        </w:tc>
        <w:tc>
          <w:tcPr>
            <w:tcW w:w="1059" w:type="dxa"/>
            <w:tcBorders>
              <w:top w:val="single" w:sz="2" w:space="0" w:color="231F20"/>
            </w:tcBorders>
          </w:tcPr>
          <w:p>
            <w:pPr>
              <w:pStyle w:val="TableParagraph"/>
              <w:spacing w:before="4"/>
              <w:rPr>
                <w:sz w:val="15"/>
              </w:rPr>
            </w:pPr>
          </w:p>
          <w:p>
            <w:pPr>
              <w:pStyle w:val="TableParagraph"/>
              <w:spacing w:line="133" w:lineRule="exact"/>
              <w:ind w:right="149"/>
              <w:jc w:val="right"/>
              <w:rPr>
                <w:sz w:val="14"/>
              </w:rPr>
            </w:pPr>
            <w:r>
              <w:rPr>
                <w:color w:val="231F20"/>
                <w:sz w:val="14"/>
              </w:rPr>
              <w:t>2.5</w:t>
            </w:r>
          </w:p>
        </w:tc>
        <w:tc>
          <w:tcPr>
            <w:tcW w:w="291" w:type="dxa"/>
            <w:tcBorders>
              <w:top w:val="single" w:sz="2" w:space="0" w:color="231F20"/>
            </w:tcBorders>
          </w:tcPr>
          <w:p>
            <w:pPr>
              <w:pStyle w:val="TableParagraph"/>
              <w:spacing w:before="4"/>
              <w:rPr>
                <w:sz w:val="15"/>
              </w:rPr>
            </w:pPr>
          </w:p>
          <w:p>
            <w:pPr>
              <w:pStyle w:val="TableParagraph"/>
              <w:spacing w:line="133" w:lineRule="exact"/>
              <w:ind w:left="18"/>
              <w:rPr>
                <w:i/>
                <w:sz w:val="14"/>
              </w:rPr>
            </w:pPr>
            <w:r>
              <w:rPr>
                <w:i/>
                <w:color w:val="231F20"/>
                <w:sz w:val="14"/>
              </w:rPr>
              <w:t>-1.2</w:t>
            </w:r>
          </w:p>
        </w:tc>
      </w:tr>
      <w:tr>
        <w:trPr>
          <w:trHeight w:val="140" w:hRule="atLeast"/>
        </w:trPr>
        <w:tc>
          <w:tcPr>
            <w:tcW w:w="1373" w:type="dxa"/>
          </w:tcPr>
          <w:p>
            <w:pPr>
              <w:pStyle w:val="TableParagraph"/>
              <w:spacing w:line="120" w:lineRule="exact"/>
              <w:ind w:left="50"/>
              <w:rPr>
                <w:sz w:val="14"/>
              </w:rPr>
            </w:pPr>
            <w:r>
              <w:rPr>
                <w:color w:val="231F20"/>
                <w:sz w:val="14"/>
              </w:rPr>
              <w:t>G7</w:t>
            </w:r>
          </w:p>
        </w:tc>
        <w:tc>
          <w:tcPr>
            <w:tcW w:w="417" w:type="dxa"/>
          </w:tcPr>
          <w:p>
            <w:pPr>
              <w:pStyle w:val="TableParagraph"/>
              <w:spacing w:line="120" w:lineRule="exact"/>
              <w:ind w:left="82"/>
              <w:rPr>
                <w:sz w:val="14"/>
              </w:rPr>
            </w:pPr>
            <w:r>
              <w:rPr>
                <w:color w:val="231F20"/>
                <w:sz w:val="14"/>
              </w:rPr>
              <w:t>2.1</w:t>
            </w:r>
          </w:p>
        </w:tc>
        <w:tc>
          <w:tcPr>
            <w:tcW w:w="291" w:type="dxa"/>
          </w:tcPr>
          <w:p>
            <w:pPr>
              <w:pStyle w:val="TableParagraph"/>
              <w:spacing w:line="120" w:lineRule="exact"/>
              <w:ind w:right="28"/>
              <w:jc w:val="right"/>
              <w:rPr>
                <w:i/>
                <w:sz w:val="14"/>
              </w:rPr>
            </w:pPr>
            <w:r>
              <w:rPr>
                <w:i/>
                <w:color w:val="231F20"/>
                <w:sz w:val="14"/>
              </w:rPr>
              <w:t>-0.2</w:t>
            </w:r>
          </w:p>
        </w:tc>
        <w:tc>
          <w:tcPr>
            <w:tcW w:w="1059" w:type="dxa"/>
          </w:tcPr>
          <w:p>
            <w:pPr>
              <w:pStyle w:val="TableParagraph"/>
              <w:spacing w:line="120" w:lineRule="exact"/>
              <w:ind w:right="149"/>
              <w:jc w:val="right"/>
              <w:rPr>
                <w:sz w:val="14"/>
              </w:rPr>
            </w:pPr>
            <w:r>
              <w:rPr>
                <w:color w:val="231F20"/>
                <w:sz w:val="14"/>
              </w:rPr>
              <w:t>1.9</w:t>
            </w:r>
          </w:p>
        </w:tc>
        <w:tc>
          <w:tcPr>
            <w:tcW w:w="291" w:type="dxa"/>
          </w:tcPr>
          <w:p>
            <w:pPr>
              <w:pStyle w:val="TableParagraph"/>
              <w:spacing w:line="120" w:lineRule="exact"/>
              <w:ind w:left="18"/>
              <w:rPr>
                <w:i/>
                <w:sz w:val="14"/>
              </w:rPr>
            </w:pPr>
            <w:r>
              <w:rPr>
                <w:i/>
                <w:color w:val="231F20"/>
                <w:sz w:val="14"/>
              </w:rPr>
              <w:t>-0.3</w:t>
            </w:r>
          </w:p>
        </w:tc>
      </w:tr>
      <w:tr>
        <w:trPr>
          <w:trHeight w:val="139" w:hRule="atLeast"/>
        </w:trPr>
        <w:tc>
          <w:tcPr>
            <w:tcW w:w="1373" w:type="dxa"/>
          </w:tcPr>
          <w:p>
            <w:pPr>
              <w:pStyle w:val="TableParagraph"/>
              <w:spacing w:line="120" w:lineRule="exact"/>
              <w:ind w:left="120"/>
              <w:rPr>
                <w:i/>
                <w:sz w:val="14"/>
              </w:rPr>
            </w:pPr>
            <w:r>
              <w:rPr>
                <w:i/>
                <w:color w:val="231F20"/>
                <w:sz w:val="14"/>
              </w:rPr>
              <w:t>of which, Japan</w:t>
            </w:r>
          </w:p>
        </w:tc>
        <w:tc>
          <w:tcPr>
            <w:tcW w:w="417" w:type="dxa"/>
          </w:tcPr>
          <w:p>
            <w:pPr>
              <w:pStyle w:val="TableParagraph"/>
              <w:spacing w:line="120" w:lineRule="exact"/>
              <w:ind w:left="35"/>
              <w:rPr>
                <w:sz w:val="14"/>
              </w:rPr>
            </w:pPr>
            <w:r>
              <w:rPr>
                <w:color w:val="231F20"/>
                <w:sz w:val="14"/>
              </w:rPr>
              <w:t>-2.5</w:t>
            </w:r>
          </w:p>
        </w:tc>
        <w:tc>
          <w:tcPr>
            <w:tcW w:w="291" w:type="dxa"/>
          </w:tcPr>
          <w:p>
            <w:pPr>
              <w:pStyle w:val="TableParagraph"/>
              <w:spacing w:line="120" w:lineRule="exact"/>
              <w:ind w:right="28"/>
              <w:jc w:val="right"/>
              <w:rPr>
                <w:i/>
                <w:sz w:val="14"/>
              </w:rPr>
            </w:pPr>
            <w:r>
              <w:rPr>
                <w:i/>
                <w:color w:val="231F20"/>
                <w:sz w:val="14"/>
              </w:rPr>
              <w:t>-2.5</w:t>
            </w:r>
          </w:p>
        </w:tc>
        <w:tc>
          <w:tcPr>
            <w:tcW w:w="1059" w:type="dxa"/>
          </w:tcPr>
          <w:p>
            <w:pPr>
              <w:pStyle w:val="TableParagraph"/>
              <w:spacing w:line="120" w:lineRule="exact"/>
              <w:ind w:right="149"/>
              <w:jc w:val="right"/>
              <w:rPr>
                <w:sz w:val="14"/>
              </w:rPr>
            </w:pPr>
            <w:r>
              <w:rPr>
                <w:color w:val="231F20"/>
                <w:sz w:val="14"/>
              </w:rPr>
              <w:t>0.5</w:t>
            </w:r>
          </w:p>
        </w:tc>
        <w:tc>
          <w:tcPr>
            <w:tcW w:w="291" w:type="dxa"/>
          </w:tcPr>
          <w:p>
            <w:pPr>
              <w:pStyle w:val="TableParagraph"/>
              <w:spacing w:line="120" w:lineRule="exact"/>
              <w:ind w:left="18"/>
              <w:rPr>
                <w:i/>
                <w:sz w:val="14"/>
              </w:rPr>
            </w:pPr>
            <w:r>
              <w:rPr>
                <w:i/>
                <w:color w:val="231F20"/>
                <w:sz w:val="14"/>
              </w:rPr>
              <w:t>-0.8</w:t>
            </w:r>
          </w:p>
        </w:tc>
      </w:tr>
      <w:tr>
        <w:trPr>
          <w:trHeight w:val="140" w:hRule="atLeast"/>
        </w:trPr>
        <w:tc>
          <w:tcPr>
            <w:tcW w:w="1373" w:type="dxa"/>
          </w:tcPr>
          <w:p>
            <w:pPr>
              <w:pStyle w:val="TableParagraph"/>
              <w:spacing w:line="120" w:lineRule="exact"/>
              <w:ind w:left="50"/>
              <w:rPr>
                <w:sz w:val="12"/>
              </w:rPr>
            </w:pPr>
            <w:r>
              <w:rPr>
                <w:color w:val="231F20"/>
                <w:sz w:val="14"/>
              </w:rPr>
              <w:t>NIEs </w:t>
            </w:r>
            <w:r>
              <w:rPr>
                <w:color w:val="231F20"/>
                <w:sz w:val="12"/>
              </w:rPr>
              <w:t>(b)</w:t>
            </w:r>
          </w:p>
        </w:tc>
        <w:tc>
          <w:tcPr>
            <w:tcW w:w="417" w:type="dxa"/>
          </w:tcPr>
          <w:p>
            <w:pPr>
              <w:pStyle w:val="TableParagraph"/>
              <w:spacing w:line="120" w:lineRule="exact"/>
              <w:ind w:left="35"/>
              <w:rPr>
                <w:sz w:val="14"/>
              </w:rPr>
            </w:pPr>
            <w:r>
              <w:rPr>
                <w:color w:val="231F20"/>
                <w:sz w:val="14"/>
              </w:rPr>
              <w:t>-2.9</w:t>
            </w:r>
          </w:p>
        </w:tc>
        <w:tc>
          <w:tcPr>
            <w:tcW w:w="291" w:type="dxa"/>
          </w:tcPr>
          <w:p>
            <w:pPr>
              <w:pStyle w:val="TableParagraph"/>
              <w:spacing w:line="120" w:lineRule="exact"/>
              <w:ind w:right="28"/>
              <w:jc w:val="right"/>
              <w:rPr>
                <w:i/>
                <w:sz w:val="14"/>
              </w:rPr>
            </w:pPr>
            <w:r>
              <w:rPr>
                <w:i/>
                <w:color w:val="231F20"/>
                <w:sz w:val="14"/>
              </w:rPr>
              <w:t>-4.7</w:t>
            </w:r>
          </w:p>
        </w:tc>
        <w:tc>
          <w:tcPr>
            <w:tcW w:w="1059" w:type="dxa"/>
          </w:tcPr>
          <w:p>
            <w:pPr>
              <w:pStyle w:val="TableParagraph"/>
              <w:spacing w:line="120" w:lineRule="exact"/>
              <w:ind w:right="149"/>
              <w:jc w:val="right"/>
              <w:rPr>
                <w:sz w:val="14"/>
              </w:rPr>
            </w:pPr>
            <w:r>
              <w:rPr>
                <w:color w:val="231F20"/>
                <w:sz w:val="14"/>
              </w:rPr>
              <w:t>0.7</w:t>
            </w:r>
          </w:p>
        </w:tc>
        <w:tc>
          <w:tcPr>
            <w:tcW w:w="291" w:type="dxa"/>
          </w:tcPr>
          <w:p>
            <w:pPr>
              <w:pStyle w:val="TableParagraph"/>
              <w:spacing w:line="120" w:lineRule="exact"/>
              <w:ind w:left="18"/>
              <w:rPr>
                <w:i/>
                <w:sz w:val="14"/>
              </w:rPr>
            </w:pPr>
            <w:r>
              <w:rPr>
                <w:i/>
                <w:color w:val="231F20"/>
                <w:sz w:val="14"/>
              </w:rPr>
              <w:t>-3.8</w:t>
            </w:r>
          </w:p>
        </w:tc>
      </w:tr>
      <w:tr>
        <w:trPr>
          <w:trHeight w:val="139" w:hRule="atLeast"/>
        </w:trPr>
        <w:tc>
          <w:tcPr>
            <w:tcW w:w="1373" w:type="dxa"/>
          </w:tcPr>
          <w:p>
            <w:pPr>
              <w:pStyle w:val="TableParagraph"/>
              <w:spacing w:line="120" w:lineRule="exact"/>
              <w:ind w:left="50"/>
              <w:rPr>
                <w:sz w:val="14"/>
              </w:rPr>
            </w:pPr>
            <w:r>
              <w:rPr>
                <w:color w:val="231F20"/>
                <w:sz w:val="14"/>
              </w:rPr>
              <w:t>Developing economies</w:t>
            </w:r>
          </w:p>
        </w:tc>
        <w:tc>
          <w:tcPr>
            <w:tcW w:w="417" w:type="dxa"/>
          </w:tcPr>
          <w:p>
            <w:pPr>
              <w:pStyle w:val="TableParagraph"/>
              <w:spacing w:line="120" w:lineRule="exact"/>
              <w:ind w:left="82"/>
              <w:rPr>
                <w:sz w:val="14"/>
              </w:rPr>
            </w:pPr>
            <w:r>
              <w:rPr>
                <w:color w:val="231F20"/>
                <w:sz w:val="14"/>
              </w:rPr>
              <w:t>2.3</w:t>
            </w:r>
          </w:p>
        </w:tc>
        <w:tc>
          <w:tcPr>
            <w:tcW w:w="291" w:type="dxa"/>
          </w:tcPr>
          <w:p>
            <w:pPr>
              <w:pStyle w:val="TableParagraph"/>
              <w:spacing w:line="120" w:lineRule="exact"/>
              <w:ind w:right="28"/>
              <w:jc w:val="right"/>
              <w:rPr>
                <w:i/>
                <w:sz w:val="14"/>
              </w:rPr>
            </w:pPr>
            <w:r>
              <w:rPr>
                <w:i/>
                <w:color w:val="231F20"/>
                <w:sz w:val="14"/>
              </w:rPr>
              <w:t>-1.8</w:t>
            </w:r>
          </w:p>
        </w:tc>
        <w:tc>
          <w:tcPr>
            <w:tcW w:w="1059" w:type="dxa"/>
          </w:tcPr>
          <w:p>
            <w:pPr>
              <w:pStyle w:val="TableParagraph"/>
              <w:spacing w:line="120" w:lineRule="exact"/>
              <w:ind w:right="149"/>
              <w:jc w:val="right"/>
              <w:rPr>
                <w:sz w:val="14"/>
              </w:rPr>
            </w:pPr>
            <w:r>
              <w:rPr>
                <w:color w:val="231F20"/>
                <w:sz w:val="14"/>
              </w:rPr>
              <w:t>3.6</w:t>
            </w:r>
          </w:p>
        </w:tc>
        <w:tc>
          <w:tcPr>
            <w:tcW w:w="291" w:type="dxa"/>
          </w:tcPr>
          <w:p>
            <w:pPr>
              <w:pStyle w:val="TableParagraph"/>
              <w:spacing w:line="120" w:lineRule="exact"/>
              <w:ind w:left="18"/>
              <w:rPr>
                <w:i/>
                <w:sz w:val="14"/>
              </w:rPr>
            </w:pPr>
            <w:r>
              <w:rPr>
                <w:i/>
                <w:color w:val="231F20"/>
                <w:sz w:val="14"/>
              </w:rPr>
              <w:t>-1.7</w:t>
            </w:r>
          </w:p>
        </w:tc>
      </w:tr>
      <w:tr>
        <w:trPr>
          <w:trHeight w:val="140" w:hRule="atLeast"/>
        </w:trPr>
        <w:tc>
          <w:tcPr>
            <w:tcW w:w="1373" w:type="dxa"/>
          </w:tcPr>
          <w:p>
            <w:pPr>
              <w:pStyle w:val="TableParagraph"/>
              <w:spacing w:line="120" w:lineRule="exact"/>
              <w:ind w:left="50"/>
              <w:rPr>
                <w:sz w:val="14"/>
              </w:rPr>
            </w:pPr>
            <w:r>
              <w:rPr>
                <w:color w:val="231F20"/>
                <w:sz w:val="14"/>
              </w:rPr>
              <w:t>Countries in transition</w:t>
            </w:r>
          </w:p>
        </w:tc>
        <w:tc>
          <w:tcPr>
            <w:tcW w:w="417" w:type="dxa"/>
          </w:tcPr>
          <w:p>
            <w:pPr>
              <w:pStyle w:val="TableParagraph"/>
              <w:spacing w:line="120" w:lineRule="exact"/>
              <w:ind w:left="35"/>
              <w:rPr>
                <w:sz w:val="14"/>
              </w:rPr>
            </w:pPr>
            <w:r>
              <w:rPr>
                <w:color w:val="231F20"/>
                <w:sz w:val="14"/>
              </w:rPr>
              <w:t>-0.2</w:t>
            </w:r>
          </w:p>
        </w:tc>
        <w:tc>
          <w:tcPr>
            <w:tcW w:w="291" w:type="dxa"/>
          </w:tcPr>
          <w:p>
            <w:pPr>
              <w:pStyle w:val="TableParagraph"/>
              <w:spacing w:line="120" w:lineRule="exact"/>
              <w:ind w:right="28"/>
              <w:jc w:val="right"/>
              <w:rPr>
                <w:i/>
                <w:sz w:val="14"/>
              </w:rPr>
            </w:pPr>
            <w:r>
              <w:rPr>
                <w:i/>
                <w:color w:val="231F20"/>
                <w:sz w:val="14"/>
              </w:rPr>
              <w:t>-3.1</w:t>
            </w:r>
          </w:p>
        </w:tc>
        <w:tc>
          <w:tcPr>
            <w:tcW w:w="1059" w:type="dxa"/>
          </w:tcPr>
          <w:p>
            <w:pPr>
              <w:pStyle w:val="TableParagraph"/>
              <w:spacing w:line="120" w:lineRule="exact"/>
              <w:ind w:left="687"/>
              <w:rPr>
                <w:sz w:val="14"/>
              </w:rPr>
            </w:pPr>
            <w:r>
              <w:rPr>
                <w:color w:val="231F20"/>
                <w:sz w:val="14"/>
              </w:rPr>
              <w:t>-0.2</w:t>
            </w:r>
          </w:p>
        </w:tc>
        <w:tc>
          <w:tcPr>
            <w:tcW w:w="291" w:type="dxa"/>
          </w:tcPr>
          <w:p>
            <w:pPr>
              <w:pStyle w:val="TableParagraph"/>
              <w:spacing w:line="120" w:lineRule="exact"/>
              <w:ind w:left="18"/>
              <w:rPr>
                <w:i/>
                <w:sz w:val="14"/>
              </w:rPr>
            </w:pPr>
            <w:r>
              <w:rPr>
                <w:i/>
                <w:color w:val="231F20"/>
                <w:sz w:val="14"/>
              </w:rPr>
              <w:t>-3.6</w:t>
            </w:r>
          </w:p>
        </w:tc>
      </w:tr>
      <w:tr>
        <w:trPr>
          <w:trHeight w:val="147" w:hRule="atLeast"/>
        </w:trPr>
        <w:tc>
          <w:tcPr>
            <w:tcW w:w="1373" w:type="dxa"/>
          </w:tcPr>
          <w:p>
            <w:pPr>
              <w:pStyle w:val="TableParagraph"/>
              <w:spacing w:line="128" w:lineRule="exact"/>
              <w:ind w:left="120"/>
              <w:rPr>
                <w:i/>
                <w:sz w:val="14"/>
              </w:rPr>
            </w:pPr>
            <w:r>
              <w:rPr>
                <w:i/>
                <w:color w:val="231F20"/>
                <w:sz w:val="14"/>
              </w:rPr>
              <w:t>of which, Russia</w:t>
            </w:r>
          </w:p>
        </w:tc>
        <w:tc>
          <w:tcPr>
            <w:tcW w:w="417" w:type="dxa"/>
          </w:tcPr>
          <w:p>
            <w:pPr>
              <w:pStyle w:val="TableParagraph"/>
              <w:spacing w:line="128" w:lineRule="exact"/>
              <w:ind w:left="35"/>
              <w:rPr>
                <w:sz w:val="14"/>
              </w:rPr>
            </w:pPr>
            <w:r>
              <w:rPr>
                <w:color w:val="231F20"/>
                <w:sz w:val="14"/>
              </w:rPr>
              <w:t>-6.0</w:t>
            </w:r>
          </w:p>
        </w:tc>
        <w:tc>
          <w:tcPr>
            <w:tcW w:w="291" w:type="dxa"/>
          </w:tcPr>
          <w:p>
            <w:pPr>
              <w:pStyle w:val="TableParagraph"/>
              <w:spacing w:line="128" w:lineRule="exact"/>
              <w:ind w:right="28"/>
              <w:jc w:val="right"/>
              <w:rPr>
                <w:i/>
                <w:sz w:val="14"/>
              </w:rPr>
            </w:pPr>
            <w:r>
              <w:rPr>
                <w:i/>
                <w:color w:val="231F20"/>
                <w:sz w:val="14"/>
              </w:rPr>
              <w:t>-7.0</w:t>
            </w:r>
          </w:p>
        </w:tc>
        <w:tc>
          <w:tcPr>
            <w:tcW w:w="1059" w:type="dxa"/>
          </w:tcPr>
          <w:p>
            <w:pPr>
              <w:pStyle w:val="TableParagraph"/>
              <w:spacing w:line="128" w:lineRule="exact"/>
              <w:ind w:left="687"/>
              <w:rPr>
                <w:sz w:val="14"/>
              </w:rPr>
            </w:pPr>
            <w:r>
              <w:rPr>
                <w:color w:val="231F20"/>
                <w:sz w:val="14"/>
              </w:rPr>
              <w:t>-6.0</w:t>
            </w:r>
          </w:p>
        </w:tc>
        <w:tc>
          <w:tcPr>
            <w:tcW w:w="291" w:type="dxa"/>
          </w:tcPr>
          <w:p>
            <w:pPr>
              <w:pStyle w:val="TableParagraph"/>
              <w:spacing w:line="128" w:lineRule="exact"/>
              <w:ind w:left="18"/>
              <w:rPr>
                <w:i/>
                <w:sz w:val="14"/>
              </w:rPr>
            </w:pPr>
            <w:r>
              <w:rPr>
                <w:i/>
                <w:color w:val="231F20"/>
                <w:sz w:val="14"/>
              </w:rPr>
              <w:t>-7.9</w:t>
            </w:r>
          </w:p>
        </w:tc>
      </w:tr>
      <w:tr>
        <w:trPr>
          <w:trHeight w:val="280" w:hRule="atLeast"/>
        </w:trPr>
        <w:tc>
          <w:tcPr>
            <w:tcW w:w="1373" w:type="dxa"/>
          </w:tcPr>
          <w:p>
            <w:pPr>
              <w:pStyle w:val="TableParagraph"/>
              <w:spacing w:line="141" w:lineRule="exact" w:before="119"/>
              <w:ind w:left="50"/>
              <w:rPr>
                <w:sz w:val="14"/>
              </w:rPr>
            </w:pPr>
            <w:r>
              <w:rPr>
                <w:color w:val="231F20"/>
                <w:sz w:val="14"/>
              </w:rPr>
              <w:t>World trade</w:t>
            </w:r>
          </w:p>
        </w:tc>
        <w:tc>
          <w:tcPr>
            <w:tcW w:w="417" w:type="dxa"/>
          </w:tcPr>
          <w:p>
            <w:pPr>
              <w:pStyle w:val="TableParagraph"/>
              <w:spacing w:line="141" w:lineRule="exact" w:before="119"/>
              <w:ind w:left="82"/>
              <w:rPr>
                <w:sz w:val="14"/>
              </w:rPr>
            </w:pPr>
            <w:r>
              <w:rPr>
                <w:color w:val="231F20"/>
                <w:sz w:val="14"/>
              </w:rPr>
              <w:t>3.7</w:t>
            </w:r>
          </w:p>
        </w:tc>
        <w:tc>
          <w:tcPr>
            <w:tcW w:w="291" w:type="dxa"/>
          </w:tcPr>
          <w:p>
            <w:pPr>
              <w:pStyle w:val="TableParagraph"/>
              <w:spacing w:line="141" w:lineRule="exact" w:before="119"/>
              <w:ind w:right="28"/>
              <w:jc w:val="right"/>
              <w:rPr>
                <w:i/>
                <w:sz w:val="14"/>
              </w:rPr>
            </w:pPr>
            <w:r>
              <w:rPr>
                <w:i/>
                <w:color w:val="231F20"/>
                <w:sz w:val="14"/>
              </w:rPr>
              <w:t>-2.7</w:t>
            </w:r>
          </w:p>
        </w:tc>
        <w:tc>
          <w:tcPr>
            <w:tcW w:w="1059" w:type="dxa"/>
          </w:tcPr>
          <w:p>
            <w:pPr>
              <w:pStyle w:val="TableParagraph"/>
              <w:spacing w:line="141" w:lineRule="exact" w:before="119"/>
              <w:ind w:right="149"/>
              <w:jc w:val="right"/>
              <w:rPr>
                <w:sz w:val="14"/>
              </w:rPr>
            </w:pPr>
            <w:r>
              <w:rPr>
                <w:color w:val="231F20"/>
                <w:sz w:val="14"/>
              </w:rPr>
              <w:t>4.6</w:t>
            </w:r>
          </w:p>
        </w:tc>
        <w:tc>
          <w:tcPr>
            <w:tcW w:w="291" w:type="dxa"/>
          </w:tcPr>
          <w:p>
            <w:pPr>
              <w:pStyle w:val="TableParagraph"/>
              <w:spacing w:line="141" w:lineRule="exact" w:before="119"/>
              <w:ind w:left="18"/>
              <w:rPr>
                <w:i/>
                <w:sz w:val="14"/>
              </w:rPr>
            </w:pPr>
            <w:r>
              <w:rPr>
                <w:i/>
                <w:color w:val="231F20"/>
                <w:sz w:val="14"/>
              </w:rPr>
              <w:t>-1.5</w:t>
            </w:r>
          </w:p>
        </w:tc>
      </w:tr>
    </w:tbl>
    <w:p>
      <w:pPr>
        <w:spacing w:before="117"/>
        <w:ind w:left="220" w:right="0" w:firstLine="0"/>
        <w:jc w:val="left"/>
        <w:rPr>
          <w:sz w:val="12"/>
        </w:rPr>
      </w:pPr>
      <w:r>
        <w:rPr>
          <w:color w:val="231F20"/>
          <w:sz w:val="12"/>
        </w:rPr>
        <w:t>Source: IMF </w:t>
      </w:r>
      <w:r>
        <w:rPr>
          <w:i/>
          <w:color w:val="231F20"/>
          <w:sz w:val="12"/>
        </w:rPr>
        <w:t>World Economic Outlook (WEO)</w:t>
      </w:r>
      <w:r>
        <w:rPr>
          <w:color w:val="231F20"/>
          <w:sz w:val="12"/>
        </w:rPr>
        <w:t>, October 1998.</w:t>
      </w:r>
    </w:p>
    <w:p>
      <w:pPr>
        <w:pStyle w:val="ListParagraph"/>
        <w:numPr>
          <w:ilvl w:val="0"/>
          <w:numId w:val="7"/>
        </w:numPr>
        <w:tabs>
          <w:tab w:pos="460" w:val="left" w:leader="none"/>
        </w:tabs>
        <w:spacing w:line="129" w:lineRule="exact" w:before="102" w:after="0"/>
        <w:ind w:left="459" w:right="0" w:hanging="240"/>
        <w:jc w:val="left"/>
        <w:rPr>
          <w:sz w:val="12"/>
        </w:rPr>
      </w:pPr>
      <w:r>
        <w:rPr>
          <w:color w:val="231F20"/>
          <w:sz w:val="12"/>
        </w:rPr>
        <w:t>Differences from May </w:t>
      </w:r>
      <w:r>
        <w:rPr>
          <w:i/>
          <w:color w:val="231F20"/>
          <w:sz w:val="12"/>
        </w:rPr>
        <w:t>WEO </w:t>
      </w:r>
      <w:r>
        <w:rPr>
          <w:color w:val="231F20"/>
          <w:sz w:val="12"/>
        </w:rPr>
        <w:t>in</w:t>
      </w:r>
      <w:r>
        <w:rPr>
          <w:color w:val="231F20"/>
          <w:spacing w:val="-2"/>
          <w:sz w:val="12"/>
        </w:rPr>
        <w:t> </w:t>
      </w:r>
      <w:r>
        <w:rPr>
          <w:color w:val="231F20"/>
          <w:sz w:val="12"/>
        </w:rPr>
        <w:t>italics.</w:t>
      </w:r>
    </w:p>
    <w:p>
      <w:pPr>
        <w:pStyle w:val="ListParagraph"/>
        <w:numPr>
          <w:ilvl w:val="0"/>
          <w:numId w:val="7"/>
        </w:numPr>
        <w:tabs>
          <w:tab w:pos="461" w:val="left" w:leader="none"/>
        </w:tabs>
        <w:spacing w:line="129" w:lineRule="exact" w:before="0" w:after="0"/>
        <w:ind w:left="460" w:right="0" w:hanging="241"/>
        <w:jc w:val="left"/>
        <w:rPr>
          <w:sz w:val="12"/>
        </w:rPr>
      </w:pPr>
      <w:r>
        <w:rPr>
          <w:color w:val="231F20"/>
          <w:sz w:val="12"/>
        </w:rPr>
        <w:t>Korea, Singapore, Taiwan and Hong Kong SAR.</w:t>
      </w:r>
    </w:p>
    <w:p>
      <w:pPr>
        <w:pStyle w:val="BodyText"/>
        <w:rPr>
          <w:sz w:val="12"/>
        </w:rPr>
      </w:pPr>
    </w:p>
    <w:p>
      <w:pPr>
        <w:pStyle w:val="BodyText"/>
        <w:spacing w:before="4"/>
        <w:rPr>
          <w:sz w:val="17"/>
        </w:rPr>
      </w:pPr>
    </w:p>
    <w:p>
      <w:pPr>
        <w:pStyle w:val="Heading7"/>
        <w:spacing w:before="0"/>
        <w:ind w:left="190"/>
      </w:pPr>
      <w:r>
        <w:rPr>
          <w:color w:val="0093C1"/>
        </w:rPr>
        <w:t>Chart 2.1</w:t>
      </w:r>
    </w:p>
    <w:p>
      <w:pPr>
        <w:spacing w:before="10"/>
        <w:ind w:left="190" w:right="0" w:firstLine="0"/>
        <w:jc w:val="left"/>
        <w:rPr>
          <w:b/>
          <w:sz w:val="20"/>
        </w:rPr>
      </w:pPr>
      <w:r>
        <w:rPr>
          <w:b/>
          <w:color w:val="0093C1"/>
          <w:sz w:val="20"/>
        </w:rPr>
        <w:t>Share of world GDP</w:t>
      </w:r>
      <w:r>
        <w:rPr>
          <w:color w:val="231F20"/>
          <w:position w:val="4"/>
          <w:sz w:val="12"/>
        </w:rPr>
        <w:t>(a) </w:t>
      </w:r>
      <w:r>
        <w:rPr>
          <w:b/>
          <w:color w:val="0093C1"/>
          <w:sz w:val="20"/>
        </w:rPr>
        <w:t>1997</w:t>
      </w:r>
    </w:p>
    <w:p>
      <w:pPr>
        <w:spacing w:line="242" w:lineRule="auto" w:before="218"/>
        <w:ind w:left="169" w:right="296" w:firstLine="0"/>
        <w:jc w:val="left"/>
        <w:rPr>
          <w:sz w:val="24"/>
        </w:rPr>
      </w:pPr>
      <w:r>
        <w:rPr/>
        <w:br w:type="column"/>
      </w:r>
      <w:r>
        <w:rPr>
          <w:color w:val="231F20"/>
          <w:sz w:val="24"/>
        </w:rPr>
        <w:t>Prospects for the external environment </w:t>
      </w:r>
      <w:r>
        <w:rPr>
          <w:color w:val="231F20"/>
          <w:spacing w:val="-3"/>
          <w:sz w:val="24"/>
        </w:rPr>
        <w:t>have </w:t>
      </w:r>
      <w:r>
        <w:rPr>
          <w:color w:val="231F20"/>
          <w:sz w:val="24"/>
        </w:rPr>
        <w:t>worsened considerably since the August </w:t>
      </w:r>
      <w:r>
        <w:rPr>
          <w:i/>
          <w:color w:val="231F20"/>
          <w:sz w:val="24"/>
        </w:rPr>
        <w:t>Inflation Report</w:t>
      </w:r>
      <w:r>
        <w:rPr>
          <w:color w:val="231F20"/>
          <w:sz w:val="24"/>
        </w:rPr>
        <w:t>, increasing the downside risks for UK trade and output. Extensive revisions between 1991–97 to the UK National Accounts </w:t>
      </w:r>
      <w:r>
        <w:rPr>
          <w:color w:val="231F20"/>
          <w:spacing w:val="-3"/>
          <w:sz w:val="24"/>
        </w:rPr>
        <w:t>have </w:t>
      </w:r>
      <w:r>
        <w:rPr>
          <w:color w:val="231F20"/>
          <w:sz w:val="24"/>
        </w:rPr>
        <w:t>raised the estimated cumulative growth of real GDP by nearly 2%, but did not change estimates of quarterly growth in 1998.  Domestic demand growth in 1998 H1 is now lower than </w:t>
      </w:r>
      <w:r>
        <w:rPr>
          <w:color w:val="231F20"/>
          <w:spacing w:val="-3"/>
          <w:sz w:val="24"/>
        </w:rPr>
        <w:t>previously </w:t>
      </w:r>
      <w:r>
        <w:rPr>
          <w:color w:val="231F20"/>
          <w:sz w:val="24"/>
        </w:rPr>
        <w:t>measured, but the contribution from net trade is less negative</w:t>
      </w:r>
      <w:hyperlink w:history="true" w:anchor="_bookmark10">
        <w:r>
          <w:rPr>
            <w:color w:val="231F20"/>
            <w:sz w:val="24"/>
          </w:rPr>
          <w:t>. The box on pages 14–15</w:t>
        </w:r>
      </w:hyperlink>
      <w:r>
        <w:rPr>
          <w:color w:val="231F20"/>
          <w:sz w:val="24"/>
        </w:rPr>
        <w:t> considers the source and impact of the main revisions. The first estimate of GDP growth in 1998 Q3 was 0.5%, the same rate of growth as in</w:t>
      </w:r>
      <w:r>
        <w:rPr>
          <w:color w:val="231F20"/>
          <w:spacing w:val="-1"/>
          <w:sz w:val="24"/>
        </w:rPr>
        <w:t> </w:t>
      </w:r>
      <w:r>
        <w:rPr>
          <w:color w:val="231F20"/>
          <w:sz w:val="24"/>
        </w:rPr>
        <w:t>Q2.</w:t>
      </w:r>
    </w:p>
    <w:p>
      <w:pPr>
        <w:pStyle w:val="BodyText"/>
        <w:rPr>
          <w:sz w:val="33"/>
        </w:rPr>
      </w:pPr>
    </w:p>
    <w:p>
      <w:pPr>
        <w:pStyle w:val="ListParagraph"/>
        <w:numPr>
          <w:ilvl w:val="1"/>
          <w:numId w:val="8"/>
        </w:numPr>
        <w:tabs>
          <w:tab w:pos="3191" w:val="left" w:leader="none"/>
          <w:tab w:pos="3192" w:val="left" w:leader="none"/>
        </w:tabs>
        <w:spacing w:line="240" w:lineRule="auto" w:before="0" w:after="0"/>
        <w:ind w:left="3191" w:right="0" w:hanging="3022"/>
        <w:jc w:val="left"/>
        <w:rPr>
          <w:color w:val="009483"/>
          <w:sz w:val="28"/>
        </w:rPr>
      </w:pPr>
      <w:r>
        <w:rPr>
          <w:b/>
          <w:color w:val="009483"/>
          <w:sz w:val="28"/>
          <w:u w:val="thick" w:color="0093C1"/>
        </w:rPr>
        <w:t>External</w:t>
      </w:r>
      <w:r>
        <w:rPr>
          <w:b/>
          <w:color w:val="009483"/>
          <w:spacing w:val="-1"/>
          <w:sz w:val="28"/>
          <w:u w:val="thick" w:color="0093C1"/>
        </w:rPr>
        <w:t> </w:t>
      </w:r>
      <w:r>
        <w:rPr>
          <w:b/>
          <w:color w:val="009483"/>
          <w:sz w:val="28"/>
          <w:u w:val="thick" w:color="0093C1"/>
        </w:rPr>
        <w:t>demand</w:t>
      </w:r>
      <w:r>
        <w:rPr>
          <w:color w:val="231F20"/>
          <w:position w:val="5"/>
          <w:sz w:val="16"/>
        </w:rPr>
        <w:t>(1)</w:t>
      </w:r>
    </w:p>
    <w:p>
      <w:pPr>
        <w:pStyle w:val="BodyText"/>
        <w:spacing w:before="11"/>
        <w:rPr>
          <w:sz w:val="23"/>
        </w:rPr>
      </w:pPr>
    </w:p>
    <w:p>
      <w:pPr>
        <w:spacing w:line="242" w:lineRule="auto" w:before="0"/>
        <w:ind w:left="170" w:right="295" w:firstLine="0"/>
        <w:jc w:val="left"/>
        <w:rPr>
          <w:sz w:val="24"/>
        </w:rPr>
      </w:pPr>
      <w:r>
        <w:rPr>
          <w:color w:val="231F20"/>
          <w:sz w:val="24"/>
        </w:rPr>
        <w:t>The prospects for world demand and output have deteriorated significantly since the August </w:t>
      </w:r>
      <w:r>
        <w:rPr>
          <w:i/>
          <w:color w:val="231F20"/>
          <w:sz w:val="24"/>
        </w:rPr>
        <w:t>Inflation </w:t>
      </w:r>
      <w:r>
        <w:rPr>
          <w:i/>
          <w:color w:val="231F20"/>
          <w:sz w:val="24"/>
        </w:rPr>
        <w:t>Report. </w:t>
      </w:r>
      <w:r>
        <w:rPr>
          <w:color w:val="231F20"/>
          <w:sz w:val="24"/>
        </w:rPr>
        <w:t>Between May and October, the International Monetary Fund (IMF) revised down its forecast for world GDP growth in 1998 by 1.1 percentage points, to 2.0% (see Table 2.A). That compares with a forecast of 4.4% made in October 1997. Independent outside</w:t>
      </w:r>
    </w:p>
    <w:p>
      <w:pPr>
        <w:spacing w:after="0" w:line="242" w:lineRule="auto"/>
        <w:jc w:val="left"/>
        <w:rPr>
          <w:sz w:val="24"/>
        </w:rPr>
        <w:sectPr>
          <w:type w:val="continuous"/>
          <w:pgSz w:w="11900" w:h="16840"/>
          <w:pgMar w:top="1220" w:bottom="280" w:left="620" w:right="520"/>
          <w:cols w:num="2" w:equalWidth="0">
            <w:col w:w="4103" w:space="726"/>
            <w:col w:w="5931"/>
          </w:cols>
        </w:sectPr>
      </w:pPr>
    </w:p>
    <w:p>
      <w:pPr>
        <w:spacing w:before="16"/>
        <w:ind w:left="573" w:right="0" w:firstLine="0"/>
        <w:jc w:val="left"/>
        <w:rPr>
          <w:sz w:val="12"/>
        </w:rPr>
      </w:pPr>
      <w:r>
        <w:rPr/>
        <w:drawing>
          <wp:anchor distT="0" distB="0" distL="0" distR="0" allowOverlap="1" layoutInCell="1" locked="0" behindDoc="0" simplePos="0" relativeHeight="15812608">
            <wp:simplePos x="0" y="0"/>
            <wp:positionH relativeFrom="page">
              <wp:posOffset>589495</wp:posOffset>
            </wp:positionH>
            <wp:positionV relativeFrom="paragraph">
              <wp:posOffset>-2316</wp:posOffset>
            </wp:positionV>
            <wp:extent cx="116420" cy="452437"/>
            <wp:effectExtent l="0" t="0" r="0" b="0"/>
            <wp:wrapNone/>
            <wp:docPr id="1" name="image9.png"/>
            <wp:cNvGraphicFramePr>
              <a:graphicFrameLocks noChangeAspect="1"/>
            </wp:cNvGraphicFramePr>
            <a:graphic>
              <a:graphicData uri="http://schemas.openxmlformats.org/drawingml/2006/picture">
                <pic:pic>
                  <pic:nvPicPr>
                    <pic:cNvPr id="2" name="image9.png"/>
                    <pic:cNvPicPr/>
                  </pic:nvPicPr>
                  <pic:blipFill>
                    <a:blip r:embed="rId35" cstate="print"/>
                    <a:stretch>
                      <a:fillRect/>
                    </a:stretch>
                  </pic:blipFill>
                  <pic:spPr>
                    <a:xfrm>
                      <a:off x="0" y="0"/>
                      <a:ext cx="116420" cy="452437"/>
                    </a:xfrm>
                    <a:prstGeom prst="rect">
                      <a:avLst/>
                    </a:prstGeom>
                  </pic:spPr>
                </pic:pic>
              </a:graphicData>
            </a:graphic>
          </wp:anchor>
        </w:drawing>
      </w:r>
      <w:r>
        <w:rPr/>
        <w:drawing>
          <wp:anchor distT="0" distB="0" distL="0" distR="0" allowOverlap="1" layoutInCell="1" locked="0" behindDoc="0" simplePos="0" relativeHeight="15813120">
            <wp:simplePos x="0" y="0"/>
            <wp:positionH relativeFrom="page">
              <wp:posOffset>1366304</wp:posOffset>
            </wp:positionH>
            <wp:positionV relativeFrom="paragraph">
              <wp:posOffset>-2316</wp:posOffset>
            </wp:positionV>
            <wp:extent cx="116420" cy="340258"/>
            <wp:effectExtent l="0" t="0" r="0" b="0"/>
            <wp:wrapNone/>
            <wp:docPr id="3" name="image10.png"/>
            <wp:cNvGraphicFramePr>
              <a:graphicFrameLocks noChangeAspect="1"/>
            </wp:cNvGraphicFramePr>
            <a:graphic>
              <a:graphicData uri="http://schemas.openxmlformats.org/drawingml/2006/picture">
                <pic:pic>
                  <pic:nvPicPr>
                    <pic:cNvPr id="4" name="image10.png"/>
                    <pic:cNvPicPr/>
                  </pic:nvPicPr>
                  <pic:blipFill>
                    <a:blip r:embed="rId36" cstate="print"/>
                    <a:stretch>
                      <a:fillRect/>
                    </a:stretch>
                  </pic:blipFill>
                  <pic:spPr>
                    <a:xfrm>
                      <a:off x="0" y="0"/>
                      <a:ext cx="116420" cy="340258"/>
                    </a:xfrm>
                    <a:prstGeom prst="rect">
                      <a:avLst/>
                    </a:prstGeom>
                  </pic:spPr>
                </pic:pic>
              </a:graphicData>
            </a:graphic>
          </wp:anchor>
        </w:drawing>
      </w:r>
      <w:r>
        <w:rPr>
          <w:color w:val="231F20"/>
          <w:sz w:val="12"/>
        </w:rPr>
        <w:t>G7</w:t>
      </w:r>
    </w:p>
    <w:p>
      <w:pPr>
        <w:spacing w:line="312" w:lineRule="auto" w:before="42"/>
        <w:ind w:left="573" w:right="588" w:firstLine="0"/>
        <w:jc w:val="left"/>
        <w:rPr>
          <w:sz w:val="12"/>
        </w:rPr>
      </w:pPr>
      <w:r>
        <w:rPr>
          <w:color w:val="231F20"/>
          <w:sz w:val="12"/>
        </w:rPr>
        <w:t>Rest of EU NIEs</w:t>
      </w:r>
    </w:p>
    <w:p>
      <w:pPr>
        <w:spacing w:before="2"/>
        <w:ind w:left="573" w:right="0" w:firstLine="0"/>
        <w:jc w:val="left"/>
        <w:rPr>
          <w:sz w:val="12"/>
        </w:rPr>
      </w:pPr>
      <w:r>
        <w:rPr/>
        <w:pict>
          <v:group style="position:absolute;margin-left:45.551815pt;margin-top:13.46457pt;width:144.4pt;height:144.15pt;mso-position-horizontal-relative:page;mso-position-vertical-relative:paragraph;z-index:15812096" coordorigin="911,269" coordsize="2888,2883">
            <v:shape style="position:absolute;left:1912;top:274;width:444;height:1437" coordorigin="1913,274" coordsize="444,1437" path="m2357,274l2279,276,2205,282,2132,291,2060,305,1987,322,1913,345,2357,1711,2357,274xe" filled="true" fillcolor="#0099d8" stroked="false">
              <v:path arrowok="t"/>
              <v:fill type="solid"/>
            </v:shape>
            <v:shape style="position:absolute;left:1912;top:274;width:444;height:1437" coordorigin="1913,274" coordsize="444,1437" path="m2357,274l2279,276,2205,282,2132,291,2060,305,1987,322,1913,345,2357,1711,2357,274xe" filled="false" stroked="true" strokeweight=".5pt" strokecolor="#000000">
              <v:path arrowok="t"/>
              <v:stroke dashstyle="solid"/>
            </v:shape>
            <v:shape style="position:absolute;left:1054;top:344;width:1302;height:1367" coordorigin="1055,345" coordsize="1302,1367" path="m1913,345l1836,372,1761,403,1690,437,1621,474,1555,515,1492,559,1431,607,1374,658,1319,712,1268,769,1219,830,1173,893,1131,960,1091,1030,1055,1104,2357,1711,1913,345xe" filled="true" fillcolor="#00a995" stroked="false">
              <v:path arrowok="t"/>
              <v:fill type="solid"/>
            </v:shape>
            <v:shape style="position:absolute;left:1054;top:344;width:1302;height:1367" coordorigin="1055,345" coordsize="1302,1367" path="m1913,345l1836,372,1761,403,1690,437,1621,474,1555,515,1492,559,1431,607,1374,658,1319,712,1268,769,1219,830,1173,893,1131,960,1091,1030,1055,1104,2357,1711,1913,345xe" filled="false" stroked="true" strokeweight=".5pt" strokecolor="#000000">
              <v:path arrowok="t"/>
              <v:stroke dashstyle="solid"/>
            </v:shape>
            <v:shape style="position:absolute;left:916;top:1103;width:1441;height:1658" coordorigin="916,1104" coordsize="1441,1658" path="m1055,1104l1023,1176,996,1249,973,1322,953,1396,938,1470,927,1544,919,1619,916,1693,917,1767,921,1840,929,1913,941,1986,957,2058,977,2128,1000,2198,1028,2267,1059,2334,1093,2401,1131,2465,1173,2528,1219,2589,1268,2649,1321,2706,1377,2761,2357,1711,1055,1104xe" filled="true" fillcolor="#522e91" stroked="false">
              <v:path arrowok="t"/>
              <v:fill type="solid"/>
            </v:shape>
            <v:shape style="position:absolute;left:916;top:1103;width:1441;height:1658" coordorigin="916,1104" coordsize="1441,1658" path="m1055,1104l1023,1176,996,1249,973,1322,953,1396,938,1470,927,1544,919,1619,916,1693,917,1767,921,1840,929,1913,941,1986,957,2058,977,2128,1000,2198,1028,2267,1059,2334,1093,2401,1131,2465,1173,2528,1219,2589,1268,2649,1321,2706,1377,2761,2357,1711,1055,1104xe" filled="false" stroked="true" strokeweight=".5pt" strokecolor="#000000">
              <v:path arrowok="t"/>
              <v:stroke dashstyle="solid"/>
            </v:shape>
            <v:shape style="position:absolute;left:1377;top:1710;width:980;height:1415" coordorigin="1377,1711" coordsize="980,1415" path="m2357,1711l1377,2761,1441,2817,1506,2869,1574,2916,1643,2959,1715,2998,1789,3032,1865,3062,1943,3087,2024,3108,2107,3125,2357,1711xe" filled="true" fillcolor="#0066a5" stroked="false">
              <v:path arrowok="t"/>
              <v:fill type="solid"/>
            </v:shape>
            <v:shape style="position:absolute;left:1377;top:1710;width:980;height:1415" coordorigin="1377,1711" coordsize="980,1415" path="m1377,2761l1441,2817,1506,2869,1574,2916,1643,2959,1715,2998,1789,3032,1865,3062,1943,3087,2024,3108,2107,3125,2357,1711,1377,2761xe" filled="false" stroked="true" strokeweight=".5pt" strokecolor="#000000">
              <v:path arrowok="t"/>
              <v:stroke dashstyle="solid"/>
            </v:shape>
            <v:shape style="position:absolute;left:2107;top:1710;width:250;height:1437" coordorigin="2107,1711" coordsize="250,1437" path="m2357,1711l2107,3125,2172,3136,2231,3142,2291,3146,2357,3147,2357,1711xe" filled="true" fillcolor="#008256" stroked="false">
              <v:path arrowok="t"/>
              <v:fill type="solid"/>
            </v:shape>
            <v:shape style="position:absolute;left:2107;top:1710;width:250;height:1437" coordorigin="2107,1711" coordsize="250,1437" path="m2107,3125l2172,3136,2231,3142,2291,3146,2357,3147,2357,1711,2107,3125xe" filled="false" stroked="true" strokeweight=".5pt" strokecolor="#000000">
              <v:path arrowok="t"/>
              <v:stroke dashstyle="solid"/>
            </v:shape>
            <v:shape style="position:absolute;left:2356;top:1710;width:539;height:1437" coordorigin="2357,1711" coordsize="539,1437" path="m2357,1711l2357,3147,2437,3145,2516,3139,2593,3128,2669,3114,2744,3094,2819,3071,2895,3042,2357,1711xe" filled="true" fillcolor="#9bd3ae" stroked="false">
              <v:path arrowok="t"/>
              <v:fill type="solid"/>
            </v:shape>
            <v:shape style="position:absolute;left:2356;top:1710;width:539;height:1437" coordorigin="2357,1711" coordsize="539,1437" path="m2357,3147l2437,3145,2516,3139,2593,3128,2669,3114,2744,3094,2819,3071,2895,3042,2357,1711,2357,3147xe" filled="false" stroked="true" strokeweight=".5pt" strokecolor="#000000">
              <v:path arrowok="t"/>
              <v:stroke dashstyle="solid"/>
            </v:shape>
            <v:shape style="position:absolute;left:2356;top:274;width:1437;height:2769" coordorigin="2357,274" coordsize="1437,2769" path="m2357,274l2357,1711,2895,3042,2966,3011,3036,2977,3102,2940,3166,2900,3227,2858,3285,2812,3341,2764,3393,2714,3443,2661,3489,2605,3533,2548,3573,2488,3610,2426,3644,2362,3675,2296,3702,2228,3726,2159,3746,2088,3763,2015,3776,1941,3785,1866,3791,1789,3793,1711,3791,1634,3785,1559,3775,1485,3762,1412,3745,1341,3724,1271,3700,1202,3673,1135,3643,1070,3609,1006,3572,945,3533,886,3490,828,3445,773,3397,720,3347,670,3294,622,3239,577,3182,535,3122,495,3061,459,2998,425,2932,394,2865,367,2797,343,2727,322,2655,305,2582,292,2508,282,2433,276,2357,274xe" filled="true" fillcolor="#b5e1e1" stroked="false">
              <v:path arrowok="t"/>
              <v:fill type="solid"/>
            </v:shape>
            <v:shape style="position:absolute;left:2356;top:274;width:1437;height:2769" coordorigin="2357,274" coordsize="1437,2769" path="m2895,3042l2966,3011,3036,2977,3102,2940,3166,2900,3227,2858,3285,2812,3341,2764,3393,2714,3443,2661,3489,2605,3533,2548,3573,2488,3610,2426,3644,2362,3675,2296,3702,2228,3726,2159,3746,2088,3763,2015,3776,1941,3785,1866,3791,1789,3793,1711,3791,1634,3785,1559,3775,1485,3762,1412,3745,1341,3724,1271,3700,1202,3673,1135,3643,1070,3609,1006,3572,945,3533,886,3490,828,3445,773,3397,720,3347,670,3294,622,3239,577,3182,535,3122,495,3061,459,2998,425,2932,394,2865,367,2797,343,2727,322,2655,305,2582,292,2508,282,2433,276,2357,274,2357,1711,2895,3042xe" filled="false" stroked="true" strokeweight=".5pt" strokecolor="#000000">
              <v:path arrowok="t"/>
              <v:stroke dashstyle="solid"/>
            </v:shape>
            <v:shape style="position:absolute;left:2031;top:443;width:290;height:133" type="#_x0000_t202" filled="false" stroked="false">
              <v:textbox inset="0,0,0,0">
                <w:txbxContent>
                  <w:p>
                    <w:pPr>
                      <w:spacing w:line="133" w:lineRule="exact" w:before="0"/>
                      <w:ind w:left="0" w:right="0" w:firstLine="0"/>
                      <w:jc w:val="left"/>
                      <w:rPr>
                        <w:sz w:val="12"/>
                      </w:rPr>
                    </w:pPr>
                    <w:r>
                      <w:rPr>
                        <w:color w:val="231F20"/>
                        <w:sz w:val="12"/>
                        <w:shd w:fill="FFFFFF" w:color="auto" w:val="clear"/>
                      </w:rPr>
                      <w:t>   5% </w:t>
                    </w:r>
                  </w:p>
                </w:txbxContent>
              </v:textbox>
              <w10:wrap type="none"/>
            </v:shape>
            <v:shape style="position:absolute;left:1421;top:823;width:275;height:133" type="#_x0000_t202" filled="false" stroked="false">
              <v:textbox inset="0,0,0,0">
                <w:txbxContent>
                  <w:p>
                    <w:pPr>
                      <w:spacing w:line="133" w:lineRule="exact" w:before="0"/>
                      <w:ind w:left="0" w:right="0" w:firstLine="0"/>
                      <w:jc w:val="left"/>
                      <w:rPr>
                        <w:sz w:val="12"/>
                      </w:rPr>
                    </w:pPr>
                    <w:r>
                      <w:rPr>
                        <w:color w:val="231F20"/>
                        <w:sz w:val="12"/>
                        <w:shd w:fill="FFFFFF" w:color="auto" w:val="clear"/>
                      </w:rPr>
                      <w:t> 13%</w:t>
                    </w:r>
                  </w:p>
                </w:txbxContent>
              </v:textbox>
              <w10:wrap type="none"/>
            </v:shape>
            <v:shape style="position:absolute;left:3156;top:1587;width:280;height:133" type="#_x0000_t202" filled="false" stroked="false">
              <v:textbox inset="0,0,0,0">
                <w:txbxContent>
                  <w:p>
                    <w:pPr>
                      <w:spacing w:line="133" w:lineRule="exact" w:before="0"/>
                      <w:ind w:left="0" w:right="0" w:firstLine="0"/>
                      <w:jc w:val="left"/>
                      <w:rPr>
                        <w:sz w:val="12"/>
                      </w:rPr>
                    </w:pPr>
                    <w:r>
                      <w:rPr>
                        <w:color w:val="231F20"/>
                        <w:sz w:val="12"/>
                        <w:shd w:fill="FFFFFF" w:color="auto" w:val="clear"/>
                      </w:rPr>
                      <w:t> 44%</w:t>
                    </w:r>
                  </w:p>
                </w:txbxContent>
              </v:textbox>
              <w10:wrap type="none"/>
            </v:shape>
            <v:shape style="position:absolute;left:1811;top:2683;width:290;height:133" type="#_x0000_t202" filled="false" stroked="false">
              <v:textbox inset="0,0,0,0">
                <w:txbxContent>
                  <w:p>
                    <w:pPr>
                      <w:spacing w:line="133" w:lineRule="exact" w:before="0"/>
                      <w:ind w:left="0" w:right="0" w:firstLine="0"/>
                      <w:jc w:val="left"/>
                      <w:rPr>
                        <w:sz w:val="12"/>
                      </w:rPr>
                    </w:pPr>
                    <w:r>
                      <w:rPr>
                        <w:color w:val="231F20"/>
                        <w:sz w:val="12"/>
                        <w:shd w:fill="FFFFFF" w:color="auto" w:val="clear"/>
                      </w:rPr>
                      <w:t>  9% </w:t>
                    </w:r>
                  </w:p>
                </w:txbxContent>
              </v:textbox>
              <w10:wrap type="none"/>
            </v:shape>
            <v:shape style="position:absolute;left:2445;top:2837;width:290;height:133" type="#_x0000_t202" filled="false" stroked="false">
              <v:textbox inset="0,0,0,0">
                <w:txbxContent>
                  <w:p>
                    <w:pPr>
                      <w:spacing w:line="133" w:lineRule="exact" w:before="0"/>
                      <w:ind w:left="0" w:right="0" w:firstLine="0"/>
                      <w:jc w:val="left"/>
                      <w:rPr>
                        <w:sz w:val="12"/>
                      </w:rPr>
                    </w:pPr>
                    <w:r>
                      <w:rPr>
                        <w:color w:val="231F20"/>
                        <w:sz w:val="12"/>
                        <w:shd w:fill="FFFFFF" w:color="auto" w:val="clear"/>
                      </w:rPr>
                      <w:t>  6% </w:t>
                    </w:r>
                  </w:p>
                </w:txbxContent>
              </v:textbox>
              <w10:wrap type="none"/>
            </v:shape>
            <v:shape style="position:absolute;left:1171;top:1895;width:270;height:150" type="#_x0000_t202" filled="true" fillcolor="#ffffff" stroked="false">
              <v:textbox inset="0,0,0,0">
                <w:txbxContent>
                  <w:p>
                    <w:pPr>
                      <w:spacing w:before="3"/>
                      <w:ind w:left="45" w:right="0" w:firstLine="0"/>
                      <w:jc w:val="left"/>
                      <w:rPr>
                        <w:sz w:val="12"/>
                      </w:rPr>
                    </w:pPr>
                    <w:r>
                      <w:rPr>
                        <w:color w:val="231F20"/>
                        <w:sz w:val="12"/>
                      </w:rPr>
                      <w:t>20%</w:t>
                    </w:r>
                  </w:p>
                </w:txbxContent>
              </v:textbox>
              <v:fill type="solid"/>
              <w10:wrap type="none"/>
            </v:shape>
            <w10:wrap type="none"/>
          </v:group>
        </w:pict>
      </w:r>
      <w:r>
        <w:rPr>
          <w:color w:val="231F20"/>
          <w:sz w:val="12"/>
        </w:rPr>
        <w:t>Latin America</w:t>
      </w:r>
    </w:p>
    <w:p>
      <w:pPr>
        <w:spacing w:line="319" w:lineRule="auto" w:before="10"/>
        <w:ind w:left="38" w:right="12" w:firstLine="0"/>
        <w:jc w:val="left"/>
        <w:rPr>
          <w:sz w:val="12"/>
        </w:rPr>
      </w:pPr>
      <w:r>
        <w:rPr/>
        <w:br w:type="column"/>
      </w:r>
      <w:r>
        <w:rPr>
          <w:color w:val="231F20"/>
          <w:sz w:val="12"/>
        </w:rPr>
        <w:t>Rest of Asia (except Japan) Rest of world</w:t>
      </w:r>
    </w:p>
    <w:p>
      <w:pPr>
        <w:spacing w:line="138" w:lineRule="exact" w:before="0"/>
        <w:ind w:left="38" w:right="0" w:firstLine="0"/>
        <w:jc w:val="left"/>
        <w:rPr>
          <w:sz w:val="12"/>
        </w:rPr>
      </w:pPr>
      <w:r>
        <w:rPr>
          <w:color w:val="231F20"/>
          <w:sz w:val="12"/>
        </w:rPr>
        <w:t>Countries in transition</w:t>
      </w:r>
    </w:p>
    <w:p>
      <w:pPr>
        <w:pStyle w:val="Heading4"/>
        <w:spacing w:line="242" w:lineRule="auto" w:before="9"/>
        <w:ind w:left="308" w:right="315"/>
      </w:pPr>
      <w:r>
        <w:rPr/>
        <w:br w:type="column"/>
      </w:r>
      <w:r>
        <w:rPr>
          <w:color w:val="231F20"/>
        </w:rPr>
        <w:t>forecasters have also become more pessimistic about world growth prospects. The reduction of GDP growth forecasts largely reflects worsening prospects in Japan, Russia, the newly industrialised economies (NIEs) in Asia, and Latin America. In 1997, these economies accounted for around 40% of world GDP in purchasing power parity terms</w:t>
      </w:r>
      <w:r>
        <w:rPr>
          <w:color w:val="231F20"/>
          <w:position w:val="5"/>
          <w:sz w:val="16"/>
        </w:rPr>
        <w:t>(2) </w:t>
      </w:r>
      <w:r>
        <w:rPr>
          <w:color w:val="231F20"/>
        </w:rPr>
        <w:t>(see Chart 2.1). The prospects for growth in the major industrialised economies, with the exception of Japan, have so far been less affected, though business and consumer confidence surveys have weakened.</w:t>
      </w:r>
    </w:p>
    <w:p>
      <w:pPr>
        <w:spacing w:after="0" w:line="242" w:lineRule="auto"/>
        <w:sectPr>
          <w:type w:val="continuous"/>
          <w:pgSz w:w="11900" w:h="16840"/>
          <w:pgMar w:top="1220" w:bottom="280" w:left="620" w:right="520"/>
          <w:cols w:num="3" w:equalWidth="0">
            <w:col w:w="1715" w:space="40"/>
            <w:col w:w="1390" w:space="1547"/>
            <w:col w:w="6068"/>
          </w:cols>
        </w:sectPr>
      </w:pPr>
    </w:p>
    <w:p>
      <w:pPr>
        <w:pStyle w:val="BodyText"/>
        <w:spacing w:before="8"/>
        <w:rPr>
          <w:sz w:val="17"/>
        </w:rPr>
      </w:pPr>
    </w:p>
    <w:p>
      <w:pPr>
        <w:spacing w:after="0"/>
        <w:rPr>
          <w:sz w:val="17"/>
        </w:rPr>
        <w:sectPr>
          <w:type w:val="continuous"/>
          <w:pgSz w:w="11900" w:h="16840"/>
          <w:pgMar w:top="1220" w:bottom="280" w:left="620" w:right="520"/>
        </w:sectPr>
      </w:pPr>
    </w:p>
    <w:p>
      <w:pPr>
        <w:pStyle w:val="BodyText"/>
        <w:rPr>
          <w:sz w:val="12"/>
        </w:rPr>
      </w:pPr>
    </w:p>
    <w:p>
      <w:pPr>
        <w:pStyle w:val="BodyText"/>
        <w:rPr>
          <w:sz w:val="12"/>
        </w:rPr>
      </w:pPr>
    </w:p>
    <w:p>
      <w:pPr>
        <w:pStyle w:val="BodyText"/>
        <w:spacing w:before="11"/>
        <w:rPr>
          <w:sz w:val="14"/>
        </w:rPr>
      </w:pPr>
    </w:p>
    <w:p>
      <w:pPr>
        <w:spacing w:before="0"/>
        <w:ind w:left="1511" w:right="2492" w:firstLine="0"/>
        <w:jc w:val="center"/>
        <w:rPr>
          <w:sz w:val="12"/>
        </w:rPr>
      </w:pPr>
      <w:r>
        <w:rPr>
          <w:color w:val="231F20"/>
          <w:sz w:val="12"/>
        </w:rPr>
        <w:t>3%</w:t>
      </w:r>
    </w:p>
    <w:p>
      <w:pPr>
        <w:spacing w:line="129" w:lineRule="exact" w:before="82"/>
        <w:ind w:left="194" w:right="0" w:firstLine="0"/>
        <w:jc w:val="left"/>
        <w:rPr>
          <w:sz w:val="12"/>
        </w:rPr>
      </w:pPr>
      <w:r>
        <w:rPr>
          <w:color w:val="231F20"/>
          <w:sz w:val="12"/>
        </w:rPr>
        <w:t>Note: NIEs: Korea, Singapore, Taiwan and Hong Kong SAR.</w:t>
      </w:r>
    </w:p>
    <w:p>
      <w:pPr>
        <w:spacing w:line="208" w:lineRule="auto" w:before="6"/>
        <w:ind w:left="554" w:right="0" w:firstLine="0"/>
        <w:jc w:val="left"/>
        <w:rPr>
          <w:sz w:val="12"/>
        </w:rPr>
      </w:pPr>
      <w:r>
        <w:rPr>
          <w:color w:val="231F20"/>
          <w:sz w:val="12"/>
        </w:rPr>
        <w:t>Countries in transition: Central and eastern Europe, Russia, Transcaucasus and Central Asia.</w:t>
      </w:r>
    </w:p>
    <w:p>
      <w:pPr>
        <w:spacing w:line="123" w:lineRule="exact" w:before="0"/>
        <w:ind w:left="554" w:right="0" w:firstLine="0"/>
        <w:jc w:val="left"/>
        <w:rPr>
          <w:sz w:val="12"/>
        </w:rPr>
      </w:pPr>
      <w:r>
        <w:rPr>
          <w:color w:val="231F20"/>
          <w:sz w:val="12"/>
        </w:rPr>
        <w:t>Latin America includes Caribbean Islands.</w:t>
      </w:r>
    </w:p>
    <w:p>
      <w:pPr>
        <w:spacing w:before="102"/>
        <w:ind w:left="194" w:right="0" w:firstLine="0"/>
        <w:jc w:val="left"/>
        <w:rPr>
          <w:sz w:val="12"/>
        </w:rPr>
      </w:pPr>
      <w:r>
        <w:rPr>
          <w:color w:val="231F20"/>
          <w:sz w:val="12"/>
        </w:rPr>
        <w:t>Source: IMF </w:t>
      </w:r>
      <w:r>
        <w:rPr>
          <w:i/>
          <w:color w:val="231F20"/>
          <w:sz w:val="12"/>
        </w:rPr>
        <w:t>World Economic Outlook, </w:t>
      </w:r>
      <w:r>
        <w:rPr>
          <w:color w:val="231F20"/>
          <w:sz w:val="12"/>
        </w:rPr>
        <w:t>October 1998.</w:t>
      </w:r>
    </w:p>
    <w:p>
      <w:pPr>
        <w:spacing w:before="102"/>
        <w:ind w:left="194" w:right="0" w:firstLine="0"/>
        <w:jc w:val="left"/>
        <w:rPr>
          <w:sz w:val="12"/>
        </w:rPr>
      </w:pPr>
      <w:r>
        <w:rPr>
          <w:color w:val="231F20"/>
          <w:sz w:val="12"/>
        </w:rPr>
        <w:t>(a) Purchasing power parity valuation.</w:t>
      </w:r>
    </w:p>
    <w:p>
      <w:pPr>
        <w:pStyle w:val="Heading4"/>
        <w:spacing w:line="242" w:lineRule="auto" w:before="90"/>
        <w:ind w:left="194" w:right="281"/>
      </w:pPr>
      <w:r>
        <w:rPr/>
        <w:br w:type="column"/>
      </w:r>
      <w:r>
        <w:rPr>
          <w:color w:val="231F20"/>
        </w:rPr>
        <w:t>There are a number of channels through which the emerging market economies’ crisis could affect demand and output in the major industrialised economies.</w:t>
      </w:r>
    </w:p>
    <w:p>
      <w:pPr>
        <w:spacing w:line="242" w:lineRule="auto" w:before="4"/>
        <w:ind w:left="194" w:right="281" w:firstLine="0"/>
        <w:jc w:val="left"/>
        <w:rPr>
          <w:sz w:val="24"/>
        </w:rPr>
      </w:pPr>
      <w:r>
        <w:rPr>
          <w:color w:val="231F20"/>
          <w:sz w:val="24"/>
        </w:rPr>
        <w:t>Following the reversal of capital flows from the advanced economies to emerging markets, there is likely to be a direct trade effect, via lower demand for</w:t>
      </w:r>
    </w:p>
    <w:p>
      <w:pPr>
        <w:pStyle w:val="BodyText"/>
        <w:spacing w:before="9"/>
        <w:rPr>
          <w:sz w:val="13"/>
        </w:rPr>
      </w:pPr>
      <w:r>
        <w:rPr/>
        <w:pict>
          <v:shape style="position:absolute;margin-left:279.75pt;margin-top:10.019678pt;width:276pt;height:.1pt;mso-position-horizontal-relative:page;mso-position-vertical-relative:paragraph;z-index:-15648768;mso-wrap-distance-left:0;mso-wrap-distance-right:0" coordorigin="5595,200" coordsize="5520,0" path="m5595,200l11115,200e" filled="false" stroked="true" strokeweight=".125pt" strokecolor="#231f20">
            <v:path arrowok="t"/>
            <v:stroke dashstyle="solid"/>
            <w10:wrap type="topAndBottom"/>
          </v:shape>
        </w:pict>
      </w:r>
    </w:p>
    <w:p>
      <w:pPr>
        <w:pStyle w:val="ListParagraph"/>
        <w:numPr>
          <w:ilvl w:val="0"/>
          <w:numId w:val="9"/>
        </w:numPr>
        <w:tabs>
          <w:tab w:pos="435" w:val="left" w:leader="none"/>
        </w:tabs>
        <w:spacing w:line="208" w:lineRule="auto" w:before="0" w:after="0"/>
        <w:ind w:left="434" w:right="1034" w:hanging="240"/>
        <w:jc w:val="left"/>
        <w:rPr>
          <w:sz w:val="16"/>
        </w:rPr>
      </w:pPr>
      <w:r>
        <w:rPr>
          <w:color w:val="231F20"/>
          <w:sz w:val="16"/>
        </w:rPr>
        <w:t>For a detailed discussion of international economic developments, </w:t>
      </w:r>
      <w:r>
        <w:rPr>
          <w:color w:val="231F20"/>
          <w:spacing w:val="-6"/>
          <w:sz w:val="16"/>
        </w:rPr>
        <w:t>see </w:t>
      </w:r>
      <w:r>
        <w:rPr>
          <w:color w:val="231F20"/>
          <w:sz w:val="16"/>
        </w:rPr>
        <w:t>‘The international environment’ article in the </w:t>
      </w:r>
      <w:r>
        <w:rPr>
          <w:i/>
          <w:color w:val="231F20"/>
          <w:sz w:val="16"/>
        </w:rPr>
        <w:t>Quarterly Bulletin</w:t>
      </w:r>
      <w:r>
        <w:rPr>
          <w:color w:val="231F20"/>
          <w:sz w:val="16"/>
        </w:rPr>
        <w:t>, November 1998, pages 314–23.</w:t>
      </w:r>
    </w:p>
    <w:p>
      <w:pPr>
        <w:pStyle w:val="ListParagraph"/>
        <w:numPr>
          <w:ilvl w:val="0"/>
          <w:numId w:val="9"/>
        </w:numPr>
        <w:tabs>
          <w:tab w:pos="435" w:val="left" w:leader="none"/>
        </w:tabs>
        <w:spacing w:line="208" w:lineRule="auto" w:before="0" w:after="0"/>
        <w:ind w:left="434" w:right="817" w:hanging="240"/>
        <w:jc w:val="left"/>
        <w:rPr>
          <w:sz w:val="16"/>
        </w:rPr>
      </w:pPr>
      <w:r>
        <w:rPr>
          <w:color w:val="231F20"/>
          <w:sz w:val="16"/>
        </w:rPr>
        <w:t>Purchasing power parity adjusts exchange rates for the cost of a basket </w:t>
      </w:r>
      <w:r>
        <w:rPr>
          <w:color w:val="231F20"/>
          <w:spacing w:val="-9"/>
          <w:sz w:val="16"/>
        </w:rPr>
        <w:t>of </w:t>
      </w:r>
      <w:r>
        <w:rPr>
          <w:color w:val="231F20"/>
          <w:sz w:val="16"/>
        </w:rPr>
        <w:t>goods and services in a common currency.</w:t>
      </w:r>
    </w:p>
    <w:p>
      <w:pPr>
        <w:spacing w:after="0" w:line="208" w:lineRule="auto"/>
        <w:jc w:val="left"/>
        <w:rPr>
          <w:sz w:val="16"/>
        </w:rPr>
        <w:sectPr>
          <w:type w:val="continuous"/>
          <w:pgSz w:w="11900" w:h="16840"/>
          <w:pgMar w:top="1220" w:bottom="280" w:left="620" w:right="520"/>
          <w:cols w:num="2" w:equalWidth="0">
            <w:col w:w="4204" w:space="602"/>
            <w:col w:w="5954"/>
          </w:cols>
        </w:sectPr>
      </w:pPr>
    </w:p>
    <w:p>
      <w:pPr>
        <w:pStyle w:val="BodyText"/>
        <w:spacing w:line="20" w:lineRule="exact"/>
        <w:ind w:left="143"/>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rPr>
          <w:sz w:val="20"/>
        </w:rPr>
      </w:pPr>
    </w:p>
    <w:p>
      <w:pPr>
        <w:spacing w:after="0"/>
        <w:rPr>
          <w:sz w:val="20"/>
        </w:rPr>
        <w:sectPr>
          <w:headerReference w:type="default" r:id="rId37"/>
          <w:headerReference w:type="even" r:id="rId38"/>
          <w:pgSz w:w="11900" w:h="16840"/>
          <w:pgMar w:header="586" w:footer="617" w:top="780" w:bottom="800" w:left="620" w:right="520"/>
        </w:sectPr>
      </w:pPr>
    </w:p>
    <w:p>
      <w:pPr>
        <w:pStyle w:val="BodyText"/>
        <w:rPr>
          <w:sz w:val="22"/>
        </w:rPr>
      </w:pPr>
    </w:p>
    <w:p>
      <w:pPr>
        <w:pStyle w:val="BodyText"/>
        <w:rPr>
          <w:sz w:val="22"/>
        </w:rPr>
      </w:pPr>
    </w:p>
    <w:p>
      <w:pPr>
        <w:pStyle w:val="Heading7"/>
        <w:spacing w:before="190"/>
        <w:ind w:left="160"/>
      </w:pPr>
      <w:bookmarkStart w:name="UK trade" w:id="33"/>
      <w:bookmarkEnd w:id="33"/>
      <w:r>
        <w:rPr>
          <w:b w:val="0"/>
        </w:rPr>
      </w:r>
      <w:bookmarkStart w:name="_bookmark9" w:id="34"/>
      <w:bookmarkEnd w:id="34"/>
      <w:r>
        <w:rPr>
          <w:b w:val="0"/>
        </w:rPr>
      </w:r>
      <w:r>
        <w:rPr>
          <w:color w:val="0093C1"/>
        </w:rPr>
        <w:t>Table 2.B</w:t>
      </w:r>
    </w:p>
    <w:p>
      <w:pPr>
        <w:spacing w:line="249" w:lineRule="auto" w:before="10"/>
        <w:ind w:left="160" w:right="226" w:firstLine="0"/>
        <w:jc w:val="left"/>
        <w:rPr>
          <w:b/>
          <w:sz w:val="20"/>
        </w:rPr>
      </w:pPr>
      <w:r>
        <w:rPr>
          <w:b/>
          <w:color w:val="0093C1"/>
          <w:sz w:val="20"/>
        </w:rPr>
        <w:t>Intra and inter-regional exports as a percentage of total world exports of goods in 1995</w:t>
      </w:r>
    </w:p>
    <w:p>
      <w:pPr>
        <w:tabs>
          <w:tab w:pos="4414" w:val="left" w:leader="none"/>
        </w:tabs>
        <w:spacing w:before="98"/>
        <w:ind w:left="660" w:right="0" w:firstLine="0"/>
        <w:jc w:val="center"/>
        <w:rPr>
          <w:b/>
          <w:sz w:val="14"/>
        </w:rPr>
      </w:pPr>
      <w:r>
        <w:rPr>
          <w:b/>
          <w:color w:val="231F20"/>
          <w:sz w:val="14"/>
          <w:u w:val="single" w:color="231F20"/>
        </w:rPr>
        <w:t>Destination</w:t>
        <w:tab/>
      </w:r>
    </w:p>
    <w:p>
      <w:pPr>
        <w:tabs>
          <w:tab w:pos="589" w:val="left" w:leader="none"/>
          <w:tab w:pos="1139" w:val="left" w:leader="none"/>
          <w:tab w:pos="2729" w:val="left" w:leader="none"/>
        </w:tabs>
        <w:spacing w:line="150" w:lineRule="exact" w:before="59"/>
        <w:ind w:left="19" w:right="0" w:firstLine="0"/>
        <w:jc w:val="center"/>
        <w:rPr>
          <w:sz w:val="14"/>
        </w:rPr>
      </w:pPr>
      <w:r>
        <w:rPr>
          <w:color w:val="231F20"/>
          <w:sz w:val="14"/>
        </w:rPr>
        <w:t>North</w:t>
        <w:tab/>
        <w:t>Latin</w:t>
        <w:tab/>
        <w:t>Western</w:t>
        <w:tab/>
        <w:t>Middle</w:t>
      </w:r>
    </w:p>
    <w:p>
      <w:pPr>
        <w:spacing w:line="150" w:lineRule="exact" w:before="0"/>
        <w:ind w:left="112" w:right="0" w:firstLine="0"/>
        <w:jc w:val="center"/>
        <w:rPr>
          <w:sz w:val="14"/>
        </w:rPr>
      </w:pPr>
      <w:r>
        <w:rPr>
          <w:b/>
          <w:color w:val="231F20"/>
          <w:sz w:val="14"/>
        </w:rPr>
        <w:t>Origin </w:t>
      </w:r>
      <w:r>
        <w:rPr>
          <w:color w:val="231F20"/>
          <w:sz w:val="14"/>
        </w:rPr>
        <w:t>America America Europe CEECs </w:t>
      </w:r>
      <w:r>
        <w:rPr>
          <w:color w:val="231F20"/>
          <w:sz w:val="12"/>
        </w:rPr>
        <w:t>(a) </w:t>
      </w:r>
      <w:r>
        <w:rPr>
          <w:color w:val="231F20"/>
          <w:sz w:val="14"/>
        </w:rPr>
        <w:t>Africa East Asia World</w:t>
      </w:r>
    </w:p>
    <w:p>
      <w:pPr>
        <w:pStyle w:val="BodyText"/>
        <w:spacing w:before="3"/>
        <w:rPr>
          <w:sz w:val="3"/>
        </w:rPr>
      </w:pPr>
    </w:p>
    <w:p>
      <w:pPr>
        <w:pStyle w:val="BodyText"/>
        <w:spacing w:line="20" w:lineRule="exact"/>
        <w:ind w:left="173"/>
        <w:rPr>
          <w:sz w:val="2"/>
        </w:rPr>
      </w:pPr>
      <w:r>
        <w:rPr>
          <w:sz w:val="2"/>
        </w:rPr>
        <w:pict>
          <v:group style="width:21.5pt;height:.15pt;mso-position-horizontal-relative:char;mso-position-vertical-relative:line" coordorigin="0,0" coordsize="430,3">
            <v:line style="position:absolute" from="0,1" to="430,1" stroked="true" strokeweight=".125pt" strokecolor="#231f20">
              <v:stroke dashstyle="solid"/>
            </v:line>
          </v:group>
        </w:pict>
      </w:r>
      <w:r>
        <w:rPr>
          <w:sz w:val="2"/>
        </w:rPr>
      </w:r>
    </w:p>
    <w:p>
      <w:pPr>
        <w:spacing w:line="208" w:lineRule="auto" w:before="79"/>
        <w:ind w:left="160" w:right="3577" w:hanging="1"/>
        <w:jc w:val="left"/>
        <w:rPr>
          <w:sz w:val="14"/>
        </w:rPr>
      </w:pPr>
      <w:r>
        <w:rPr>
          <w:color w:val="231F20"/>
          <w:sz w:val="14"/>
        </w:rPr>
        <w:t>North America Latin America Western Europe</w:t>
      </w: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8"/>
        <w:gridCol w:w="420"/>
        <w:gridCol w:w="495"/>
        <w:gridCol w:w="575"/>
        <w:gridCol w:w="485"/>
        <w:gridCol w:w="435"/>
        <w:gridCol w:w="375"/>
        <w:gridCol w:w="395"/>
        <w:gridCol w:w="373"/>
      </w:tblGrid>
      <w:tr>
        <w:trPr>
          <w:trHeight w:val="147" w:hRule="atLeast"/>
        </w:trPr>
        <w:tc>
          <w:tcPr>
            <w:tcW w:w="738" w:type="dxa"/>
          </w:tcPr>
          <w:p>
            <w:pPr>
              <w:pStyle w:val="TableParagraph"/>
              <w:spacing w:line="128" w:lineRule="exact"/>
              <w:ind w:left="50"/>
              <w:rPr>
                <w:sz w:val="14"/>
              </w:rPr>
            </w:pPr>
            <w:r>
              <w:rPr>
                <w:color w:val="231F20"/>
                <w:sz w:val="14"/>
              </w:rPr>
              <w:t>CEECs</w:t>
            </w:r>
          </w:p>
        </w:tc>
        <w:tc>
          <w:tcPr>
            <w:tcW w:w="420" w:type="dxa"/>
          </w:tcPr>
          <w:p>
            <w:pPr>
              <w:pStyle w:val="TableParagraph"/>
              <w:spacing w:line="128" w:lineRule="exact"/>
              <w:ind w:right="165"/>
              <w:jc w:val="right"/>
              <w:rPr>
                <w:sz w:val="14"/>
              </w:rPr>
            </w:pPr>
            <w:r>
              <w:rPr>
                <w:color w:val="231F20"/>
                <w:sz w:val="14"/>
              </w:rPr>
              <w:t>0.2</w:t>
            </w:r>
          </w:p>
        </w:tc>
        <w:tc>
          <w:tcPr>
            <w:tcW w:w="495" w:type="dxa"/>
          </w:tcPr>
          <w:p>
            <w:pPr>
              <w:pStyle w:val="TableParagraph"/>
              <w:spacing w:line="128" w:lineRule="exact"/>
              <w:ind w:left="142" w:right="128"/>
              <w:jc w:val="center"/>
              <w:rPr>
                <w:sz w:val="14"/>
              </w:rPr>
            </w:pPr>
            <w:r>
              <w:rPr>
                <w:color w:val="231F20"/>
                <w:sz w:val="14"/>
              </w:rPr>
              <w:t>0.1</w:t>
            </w:r>
          </w:p>
        </w:tc>
        <w:tc>
          <w:tcPr>
            <w:tcW w:w="575" w:type="dxa"/>
          </w:tcPr>
          <w:p>
            <w:pPr>
              <w:pStyle w:val="TableParagraph"/>
              <w:spacing w:line="128" w:lineRule="exact"/>
              <w:ind w:left="133" w:right="89"/>
              <w:jc w:val="center"/>
              <w:rPr>
                <w:sz w:val="14"/>
              </w:rPr>
            </w:pPr>
            <w:r>
              <w:rPr>
                <w:color w:val="231F20"/>
                <w:sz w:val="14"/>
              </w:rPr>
              <w:t>1.8</w:t>
            </w:r>
          </w:p>
        </w:tc>
        <w:tc>
          <w:tcPr>
            <w:tcW w:w="485" w:type="dxa"/>
          </w:tcPr>
          <w:p>
            <w:pPr>
              <w:pStyle w:val="TableParagraph"/>
              <w:spacing w:line="128" w:lineRule="exact"/>
              <w:ind w:left="157" w:right="113"/>
              <w:jc w:val="center"/>
              <w:rPr>
                <w:b/>
                <w:sz w:val="14"/>
              </w:rPr>
            </w:pPr>
            <w:r>
              <w:rPr>
                <w:b/>
                <w:color w:val="231F20"/>
                <w:sz w:val="14"/>
              </w:rPr>
              <w:t>0.6</w:t>
            </w:r>
          </w:p>
        </w:tc>
        <w:tc>
          <w:tcPr>
            <w:tcW w:w="435" w:type="dxa"/>
          </w:tcPr>
          <w:p>
            <w:pPr>
              <w:pStyle w:val="TableParagraph"/>
              <w:spacing w:line="128" w:lineRule="exact"/>
              <w:ind w:right="125"/>
              <w:jc w:val="right"/>
              <w:rPr>
                <w:sz w:val="14"/>
              </w:rPr>
            </w:pPr>
            <w:r>
              <w:rPr>
                <w:color w:val="231F20"/>
                <w:sz w:val="14"/>
              </w:rPr>
              <w:t>0.0</w:t>
            </w:r>
          </w:p>
        </w:tc>
        <w:tc>
          <w:tcPr>
            <w:tcW w:w="375" w:type="dxa"/>
          </w:tcPr>
          <w:p>
            <w:pPr>
              <w:pStyle w:val="TableParagraph"/>
              <w:spacing w:line="128" w:lineRule="exact"/>
              <w:ind w:right="71"/>
              <w:jc w:val="right"/>
              <w:rPr>
                <w:sz w:val="14"/>
              </w:rPr>
            </w:pPr>
            <w:r>
              <w:rPr>
                <w:color w:val="231F20"/>
                <w:sz w:val="14"/>
              </w:rPr>
              <w:t>0.1</w:t>
            </w:r>
          </w:p>
        </w:tc>
        <w:tc>
          <w:tcPr>
            <w:tcW w:w="395" w:type="dxa"/>
          </w:tcPr>
          <w:p>
            <w:pPr>
              <w:pStyle w:val="TableParagraph"/>
              <w:spacing w:line="128" w:lineRule="exact"/>
              <w:ind w:left="119" w:right="56"/>
              <w:jc w:val="center"/>
              <w:rPr>
                <w:sz w:val="14"/>
              </w:rPr>
            </w:pPr>
            <w:r>
              <w:rPr>
                <w:color w:val="231F20"/>
                <w:sz w:val="14"/>
              </w:rPr>
              <w:t>0.4</w:t>
            </w:r>
          </w:p>
        </w:tc>
        <w:tc>
          <w:tcPr>
            <w:tcW w:w="373" w:type="dxa"/>
          </w:tcPr>
          <w:p>
            <w:pPr>
              <w:pStyle w:val="TableParagraph"/>
              <w:spacing w:line="128" w:lineRule="exact"/>
              <w:ind w:left="126" w:right="31"/>
              <w:jc w:val="center"/>
              <w:rPr>
                <w:sz w:val="14"/>
              </w:rPr>
            </w:pPr>
            <w:r>
              <w:rPr>
                <w:color w:val="231F20"/>
                <w:sz w:val="14"/>
              </w:rPr>
              <w:t>3.1</w:t>
            </w:r>
          </w:p>
        </w:tc>
      </w:tr>
      <w:tr>
        <w:trPr>
          <w:trHeight w:val="140" w:hRule="atLeast"/>
        </w:trPr>
        <w:tc>
          <w:tcPr>
            <w:tcW w:w="738" w:type="dxa"/>
          </w:tcPr>
          <w:p>
            <w:pPr>
              <w:pStyle w:val="TableParagraph"/>
              <w:spacing w:line="120" w:lineRule="exact"/>
              <w:ind w:left="50"/>
              <w:rPr>
                <w:sz w:val="14"/>
              </w:rPr>
            </w:pPr>
            <w:r>
              <w:rPr>
                <w:color w:val="231F20"/>
                <w:sz w:val="14"/>
              </w:rPr>
              <w:t>Africa</w:t>
            </w:r>
          </w:p>
        </w:tc>
        <w:tc>
          <w:tcPr>
            <w:tcW w:w="420" w:type="dxa"/>
          </w:tcPr>
          <w:p>
            <w:pPr>
              <w:pStyle w:val="TableParagraph"/>
              <w:spacing w:line="120" w:lineRule="exact"/>
              <w:ind w:right="165"/>
              <w:jc w:val="right"/>
              <w:rPr>
                <w:sz w:val="14"/>
              </w:rPr>
            </w:pPr>
            <w:r>
              <w:rPr>
                <w:color w:val="231F20"/>
                <w:sz w:val="14"/>
              </w:rPr>
              <w:t>0.3</w:t>
            </w:r>
          </w:p>
        </w:tc>
        <w:tc>
          <w:tcPr>
            <w:tcW w:w="495" w:type="dxa"/>
          </w:tcPr>
          <w:p>
            <w:pPr>
              <w:pStyle w:val="TableParagraph"/>
              <w:spacing w:line="120" w:lineRule="exact"/>
              <w:ind w:left="142" w:right="128"/>
              <w:jc w:val="center"/>
              <w:rPr>
                <w:sz w:val="14"/>
              </w:rPr>
            </w:pPr>
            <w:r>
              <w:rPr>
                <w:color w:val="231F20"/>
                <w:sz w:val="14"/>
              </w:rPr>
              <w:t>0.0</w:t>
            </w:r>
          </w:p>
        </w:tc>
        <w:tc>
          <w:tcPr>
            <w:tcW w:w="575" w:type="dxa"/>
          </w:tcPr>
          <w:p>
            <w:pPr>
              <w:pStyle w:val="TableParagraph"/>
              <w:spacing w:line="120" w:lineRule="exact"/>
              <w:ind w:left="133" w:right="89"/>
              <w:jc w:val="center"/>
              <w:rPr>
                <w:sz w:val="14"/>
              </w:rPr>
            </w:pPr>
            <w:r>
              <w:rPr>
                <w:color w:val="231F20"/>
                <w:sz w:val="14"/>
              </w:rPr>
              <w:t>1.1</w:t>
            </w:r>
          </w:p>
        </w:tc>
        <w:tc>
          <w:tcPr>
            <w:tcW w:w="485" w:type="dxa"/>
          </w:tcPr>
          <w:p>
            <w:pPr>
              <w:pStyle w:val="TableParagraph"/>
              <w:spacing w:line="120" w:lineRule="exact"/>
              <w:ind w:left="157" w:right="113"/>
              <w:jc w:val="center"/>
              <w:rPr>
                <w:sz w:val="14"/>
              </w:rPr>
            </w:pPr>
            <w:r>
              <w:rPr>
                <w:color w:val="231F20"/>
                <w:sz w:val="14"/>
              </w:rPr>
              <w:t>0.0</w:t>
            </w:r>
          </w:p>
        </w:tc>
        <w:tc>
          <w:tcPr>
            <w:tcW w:w="435" w:type="dxa"/>
          </w:tcPr>
          <w:p>
            <w:pPr>
              <w:pStyle w:val="TableParagraph"/>
              <w:spacing w:line="120" w:lineRule="exact"/>
              <w:ind w:right="125"/>
              <w:jc w:val="right"/>
              <w:rPr>
                <w:b/>
                <w:sz w:val="14"/>
              </w:rPr>
            </w:pPr>
            <w:r>
              <w:rPr>
                <w:b/>
                <w:color w:val="231F20"/>
                <w:sz w:val="14"/>
              </w:rPr>
              <w:t>0.2</w:t>
            </w:r>
          </w:p>
        </w:tc>
        <w:tc>
          <w:tcPr>
            <w:tcW w:w="375" w:type="dxa"/>
          </w:tcPr>
          <w:p>
            <w:pPr>
              <w:pStyle w:val="TableParagraph"/>
              <w:spacing w:line="120" w:lineRule="exact"/>
              <w:ind w:right="70"/>
              <w:jc w:val="right"/>
              <w:rPr>
                <w:sz w:val="14"/>
              </w:rPr>
            </w:pPr>
            <w:r>
              <w:rPr>
                <w:color w:val="231F20"/>
                <w:sz w:val="14"/>
              </w:rPr>
              <w:t>0.0</w:t>
            </w:r>
          </w:p>
        </w:tc>
        <w:tc>
          <w:tcPr>
            <w:tcW w:w="395" w:type="dxa"/>
          </w:tcPr>
          <w:p>
            <w:pPr>
              <w:pStyle w:val="TableParagraph"/>
              <w:spacing w:line="120" w:lineRule="exact"/>
              <w:ind w:left="120" w:right="56"/>
              <w:jc w:val="center"/>
              <w:rPr>
                <w:sz w:val="14"/>
              </w:rPr>
            </w:pPr>
            <w:r>
              <w:rPr>
                <w:color w:val="231F20"/>
                <w:sz w:val="14"/>
              </w:rPr>
              <w:t>0.3</w:t>
            </w:r>
          </w:p>
        </w:tc>
        <w:tc>
          <w:tcPr>
            <w:tcW w:w="373" w:type="dxa"/>
          </w:tcPr>
          <w:p>
            <w:pPr>
              <w:pStyle w:val="TableParagraph"/>
              <w:spacing w:line="120" w:lineRule="exact"/>
              <w:ind w:left="126" w:right="30"/>
              <w:jc w:val="center"/>
              <w:rPr>
                <w:sz w:val="14"/>
              </w:rPr>
            </w:pPr>
            <w:r>
              <w:rPr>
                <w:color w:val="231F20"/>
                <w:sz w:val="14"/>
              </w:rPr>
              <w:t>2.1</w:t>
            </w:r>
          </w:p>
        </w:tc>
      </w:tr>
      <w:tr>
        <w:trPr>
          <w:trHeight w:val="140" w:hRule="atLeast"/>
        </w:trPr>
        <w:tc>
          <w:tcPr>
            <w:tcW w:w="738" w:type="dxa"/>
          </w:tcPr>
          <w:p>
            <w:pPr>
              <w:pStyle w:val="TableParagraph"/>
              <w:spacing w:line="120" w:lineRule="exact"/>
              <w:ind w:left="50"/>
              <w:rPr>
                <w:sz w:val="14"/>
              </w:rPr>
            </w:pPr>
            <w:r>
              <w:rPr>
                <w:color w:val="231F20"/>
                <w:sz w:val="14"/>
              </w:rPr>
              <w:t>Middle East</w:t>
            </w:r>
          </w:p>
        </w:tc>
        <w:tc>
          <w:tcPr>
            <w:tcW w:w="420" w:type="dxa"/>
          </w:tcPr>
          <w:p>
            <w:pPr>
              <w:pStyle w:val="TableParagraph"/>
              <w:spacing w:line="120" w:lineRule="exact"/>
              <w:ind w:right="165"/>
              <w:jc w:val="right"/>
              <w:rPr>
                <w:sz w:val="14"/>
              </w:rPr>
            </w:pPr>
            <w:r>
              <w:rPr>
                <w:color w:val="231F20"/>
                <w:sz w:val="14"/>
              </w:rPr>
              <w:t>0.3</w:t>
            </w:r>
          </w:p>
        </w:tc>
        <w:tc>
          <w:tcPr>
            <w:tcW w:w="495" w:type="dxa"/>
          </w:tcPr>
          <w:p>
            <w:pPr>
              <w:pStyle w:val="TableParagraph"/>
              <w:spacing w:line="120" w:lineRule="exact"/>
              <w:ind w:left="142" w:right="128"/>
              <w:jc w:val="center"/>
              <w:rPr>
                <w:sz w:val="14"/>
              </w:rPr>
            </w:pPr>
            <w:r>
              <w:rPr>
                <w:color w:val="231F20"/>
                <w:sz w:val="14"/>
              </w:rPr>
              <w:t>0.1</w:t>
            </w:r>
          </w:p>
        </w:tc>
        <w:tc>
          <w:tcPr>
            <w:tcW w:w="575" w:type="dxa"/>
          </w:tcPr>
          <w:p>
            <w:pPr>
              <w:pStyle w:val="TableParagraph"/>
              <w:spacing w:line="120" w:lineRule="exact"/>
              <w:ind w:left="133" w:right="89"/>
              <w:jc w:val="center"/>
              <w:rPr>
                <w:sz w:val="14"/>
              </w:rPr>
            </w:pPr>
            <w:r>
              <w:rPr>
                <w:color w:val="231F20"/>
                <w:sz w:val="14"/>
              </w:rPr>
              <w:t>0.7</w:t>
            </w:r>
          </w:p>
        </w:tc>
        <w:tc>
          <w:tcPr>
            <w:tcW w:w="485" w:type="dxa"/>
          </w:tcPr>
          <w:p>
            <w:pPr>
              <w:pStyle w:val="TableParagraph"/>
              <w:spacing w:line="120" w:lineRule="exact"/>
              <w:ind w:left="157" w:right="113"/>
              <w:jc w:val="center"/>
              <w:rPr>
                <w:sz w:val="14"/>
              </w:rPr>
            </w:pPr>
            <w:r>
              <w:rPr>
                <w:color w:val="231F20"/>
                <w:sz w:val="14"/>
              </w:rPr>
              <w:t>0.0</w:t>
            </w:r>
          </w:p>
        </w:tc>
        <w:tc>
          <w:tcPr>
            <w:tcW w:w="435" w:type="dxa"/>
          </w:tcPr>
          <w:p>
            <w:pPr>
              <w:pStyle w:val="TableParagraph"/>
              <w:spacing w:line="120" w:lineRule="exact"/>
              <w:ind w:right="125"/>
              <w:jc w:val="right"/>
              <w:rPr>
                <w:sz w:val="14"/>
              </w:rPr>
            </w:pPr>
            <w:r>
              <w:rPr>
                <w:color w:val="231F20"/>
                <w:sz w:val="14"/>
              </w:rPr>
              <w:t>0.1</w:t>
            </w:r>
          </w:p>
        </w:tc>
        <w:tc>
          <w:tcPr>
            <w:tcW w:w="375" w:type="dxa"/>
          </w:tcPr>
          <w:p>
            <w:pPr>
              <w:pStyle w:val="TableParagraph"/>
              <w:spacing w:line="120" w:lineRule="exact"/>
              <w:ind w:right="70"/>
              <w:jc w:val="right"/>
              <w:rPr>
                <w:b/>
                <w:sz w:val="14"/>
              </w:rPr>
            </w:pPr>
            <w:r>
              <w:rPr>
                <w:b/>
                <w:color w:val="231F20"/>
                <w:sz w:val="14"/>
              </w:rPr>
              <w:t>0.2</w:t>
            </w:r>
          </w:p>
        </w:tc>
        <w:tc>
          <w:tcPr>
            <w:tcW w:w="395" w:type="dxa"/>
          </w:tcPr>
          <w:p>
            <w:pPr>
              <w:pStyle w:val="TableParagraph"/>
              <w:spacing w:line="120" w:lineRule="exact"/>
              <w:ind w:left="120" w:right="56"/>
              <w:jc w:val="center"/>
              <w:rPr>
                <w:sz w:val="14"/>
              </w:rPr>
            </w:pPr>
            <w:r>
              <w:rPr>
                <w:color w:val="231F20"/>
                <w:sz w:val="14"/>
              </w:rPr>
              <w:t>1.4</w:t>
            </w:r>
          </w:p>
        </w:tc>
        <w:tc>
          <w:tcPr>
            <w:tcW w:w="373" w:type="dxa"/>
          </w:tcPr>
          <w:p>
            <w:pPr>
              <w:pStyle w:val="TableParagraph"/>
              <w:spacing w:line="120" w:lineRule="exact"/>
              <w:ind w:left="126" w:right="31"/>
              <w:jc w:val="center"/>
              <w:rPr>
                <w:sz w:val="14"/>
              </w:rPr>
            </w:pPr>
            <w:r>
              <w:rPr>
                <w:color w:val="231F20"/>
                <w:sz w:val="14"/>
              </w:rPr>
              <w:t>2.9</w:t>
            </w:r>
          </w:p>
        </w:tc>
      </w:tr>
      <w:tr>
        <w:trPr>
          <w:trHeight w:val="210" w:hRule="atLeast"/>
        </w:trPr>
        <w:tc>
          <w:tcPr>
            <w:tcW w:w="738" w:type="dxa"/>
          </w:tcPr>
          <w:p>
            <w:pPr>
              <w:pStyle w:val="TableParagraph"/>
              <w:spacing w:line="136" w:lineRule="exact"/>
              <w:ind w:left="50"/>
              <w:rPr>
                <w:sz w:val="14"/>
              </w:rPr>
            </w:pPr>
            <w:r>
              <w:rPr>
                <w:color w:val="231F20"/>
                <w:sz w:val="14"/>
              </w:rPr>
              <w:t>Asia</w:t>
            </w:r>
          </w:p>
        </w:tc>
        <w:tc>
          <w:tcPr>
            <w:tcW w:w="420" w:type="dxa"/>
          </w:tcPr>
          <w:p>
            <w:pPr>
              <w:pStyle w:val="TableParagraph"/>
              <w:spacing w:line="136" w:lineRule="exact"/>
              <w:ind w:right="166"/>
              <w:jc w:val="right"/>
              <w:rPr>
                <w:sz w:val="14"/>
              </w:rPr>
            </w:pPr>
            <w:r>
              <w:rPr>
                <w:color w:val="231F20"/>
                <w:sz w:val="14"/>
              </w:rPr>
              <w:t>6.3</w:t>
            </w:r>
          </w:p>
        </w:tc>
        <w:tc>
          <w:tcPr>
            <w:tcW w:w="495" w:type="dxa"/>
          </w:tcPr>
          <w:p>
            <w:pPr>
              <w:pStyle w:val="TableParagraph"/>
              <w:spacing w:line="136" w:lineRule="exact"/>
              <w:ind w:left="142" w:right="129"/>
              <w:jc w:val="center"/>
              <w:rPr>
                <w:sz w:val="14"/>
              </w:rPr>
            </w:pPr>
            <w:r>
              <w:rPr>
                <w:color w:val="231F20"/>
                <w:sz w:val="14"/>
              </w:rPr>
              <w:t>0.6</w:t>
            </w:r>
          </w:p>
        </w:tc>
        <w:tc>
          <w:tcPr>
            <w:tcW w:w="575" w:type="dxa"/>
          </w:tcPr>
          <w:p>
            <w:pPr>
              <w:pStyle w:val="TableParagraph"/>
              <w:spacing w:line="136" w:lineRule="exact"/>
              <w:ind w:left="133" w:right="89"/>
              <w:jc w:val="center"/>
              <w:rPr>
                <w:sz w:val="14"/>
              </w:rPr>
            </w:pPr>
            <w:r>
              <w:rPr>
                <w:color w:val="231F20"/>
                <w:sz w:val="14"/>
              </w:rPr>
              <w:t>4.4</w:t>
            </w:r>
          </w:p>
        </w:tc>
        <w:tc>
          <w:tcPr>
            <w:tcW w:w="485" w:type="dxa"/>
          </w:tcPr>
          <w:p>
            <w:pPr>
              <w:pStyle w:val="TableParagraph"/>
              <w:spacing w:line="136" w:lineRule="exact"/>
              <w:ind w:left="157" w:right="113"/>
              <w:jc w:val="center"/>
              <w:rPr>
                <w:sz w:val="14"/>
              </w:rPr>
            </w:pPr>
            <w:r>
              <w:rPr>
                <w:color w:val="231F20"/>
                <w:sz w:val="14"/>
              </w:rPr>
              <w:t>0.3</w:t>
            </w:r>
          </w:p>
        </w:tc>
        <w:tc>
          <w:tcPr>
            <w:tcW w:w="435" w:type="dxa"/>
          </w:tcPr>
          <w:p>
            <w:pPr>
              <w:pStyle w:val="TableParagraph"/>
              <w:spacing w:line="136" w:lineRule="exact"/>
              <w:ind w:right="125"/>
              <w:jc w:val="right"/>
              <w:rPr>
                <w:sz w:val="14"/>
              </w:rPr>
            </w:pPr>
            <w:r>
              <w:rPr>
                <w:color w:val="231F20"/>
                <w:sz w:val="14"/>
              </w:rPr>
              <w:t>0.4</w:t>
            </w:r>
          </w:p>
        </w:tc>
        <w:tc>
          <w:tcPr>
            <w:tcW w:w="375" w:type="dxa"/>
          </w:tcPr>
          <w:p>
            <w:pPr>
              <w:pStyle w:val="TableParagraph"/>
              <w:spacing w:line="136" w:lineRule="exact"/>
              <w:ind w:right="70"/>
              <w:jc w:val="right"/>
              <w:rPr>
                <w:sz w:val="14"/>
              </w:rPr>
            </w:pPr>
            <w:r>
              <w:rPr>
                <w:color w:val="231F20"/>
                <w:sz w:val="14"/>
              </w:rPr>
              <w:t>0.6</w:t>
            </w:r>
          </w:p>
        </w:tc>
        <w:tc>
          <w:tcPr>
            <w:tcW w:w="395" w:type="dxa"/>
          </w:tcPr>
          <w:p>
            <w:pPr>
              <w:pStyle w:val="TableParagraph"/>
              <w:spacing w:line="136" w:lineRule="exact"/>
              <w:ind w:left="53" w:right="56"/>
              <w:jc w:val="center"/>
              <w:rPr>
                <w:b/>
                <w:sz w:val="14"/>
              </w:rPr>
            </w:pPr>
            <w:r>
              <w:rPr>
                <w:b/>
                <w:color w:val="231F20"/>
                <w:sz w:val="14"/>
              </w:rPr>
              <w:t>13.5</w:t>
            </w:r>
          </w:p>
        </w:tc>
        <w:tc>
          <w:tcPr>
            <w:tcW w:w="373" w:type="dxa"/>
          </w:tcPr>
          <w:p>
            <w:pPr>
              <w:pStyle w:val="TableParagraph"/>
              <w:spacing w:line="136" w:lineRule="exact"/>
              <w:ind w:left="57" w:right="31"/>
              <w:jc w:val="center"/>
              <w:rPr>
                <w:sz w:val="14"/>
              </w:rPr>
            </w:pPr>
            <w:r>
              <w:rPr>
                <w:color w:val="231F20"/>
                <w:sz w:val="14"/>
              </w:rPr>
              <w:t>26.6</w:t>
            </w:r>
          </w:p>
        </w:tc>
      </w:tr>
      <w:tr>
        <w:trPr>
          <w:trHeight w:val="217" w:hRule="atLeast"/>
        </w:trPr>
        <w:tc>
          <w:tcPr>
            <w:tcW w:w="738" w:type="dxa"/>
          </w:tcPr>
          <w:p>
            <w:pPr>
              <w:pStyle w:val="TableParagraph"/>
              <w:spacing w:line="152" w:lineRule="exact" w:before="45"/>
              <w:ind w:left="50"/>
              <w:rPr>
                <w:sz w:val="12"/>
              </w:rPr>
            </w:pPr>
            <w:r>
              <w:rPr>
                <w:b/>
                <w:color w:val="231F20"/>
                <w:sz w:val="14"/>
              </w:rPr>
              <w:t>World </w:t>
            </w:r>
            <w:r>
              <w:rPr>
                <w:color w:val="231F20"/>
                <w:sz w:val="12"/>
              </w:rPr>
              <w:t>(b)</w:t>
            </w:r>
          </w:p>
        </w:tc>
        <w:tc>
          <w:tcPr>
            <w:tcW w:w="420" w:type="dxa"/>
          </w:tcPr>
          <w:p>
            <w:pPr>
              <w:pStyle w:val="TableParagraph"/>
              <w:spacing w:line="152" w:lineRule="exact" w:before="45"/>
              <w:ind w:right="167"/>
              <w:jc w:val="right"/>
              <w:rPr>
                <w:b/>
                <w:sz w:val="14"/>
              </w:rPr>
            </w:pPr>
            <w:r>
              <w:rPr>
                <w:b/>
                <w:color w:val="231F20"/>
                <w:sz w:val="14"/>
              </w:rPr>
              <w:t>18.4</w:t>
            </w:r>
          </w:p>
        </w:tc>
        <w:tc>
          <w:tcPr>
            <w:tcW w:w="495" w:type="dxa"/>
          </w:tcPr>
          <w:p>
            <w:pPr>
              <w:pStyle w:val="TableParagraph"/>
              <w:spacing w:line="152" w:lineRule="exact" w:before="45"/>
              <w:ind w:left="142" w:right="128"/>
              <w:jc w:val="center"/>
              <w:rPr>
                <w:b/>
                <w:sz w:val="14"/>
              </w:rPr>
            </w:pPr>
            <w:r>
              <w:rPr>
                <w:b/>
                <w:color w:val="231F20"/>
                <w:sz w:val="14"/>
              </w:rPr>
              <w:t>4.8</w:t>
            </w:r>
          </w:p>
        </w:tc>
        <w:tc>
          <w:tcPr>
            <w:tcW w:w="575" w:type="dxa"/>
          </w:tcPr>
          <w:p>
            <w:pPr>
              <w:pStyle w:val="TableParagraph"/>
              <w:spacing w:line="152" w:lineRule="exact" w:before="45"/>
              <w:ind w:left="133" w:right="156"/>
              <w:jc w:val="center"/>
              <w:rPr>
                <w:b/>
                <w:sz w:val="14"/>
              </w:rPr>
            </w:pPr>
            <w:r>
              <w:rPr>
                <w:b/>
                <w:color w:val="231F20"/>
                <w:sz w:val="14"/>
              </w:rPr>
              <w:t>42.7</w:t>
            </w:r>
          </w:p>
        </w:tc>
        <w:tc>
          <w:tcPr>
            <w:tcW w:w="485" w:type="dxa"/>
          </w:tcPr>
          <w:p>
            <w:pPr>
              <w:pStyle w:val="TableParagraph"/>
              <w:spacing w:line="152" w:lineRule="exact" w:before="45"/>
              <w:ind w:left="157" w:right="113"/>
              <w:jc w:val="center"/>
              <w:rPr>
                <w:b/>
                <w:sz w:val="14"/>
              </w:rPr>
            </w:pPr>
            <w:r>
              <w:rPr>
                <w:b/>
                <w:color w:val="231F20"/>
                <w:sz w:val="14"/>
              </w:rPr>
              <w:t>3.1</w:t>
            </w:r>
          </w:p>
        </w:tc>
        <w:tc>
          <w:tcPr>
            <w:tcW w:w="435" w:type="dxa"/>
          </w:tcPr>
          <w:p>
            <w:pPr>
              <w:pStyle w:val="TableParagraph"/>
              <w:spacing w:line="152" w:lineRule="exact" w:before="45"/>
              <w:ind w:right="125"/>
              <w:jc w:val="right"/>
              <w:rPr>
                <w:b/>
                <w:sz w:val="14"/>
              </w:rPr>
            </w:pPr>
            <w:r>
              <w:rPr>
                <w:b/>
                <w:color w:val="231F20"/>
                <w:sz w:val="14"/>
              </w:rPr>
              <w:t>2.3</w:t>
            </w:r>
          </w:p>
        </w:tc>
        <w:tc>
          <w:tcPr>
            <w:tcW w:w="375" w:type="dxa"/>
          </w:tcPr>
          <w:p>
            <w:pPr>
              <w:pStyle w:val="TableParagraph"/>
              <w:spacing w:line="152" w:lineRule="exact" w:before="45"/>
              <w:ind w:right="70"/>
              <w:jc w:val="right"/>
              <w:rPr>
                <w:b/>
                <w:sz w:val="14"/>
              </w:rPr>
            </w:pPr>
            <w:r>
              <w:rPr>
                <w:b/>
                <w:color w:val="231F20"/>
                <w:sz w:val="14"/>
              </w:rPr>
              <w:t>2.6</w:t>
            </w:r>
          </w:p>
        </w:tc>
        <w:tc>
          <w:tcPr>
            <w:tcW w:w="395" w:type="dxa"/>
          </w:tcPr>
          <w:p>
            <w:pPr>
              <w:pStyle w:val="TableParagraph"/>
              <w:spacing w:line="152" w:lineRule="exact" w:before="45"/>
              <w:ind w:left="53" w:right="56"/>
              <w:jc w:val="center"/>
              <w:rPr>
                <w:b/>
                <w:sz w:val="14"/>
              </w:rPr>
            </w:pPr>
            <w:r>
              <w:rPr>
                <w:b/>
                <w:color w:val="231F20"/>
                <w:sz w:val="14"/>
              </w:rPr>
              <w:t>24.7</w:t>
            </w:r>
          </w:p>
        </w:tc>
        <w:tc>
          <w:tcPr>
            <w:tcW w:w="373" w:type="dxa"/>
          </w:tcPr>
          <w:p>
            <w:pPr>
              <w:pStyle w:val="TableParagraph"/>
              <w:spacing w:line="152" w:lineRule="exact" w:before="45"/>
              <w:ind w:left="92" w:right="31"/>
              <w:jc w:val="center"/>
              <w:rPr>
                <w:b/>
                <w:sz w:val="14"/>
              </w:rPr>
            </w:pPr>
            <w:r>
              <w:rPr>
                <w:b/>
                <w:color w:val="231F20"/>
                <w:sz w:val="14"/>
              </w:rPr>
              <w:t>100</w:t>
            </w:r>
          </w:p>
        </w:tc>
      </w:tr>
    </w:tbl>
    <w:p>
      <w:pPr>
        <w:spacing w:before="106"/>
        <w:ind w:left="160" w:right="0" w:firstLine="0"/>
        <w:jc w:val="left"/>
        <w:rPr>
          <w:sz w:val="12"/>
        </w:rPr>
      </w:pPr>
      <w:r>
        <w:rPr>
          <w:color w:val="231F20"/>
          <w:sz w:val="12"/>
        </w:rPr>
        <w:t>Source: </w:t>
      </w:r>
      <w:r>
        <w:rPr>
          <w:i/>
          <w:color w:val="231F20"/>
          <w:sz w:val="12"/>
        </w:rPr>
        <w:t>Economic Trends</w:t>
      </w:r>
      <w:r>
        <w:rPr>
          <w:color w:val="231F20"/>
          <w:sz w:val="12"/>
        </w:rPr>
        <w:t>, November 1997.</w:t>
      </w:r>
    </w:p>
    <w:p>
      <w:pPr>
        <w:pStyle w:val="ListParagraph"/>
        <w:numPr>
          <w:ilvl w:val="0"/>
          <w:numId w:val="10"/>
        </w:numPr>
        <w:tabs>
          <w:tab w:pos="400" w:val="left" w:leader="none"/>
        </w:tabs>
        <w:spacing w:line="129" w:lineRule="exact" w:before="102" w:after="0"/>
        <w:ind w:left="399" w:right="0" w:hanging="240"/>
        <w:jc w:val="left"/>
        <w:rPr>
          <w:sz w:val="12"/>
        </w:rPr>
      </w:pPr>
      <w:r>
        <w:rPr>
          <w:color w:val="231F20"/>
          <w:sz w:val="12"/>
        </w:rPr>
        <w:t>Central and eastern European countries.</w:t>
      </w:r>
    </w:p>
    <w:p>
      <w:pPr>
        <w:pStyle w:val="ListParagraph"/>
        <w:numPr>
          <w:ilvl w:val="0"/>
          <w:numId w:val="10"/>
        </w:numPr>
        <w:tabs>
          <w:tab w:pos="401" w:val="left" w:leader="none"/>
        </w:tabs>
        <w:spacing w:line="129" w:lineRule="exact" w:before="0" w:after="0"/>
        <w:ind w:left="400" w:right="0" w:hanging="241"/>
        <w:jc w:val="left"/>
        <w:rPr>
          <w:sz w:val="12"/>
        </w:rPr>
      </w:pPr>
      <w:r>
        <w:rPr>
          <w:color w:val="231F20"/>
          <w:sz w:val="12"/>
        </w:rPr>
        <w:t>Figures may not sum to 100 because of rounding.</w:t>
      </w:r>
    </w:p>
    <w:p>
      <w:pPr>
        <w:pStyle w:val="Heading4"/>
        <w:spacing w:line="242" w:lineRule="auto" w:before="207"/>
        <w:ind w:left="160" w:right="356"/>
      </w:pPr>
      <w:r>
        <w:rPr/>
        <w:br w:type="column"/>
      </w:r>
      <w:r>
        <w:rPr>
          <w:color w:val="231F20"/>
        </w:rPr>
        <w:t>advanced economies’ exports, and cheaper imports </w:t>
      </w:r>
      <w:r>
        <w:rPr>
          <w:color w:val="231F20"/>
          <w:spacing w:val="-5"/>
        </w:rPr>
        <w:t>from </w:t>
      </w:r>
      <w:r>
        <w:rPr>
          <w:color w:val="231F20"/>
        </w:rPr>
        <w:t>the emerging market economies. In addition, market turbulence could affect financial wealth and confidence. Risk premia for emerging market debt </w:t>
      </w:r>
      <w:r>
        <w:rPr>
          <w:color w:val="231F20"/>
          <w:spacing w:val="-3"/>
        </w:rPr>
        <w:t>have </w:t>
      </w:r>
      <w:r>
        <w:rPr>
          <w:color w:val="231F20"/>
        </w:rPr>
        <w:t>risen sharply, which could </w:t>
      </w:r>
      <w:r>
        <w:rPr>
          <w:color w:val="231F20"/>
          <w:spacing w:val="-3"/>
        </w:rPr>
        <w:t>have </w:t>
      </w:r>
      <w:r>
        <w:rPr>
          <w:color w:val="231F20"/>
        </w:rPr>
        <w:t>repercussions for the industrialised economies. An important factor will be the extent to which the emerging markets crisis</w:t>
      </w:r>
      <w:r>
        <w:rPr>
          <w:color w:val="231F20"/>
          <w:spacing w:val="-5"/>
        </w:rPr>
        <w:t> </w:t>
      </w:r>
      <w:r>
        <w:rPr>
          <w:color w:val="231F20"/>
        </w:rPr>
        <w:t>is</w:t>
      </w:r>
    </w:p>
    <w:p>
      <w:pPr>
        <w:pStyle w:val="BodyText"/>
        <w:rPr>
          <w:sz w:val="26"/>
        </w:rPr>
      </w:pPr>
    </w:p>
    <w:p>
      <w:pPr>
        <w:pStyle w:val="BodyText"/>
        <w:rPr>
          <w:sz w:val="26"/>
        </w:rPr>
      </w:pPr>
    </w:p>
    <w:p>
      <w:pPr>
        <w:pStyle w:val="BodyText"/>
        <w:spacing w:before="9"/>
        <w:rPr>
          <w:sz w:val="21"/>
        </w:rPr>
      </w:pPr>
    </w:p>
    <w:p>
      <w:pPr>
        <w:spacing w:line="242" w:lineRule="auto" w:before="1"/>
        <w:ind w:left="160" w:right="377" w:firstLine="0"/>
        <w:jc w:val="left"/>
        <w:rPr>
          <w:sz w:val="24"/>
        </w:rPr>
      </w:pPr>
      <w:r>
        <w:rPr/>
        <w:pict>
          <v:shape style="position:absolute;margin-left:66.25pt;margin-top:-46.640858pt;width:479.05pt;height:47.05pt;mso-position-horizontal-relative:page;mso-position-vertical-relative:paragraph;z-index:1581465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0"/>
                    <w:gridCol w:w="110"/>
                    <w:gridCol w:w="460"/>
                    <w:gridCol w:w="110"/>
                    <w:gridCol w:w="493"/>
                    <w:gridCol w:w="498"/>
                    <w:gridCol w:w="121"/>
                    <w:gridCol w:w="303"/>
                    <w:gridCol w:w="410"/>
                    <w:gridCol w:w="360"/>
                    <w:gridCol w:w="417"/>
                    <w:gridCol w:w="5840"/>
                  </w:tblGrid>
                  <w:tr>
                    <w:trPr>
                      <w:trHeight w:val="379" w:hRule="atLeast"/>
                    </w:trPr>
                    <w:tc>
                      <w:tcPr>
                        <w:tcW w:w="460" w:type="dxa"/>
                        <w:tcBorders>
                          <w:top w:val="single" w:sz="2" w:space="0" w:color="231F20"/>
                        </w:tcBorders>
                      </w:tcPr>
                      <w:p>
                        <w:pPr>
                          <w:pStyle w:val="TableParagraph"/>
                          <w:spacing w:before="9"/>
                          <w:rPr>
                            <w:sz w:val="18"/>
                          </w:rPr>
                        </w:pPr>
                      </w:p>
                      <w:p>
                        <w:pPr>
                          <w:pStyle w:val="TableParagraph"/>
                          <w:spacing w:line="143" w:lineRule="exact"/>
                          <w:ind w:right="64"/>
                          <w:jc w:val="right"/>
                          <w:rPr>
                            <w:b/>
                            <w:sz w:val="14"/>
                          </w:rPr>
                        </w:pPr>
                        <w:r>
                          <w:rPr>
                            <w:b/>
                            <w:color w:val="231F20"/>
                            <w:sz w:val="14"/>
                          </w:rPr>
                          <w:t>5.7</w:t>
                        </w:r>
                      </w:p>
                    </w:tc>
                    <w:tc>
                      <w:tcPr>
                        <w:tcW w:w="110" w:type="dxa"/>
                      </w:tcPr>
                      <w:p>
                        <w:pPr>
                          <w:pStyle w:val="TableParagraph"/>
                          <w:rPr>
                            <w:sz w:val="20"/>
                          </w:rPr>
                        </w:pPr>
                      </w:p>
                    </w:tc>
                    <w:tc>
                      <w:tcPr>
                        <w:tcW w:w="460" w:type="dxa"/>
                        <w:tcBorders>
                          <w:top w:val="single" w:sz="2" w:space="0" w:color="231F20"/>
                        </w:tcBorders>
                      </w:tcPr>
                      <w:p>
                        <w:pPr>
                          <w:pStyle w:val="TableParagraph"/>
                          <w:spacing w:before="9"/>
                          <w:rPr>
                            <w:sz w:val="18"/>
                          </w:rPr>
                        </w:pPr>
                      </w:p>
                      <w:p>
                        <w:pPr>
                          <w:pStyle w:val="TableParagraph"/>
                          <w:spacing w:line="143" w:lineRule="exact"/>
                          <w:ind w:right="124"/>
                          <w:jc w:val="right"/>
                          <w:rPr>
                            <w:sz w:val="14"/>
                          </w:rPr>
                        </w:pPr>
                        <w:r>
                          <w:rPr>
                            <w:color w:val="231F20"/>
                            <w:sz w:val="14"/>
                          </w:rPr>
                          <w:t>2.0</w:t>
                        </w:r>
                      </w:p>
                    </w:tc>
                    <w:tc>
                      <w:tcPr>
                        <w:tcW w:w="110" w:type="dxa"/>
                      </w:tcPr>
                      <w:p>
                        <w:pPr>
                          <w:pStyle w:val="TableParagraph"/>
                          <w:rPr>
                            <w:sz w:val="20"/>
                          </w:rPr>
                        </w:pPr>
                      </w:p>
                    </w:tc>
                    <w:tc>
                      <w:tcPr>
                        <w:tcW w:w="493" w:type="dxa"/>
                        <w:tcBorders>
                          <w:top w:val="single" w:sz="2" w:space="0" w:color="231F20"/>
                        </w:tcBorders>
                      </w:tcPr>
                      <w:p>
                        <w:pPr>
                          <w:pStyle w:val="TableParagraph"/>
                          <w:spacing w:before="9"/>
                          <w:rPr>
                            <w:sz w:val="18"/>
                          </w:rPr>
                        </w:pPr>
                      </w:p>
                      <w:p>
                        <w:pPr>
                          <w:pStyle w:val="TableParagraph"/>
                          <w:spacing w:line="143" w:lineRule="exact"/>
                          <w:ind w:right="175"/>
                          <w:jc w:val="right"/>
                          <w:rPr>
                            <w:sz w:val="14"/>
                          </w:rPr>
                        </w:pPr>
                        <w:r>
                          <w:rPr>
                            <w:color w:val="231F20"/>
                            <w:sz w:val="14"/>
                          </w:rPr>
                          <w:t>3.0</w:t>
                        </w:r>
                      </w:p>
                    </w:tc>
                    <w:tc>
                      <w:tcPr>
                        <w:tcW w:w="498" w:type="dxa"/>
                        <w:tcBorders>
                          <w:top w:val="single" w:sz="2" w:space="0" w:color="231F20"/>
                        </w:tcBorders>
                      </w:tcPr>
                      <w:p>
                        <w:pPr>
                          <w:pStyle w:val="TableParagraph"/>
                          <w:spacing w:before="9"/>
                          <w:rPr>
                            <w:sz w:val="18"/>
                          </w:rPr>
                        </w:pPr>
                      </w:p>
                      <w:p>
                        <w:pPr>
                          <w:pStyle w:val="TableParagraph"/>
                          <w:spacing w:line="143" w:lineRule="exact"/>
                          <w:ind w:left="157" w:right="126"/>
                          <w:jc w:val="center"/>
                          <w:rPr>
                            <w:sz w:val="14"/>
                          </w:rPr>
                        </w:pPr>
                        <w:r>
                          <w:rPr>
                            <w:color w:val="231F20"/>
                            <w:sz w:val="14"/>
                          </w:rPr>
                          <w:t>0.1</w:t>
                        </w:r>
                      </w:p>
                    </w:tc>
                    <w:tc>
                      <w:tcPr>
                        <w:tcW w:w="121" w:type="dxa"/>
                      </w:tcPr>
                      <w:p>
                        <w:pPr>
                          <w:pStyle w:val="TableParagraph"/>
                          <w:rPr>
                            <w:sz w:val="20"/>
                          </w:rPr>
                        </w:pPr>
                      </w:p>
                    </w:tc>
                    <w:tc>
                      <w:tcPr>
                        <w:tcW w:w="303" w:type="dxa"/>
                        <w:tcBorders>
                          <w:top w:val="single" w:sz="2" w:space="0" w:color="231F20"/>
                        </w:tcBorders>
                      </w:tcPr>
                      <w:p>
                        <w:pPr>
                          <w:pStyle w:val="TableParagraph"/>
                          <w:spacing w:before="9"/>
                          <w:rPr>
                            <w:sz w:val="18"/>
                          </w:rPr>
                        </w:pPr>
                      </w:p>
                      <w:p>
                        <w:pPr>
                          <w:pStyle w:val="TableParagraph"/>
                          <w:spacing w:line="143" w:lineRule="exact"/>
                          <w:ind w:left="-2"/>
                          <w:rPr>
                            <w:sz w:val="14"/>
                          </w:rPr>
                        </w:pPr>
                        <w:r>
                          <w:rPr>
                            <w:color w:val="231F20"/>
                            <w:sz w:val="14"/>
                          </w:rPr>
                          <w:t>0.2</w:t>
                        </w:r>
                      </w:p>
                    </w:tc>
                    <w:tc>
                      <w:tcPr>
                        <w:tcW w:w="410" w:type="dxa"/>
                        <w:tcBorders>
                          <w:top w:val="single" w:sz="2" w:space="0" w:color="231F20"/>
                        </w:tcBorders>
                      </w:tcPr>
                      <w:p>
                        <w:pPr>
                          <w:pStyle w:val="TableParagraph"/>
                          <w:spacing w:before="9"/>
                          <w:rPr>
                            <w:sz w:val="18"/>
                          </w:rPr>
                        </w:pPr>
                      </w:p>
                      <w:p>
                        <w:pPr>
                          <w:pStyle w:val="TableParagraph"/>
                          <w:spacing w:line="143" w:lineRule="exact"/>
                          <w:ind w:left="104" w:right="89"/>
                          <w:jc w:val="center"/>
                          <w:rPr>
                            <w:sz w:val="14"/>
                          </w:rPr>
                        </w:pPr>
                        <w:r>
                          <w:rPr>
                            <w:color w:val="231F20"/>
                            <w:sz w:val="14"/>
                          </w:rPr>
                          <w:t>0.4</w:t>
                        </w:r>
                      </w:p>
                    </w:tc>
                    <w:tc>
                      <w:tcPr>
                        <w:tcW w:w="360" w:type="dxa"/>
                        <w:tcBorders>
                          <w:top w:val="single" w:sz="2" w:space="0" w:color="231F20"/>
                        </w:tcBorders>
                      </w:tcPr>
                      <w:p>
                        <w:pPr>
                          <w:pStyle w:val="TableParagraph"/>
                          <w:spacing w:before="9"/>
                          <w:rPr>
                            <w:sz w:val="18"/>
                          </w:rPr>
                        </w:pPr>
                      </w:p>
                      <w:p>
                        <w:pPr>
                          <w:pStyle w:val="TableParagraph"/>
                          <w:spacing w:line="143" w:lineRule="exact"/>
                          <w:ind w:left="85" w:right="60"/>
                          <w:jc w:val="center"/>
                          <w:rPr>
                            <w:sz w:val="14"/>
                          </w:rPr>
                        </w:pPr>
                        <w:r>
                          <w:rPr>
                            <w:color w:val="231F20"/>
                            <w:sz w:val="14"/>
                          </w:rPr>
                          <w:t>4.3</w:t>
                        </w:r>
                      </w:p>
                    </w:tc>
                    <w:tc>
                      <w:tcPr>
                        <w:tcW w:w="417" w:type="dxa"/>
                        <w:tcBorders>
                          <w:top w:val="single" w:sz="2" w:space="0" w:color="231F20"/>
                        </w:tcBorders>
                      </w:tcPr>
                      <w:p>
                        <w:pPr>
                          <w:pStyle w:val="TableParagraph"/>
                          <w:spacing w:before="9"/>
                          <w:rPr>
                            <w:sz w:val="18"/>
                          </w:rPr>
                        </w:pPr>
                      </w:p>
                      <w:p>
                        <w:pPr>
                          <w:pStyle w:val="TableParagraph"/>
                          <w:spacing w:line="143" w:lineRule="exact"/>
                          <w:ind w:left="56" w:right="75"/>
                          <w:jc w:val="center"/>
                          <w:rPr>
                            <w:sz w:val="14"/>
                          </w:rPr>
                        </w:pPr>
                        <w:r>
                          <w:rPr>
                            <w:color w:val="231F20"/>
                            <w:sz w:val="14"/>
                          </w:rPr>
                          <w:t>15.9</w:t>
                        </w:r>
                      </w:p>
                    </w:tc>
                    <w:tc>
                      <w:tcPr>
                        <w:tcW w:w="5840" w:type="dxa"/>
                      </w:tcPr>
                      <w:p>
                        <w:pPr>
                          <w:pStyle w:val="TableParagraph"/>
                          <w:spacing w:line="268" w:lineRule="exact" w:before="91"/>
                          <w:ind w:left="532"/>
                          <w:rPr>
                            <w:sz w:val="24"/>
                          </w:rPr>
                        </w:pPr>
                        <w:r>
                          <w:rPr>
                            <w:color w:val="231F20"/>
                            <w:sz w:val="24"/>
                          </w:rPr>
                          <w:t>concentrated in intra-regional trade. Table 2.B shows</w:t>
                        </w:r>
                      </w:p>
                    </w:tc>
                  </w:tr>
                  <w:tr>
                    <w:trPr>
                      <w:trHeight w:val="280" w:hRule="atLeast"/>
                    </w:trPr>
                    <w:tc>
                      <w:tcPr>
                        <w:tcW w:w="460" w:type="dxa"/>
                      </w:tcPr>
                      <w:p>
                        <w:pPr>
                          <w:pStyle w:val="TableParagraph"/>
                          <w:spacing w:line="143" w:lineRule="exact" w:before="117"/>
                          <w:ind w:right="62"/>
                          <w:jc w:val="right"/>
                          <w:rPr>
                            <w:sz w:val="14"/>
                          </w:rPr>
                        </w:pPr>
                        <w:r>
                          <w:rPr>
                            <w:color w:val="231F20"/>
                            <w:sz w:val="14"/>
                          </w:rPr>
                          <w:t>2.2</w:t>
                        </w:r>
                      </w:p>
                    </w:tc>
                    <w:tc>
                      <w:tcPr>
                        <w:tcW w:w="110" w:type="dxa"/>
                      </w:tcPr>
                      <w:p>
                        <w:pPr>
                          <w:pStyle w:val="TableParagraph"/>
                          <w:rPr>
                            <w:sz w:val="20"/>
                          </w:rPr>
                        </w:pPr>
                      </w:p>
                    </w:tc>
                    <w:tc>
                      <w:tcPr>
                        <w:tcW w:w="460" w:type="dxa"/>
                      </w:tcPr>
                      <w:p>
                        <w:pPr>
                          <w:pStyle w:val="TableParagraph"/>
                          <w:spacing w:line="143" w:lineRule="exact" w:before="117"/>
                          <w:ind w:right="124"/>
                          <w:jc w:val="right"/>
                          <w:rPr>
                            <w:b/>
                            <w:sz w:val="14"/>
                          </w:rPr>
                        </w:pPr>
                        <w:r>
                          <w:rPr>
                            <w:b/>
                            <w:color w:val="231F20"/>
                            <w:sz w:val="14"/>
                          </w:rPr>
                          <w:t>1.0</w:t>
                        </w:r>
                      </w:p>
                    </w:tc>
                    <w:tc>
                      <w:tcPr>
                        <w:tcW w:w="110" w:type="dxa"/>
                      </w:tcPr>
                      <w:p>
                        <w:pPr>
                          <w:pStyle w:val="TableParagraph"/>
                          <w:rPr>
                            <w:sz w:val="20"/>
                          </w:rPr>
                        </w:pPr>
                      </w:p>
                    </w:tc>
                    <w:tc>
                      <w:tcPr>
                        <w:tcW w:w="493" w:type="dxa"/>
                      </w:tcPr>
                      <w:p>
                        <w:pPr>
                          <w:pStyle w:val="TableParagraph"/>
                          <w:spacing w:line="143" w:lineRule="exact" w:before="117"/>
                          <w:ind w:right="175"/>
                          <w:jc w:val="right"/>
                          <w:rPr>
                            <w:sz w:val="14"/>
                          </w:rPr>
                        </w:pPr>
                        <w:r>
                          <w:rPr>
                            <w:color w:val="231F20"/>
                            <w:sz w:val="14"/>
                          </w:rPr>
                          <w:t>0.8</w:t>
                        </w:r>
                      </w:p>
                    </w:tc>
                    <w:tc>
                      <w:tcPr>
                        <w:tcW w:w="498" w:type="dxa"/>
                      </w:tcPr>
                      <w:p>
                        <w:pPr>
                          <w:pStyle w:val="TableParagraph"/>
                          <w:spacing w:line="143" w:lineRule="exact" w:before="117"/>
                          <w:ind w:left="157" w:right="126"/>
                          <w:jc w:val="center"/>
                          <w:rPr>
                            <w:sz w:val="14"/>
                          </w:rPr>
                        </w:pPr>
                        <w:r>
                          <w:rPr>
                            <w:color w:val="231F20"/>
                            <w:sz w:val="14"/>
                          </w:rPr>
                          <w:t>0.0</w:t>
                        </w:r>
                      </w:p>
                    </w:tc>
                    <w:tc>
                      <w:tcPr>
                        <w:tcW w:w="121" w:type="dxa"/>
                      </w:tcPr>
                      <w:p>
                        <w:pPr>
                          <w:pStyle w:val="TableParagraph"/>
                          <w:rPr>
                            <w:sz w:val="20"/>
                          </w:rPr>
                        </w:pPr>
                      </w:p>
                    </w:tc>
                    <w:tc>
                      <w:tcPr>
                        <w:tcW w:w="303" w:type="dxa"/>
                      </w:tcPr>
                      <w:p>
                        <w:pPr>
                          <w:pStyle w:val="TableParagraph"/>
                          <w:spacing w:line="143" w:lineRule="exact" w:before="117"/>
                          <w:ind w:left="-2"/>
                          <w:rPr>
                            <w:sz w:val="14"/>
                          </w:rPr>
                        </w:pPr>
                        <w:r>
                          <w:rPr>
                            <w:color w:val="231F20"/>
                            <w:sz w:val="14"/>
                          </w:rPr>
                          <w:t>0.1</w:t>
                        </w:r>
                      </w:p>
                    </w:tc>
                    <w:tc>
                      <w:tcPr>
                        <w:tcW w:w="410" w:type="dxa"/>
                      </w:tcPr>
                      <w:p>
                        <w:pPr>
                          <w:pStyle w:val="TableParagraph"/>
                          <w:spacing w:line="143" w:lineRule="exact" w:before="117"/>
                          <w:ind w:left="104" w:right="89"/>
                          <w:jc w:val="center"/>
                          <w:rPr>
                            <w:sz w:val="14"/>
                          </w:rPr>
                        </w:pPr>
                        <w:r>
                          <w:rPr>
                            <w:color w:val="231F20"/>
                            <w:sz w:val="14"/>
                          </w:rPr>
                          <w:t>0.0</w:t>
                        </w:r>
                      </w:p>
                    </w:tc>
                    <w:tc>
                      <w:tcPr>
                        <w:tcW w:w="360" w:type="dxa"/>
                      </w:tcPr>
                      <w:p>
                        <w:pPr>
                          <w:pStyle w:val="TableParagraph"/>
                          <w:spacing w:line="143" w:lineRule="exact" w:before="117"/>
                          <w:ind w:left="85" w:right="60"/>
                          <w:jc w:val="center"/>
                          <w:rPr>
                            <w:sz w:val="14"/>
                          </w:rPr>
                        </w:pPr>
                        <w:r>
                          <w:rPr>
                            <w:color w:val="231F20"/>
                            <w:sz w:val="14"/>
                          </w:rPr>
                          <w:t>0.5</w:t>
                        </w:r>
                      </w:p>
                    </w:tc>
                    <w:tc>
                      <w:tcPr>
                        <w:tcW w:w="417" w:type="dxa"/>
                      </w:tcPr>
                      <w:p>
                        <w:pPr>
                          <w:pStyle w:val="TableParagraph"/>
                          <w:spacing w:line="143" w:lineRule="exact" w:before="117"/>
                          <w:ind w:left="56" w:right="8"/>
                          <w:jc w:val="center"/>
                          <w:rPr>
                            <w:sz w:val="14"/>
                          </w:rPr>
                        </w:pPr>
                        <w:r>
                          <w:rPr>
                            <w:color w:val="231F20"/>
                            <w:sz w:val="14"/>
                          </w:rPr>
                          <w:t>4.6</w:t>
                        </w:r>
                      </w:p>
                    </w:tc>
                    <w:tc>
                      <w:tcPr>
                        <w:tcW w:w="5840" w:type="dxa"/>
                      </w:tcPr>
                      <w:p>
                        <w:pPr>
                          <w:pStyle w:val="TableParagraph"/>
                          <w:spacing w:line="260" w:lineRule="exact"/>
                          <w:ind w:left="532"/>
                          <w:rPr>
                            <w:sz w:val="24"/>
                          </w:rPr>
                        </w:pPr>
                        <w:r>
                          <w:rPr>
                            <w:color w:val="231F20"/>
                            <w:sz w:val="24"/>
                          </w:rPr>
                          <w:t>that Asian exports of goods accounted for 27% of total</w:t>
                        </w:r>
                      </w:p>
                    </w:tc>
                  </w:tr>
                  <w:tr>
                    <w:trPr>
                      <w:trHeight w:val="278" w:hRule="atLeast"/>
                    </w:trPr>
                    <w:tc>
                      <w:tcPr>
                        <w:tcW w:w="460" w:type="dxa"/>
                      </w:tcPr>
                      <w:p>
                        <w:pPr>
                          <w:pStyle w:val="TableParagraph"/>
                          <w:spacing w:line="141" w:lineRule="exact" w:before="117"/>
                          <w:ind w:right="62"/>
                          <w:jc w:val="right"/>
                          <w:rPr>
                            <w:sz w:val="14"/>
                          </w:rPr>
                        </w:pPr>
                        <w:r>
                          <w:rPr>
                            <w:color w:val="231F20"/>
                            <w:sz w:val="14"/>
                          </w:rPr>
                          <w:t>3.3</w:t>
                        </w:r>
                      </w:p>
                    </w:tc>
                    <w:tc>
                      <w:tcPr>
                        <w:tcW w:w="110" w:type="dxa"/>
                      </w:tcPr>
                      <w:p>
                        <w:pPr>
                          <w:pStyle w:val="TableParagraph"/>
                          <w:rPr>
                            <w:sz w:val="20"/>
                          </w:rPr>
                        </w:pPr>
                      </w:p>
                    </w:tc>
                    <w:tc>
                      <w:tcPr>
                        <w:tcW w:w="460" w:type="dxa"/>
                      </w:tcPr>
                      <w:p>
                        <w:pPr>
                          <w:pStyle w:val="TableParagraph"/>
                          <w:spacing w:line="141" w:lineRule="exact" w:before="117"/>
                          <w:ind w:right="122"/>
                          <w:jc w:val="right"/>
                          <w:rPr>
                            <w:sz w:val="14"/>
                          </w:rPr>
                        </w:pPr>
                        <w:r>
                          <w:rPr>
                            <w:color w:val="231F20"/>
                            <w:sz w:val="14"/>
                          </w:rPr>
                          <w:t>1.1</w:t>
                        </w:r>
                      </w:p>
                    </w:tc>
                    <w:tc>
                      <w:tcPr>
                        <w:tcW w:w="110" w:type="dxa"/>
                      </w:tcPr>
                      <w:p>
                        <w:pPr>
                          <w:pStyle w:val="TableParagraph"/>
                          <w:rPr>
                            <w:sz w:val="20"/>
                          </w:rPr>
                        </w:pPr>
                      </w:p>
                    </w:tc>
                    <w:tc>
                      <w:tcPr>
                        <w:tcW w:w="493" w:type="dxa"/>
                      </w:tcPr>
                      <w:p>
                        <w:pPr>
                          <w:pStyle w:val="TableParagraph"/>
                          <w:spacing w:line="141" w:lineRule="exact" w:before="117"/>
                          <w:ind w:right="175"/>
                          <w:jc w:val="right"/>
                          <w:rPr>
                            <w:b/>
                            <w:sz w:val="14"/>
                          </w:rPr>
                        </w:pPr>
                        <w:r>
                          <w:rPr>
                            <w:b/>
                            <w:color w:val="231F20"/>
                            <w:sz w:val="14"/>
                          </w:rPr>
                          <w:t>30.9</w:t>
                        </w:r>
                      </w:p>
                    </w:tc>
                    <w:tc>
                      <w:tcPr>
                        <w:tcW w:w="498" w:type="dxa"/>
                      </w:tcPr>
                      <w:p>
                        <w:pPr>
                          <w:pStyle w:val="TableParagraph"/>
                          <w:spacing w:line="141" w:lineRule="exact" w:before="117"/>
                          <w:ind w:left="157" w:right="126"/>
                          <w:jc w:val="center"/>
                          <w:rPr>
                            <w:sz w:val="14"/>
                          </w:rPr>
                        </w:pPr>
                        <w:r>
                          <w:rPr>
                            <w:color w:val="231F20"/>
                            <w:sz w:val="14"/>
                          </w:rPr>
                          <w:t>2.0</w:t>
                        </w:r>
                      </w:p>
                    </w:tc>
                    <w:tc>
                      <w:tcPr>
                        <w:tcW w:w="121" w:type="dxa"/>
                      </w:tcPr>
                      <w:p>
                        <w:pPr>
                          <w:pStyle w:val="TableParagraph"/>
                          <w:rPr>
                            <w:sz w:val="20"/>
                          </w:rPr>
                        </w:pPr>
                      </w:p>
                    </w:tc>
                    <w:tc>
                      <w:tcPr>
                        <w:tcW w:w="303" w:type="dxa"/>
                      </w:tcPr>
                      <w:p>
                        <w:pPr>
                          <w:pStyle w:val="TableParagraph"/>
                          <w:spacing w:line="141" w:lineRule="exact" w:before="117"/>
                          <w:ind w:left="-2"/>
                          <w:rPr>
                            <w:sz w:val="14"/>
                          </w:rPr>
                        </w:pPr>
                        <w:r>
                          <w:rPr>
                            <w:color w:val="231F20"/>
                            <w:sz w:val="14"/>
                          </w:rPr>
                          <w:t>1.2</w:t>
                        </w:r>
                      </w:p>
                    </w:tc>
                    <w:tc>
                      <w:tcPr>
                        <w:tcW w:w="410" w:type="dxa"/>
                      </w:tcPr>
                      <w:p>
                        <w:pPr>
                          <w:pStyle w:val="TableParagraph"/>
                          <w:spacing w:line="141" w:lineRule="exact" w:before="117"/>
                          <w:ind w:left="104" w:right="90"/>
                          <w:jc w:val="center"/>
                          <w:rPr>
                            <w:sz w:val="14"/>
                          </w:rPr>
                        </w:pPr>
                        <w:r>
                          <w:rPr>
                            <w:color w:val="231F20"/>
                            <w:sz w:val="14"/>
                          </w:rPr>
                          <w:t>1.2</w:t>
                        </w:r>
                      </w:p>
                    </w:tc>
                    <w:tc>
                      <w:tcPr>
                        <w:tcW w:w="360" w:type="dxa"/>
                      </w:tcPr>
                      <w:p>
                        <w:pPr>
                          <w:pStyle w:val="TableParagraph"/>
                          <w:spacing w:line="141" w:lineRule="exact" w:before="117"/>
                          <w:ind w:left="85" w:right="60"/>
                          <w:jc w:val="center"/>
                          <w:rPr>
                            <w:sz w:val="14"/>
                          </w:rPr>
                        </w:pPr>
                        <w:r>
                          <w:rPr>
                            <w:color w:val="231F20"/>
                            <w:sz w:val="14"/>
                          </w:rPr>
                          <w:t>4.3</w:t>
                        </w:r>
                      </w:p>
                    </w:tc>
                    <w:tc>
                      <w:tcPr>
                        <w:tcW w:w="417" w:type="dxa"/>
                      </w:tcPr>
                      <w:p>
                        <w:pPr>
                          <w:pStyle w:val="TableParagraph"/>
                          <w:spacing w:line="141" w:lineRule="exact" w:before="117"/>
                          <w:ind w:left="55" w:right="75"/>
                          <w:jc w:val="center"/>
                          <w:rPr>
                            <w:sz w:val="14"/>
                          </w:rPr>
                        </w:pPr>
                        <w:r>
                          <w:rPr>
                            <w:color w:val="231F20"/>
                            <w:sz w:val="14"/>
                          </w:rPr>
                          <w:t>44.8</w:t>
                        </w:r>
                      </w:p>
                    </w:tc>
                    <w:tc>
                      <w:tcPr>
                        <w:tcW w:w="5840" w:type="dxa"/>
                      </w:tcPr>
                      <w:p>
                        <w:pPr>
                          <w:pStyle w:val="TableParagraph"/>
                          <w:spacing w:line="258" w:lineRule="exact"/>
                          <w:ind w:left="532"/>
                          <w:rPr>
                            <w:sz w:val="24"/>
                          </w:rPr>
                        </w:pPr>
                        <w:r>
                          <w:rPr>
                            <w:color w:val="231F20"/>
                            <w:sz w:val="24"/>
                          </w:rPr>
                          <w:t>world trade in goods in 1995 (up from 20% in 1991),</w:t>
                        </w:r>
                      </w:p>
                    </w:tc>
                  </w:tr>
                </w:tbl>
                <w:p>
                  <w:pPr>
                    <w:pStyle w:val="BodyText"/>
                  </w:pPr>
                </w:p>
              </w:txbxContent>
            </v:textbox>
            <w10:wrap type="none"/>
          </v:shape>
        </w:pict>
      </w:r>
      <w:r>
        <w:rPr>
          <w:color w:val="231F20"/>
          <w:sz w:val="24"/>
        </w:rPr>
        <w:t>though more than half of this was accounted for by intra-Asian trade. And although Asia, Latin America and central and eastern Europe were the destinations for nearly one third of total world exports of goods in 1995, the majority of these originated within those regions.</w:t>
      </w:r>
    </w:p>
    <w:p>
      <w:pPr>
        <w:pStyle w:val="BodyText"/>
        <w:spacing w:before="10"/>
        <w:rPr>
          <w:sz w:val="24"/>
        </w:rPr>
      </w:pPr>
    </w:p>
    <w:p>
      <w:pPr>
        <w:spacing w:line="242" w:lineRule="auto" w:before="0"/>
        <w:ind w:left="160" w:right="275" w:firstLine="0"/>
        <w:jc w:val="left"/>
        <w:rPr>
          <w:sz w:val="24"/>
        </w:rPr>
      </w:pPr>
      <w:r>
        <w:rPr>
          <w:color w:val="231F20"/>
          <w:sz w:val="24"/>
        </w:rPr>
        <w:t>Growth in the major industrialised economies slowed in 1998 Q2, partly reflecting a number of special factors. But excluding Japan, growth remained close to trend.</w:t>
      </w:r>
    </w:p>
    <w:p>
      <w:pPr>
        <w:spacing w:line="242" w:lineRule="auto" w:before="4"/>
        <w:ind w:left="160" w:right="275" w:firstLine="0"/>
        <w:jc w:val="left"/>
        <w:rPr>
          <w:sz w:val="24"/>
        </w:rPr>
      </w:pPr>
      <w:r>
        <w:rPr>
          <w:color w:val="231F20"/>
          <w:sz w:val="24"/>
        </w:rPr>
        <w:t>US GDP growth moderated in 1998 Q2, reflecting the effects of the General Motors strike, and a large negative contribution from net trade. But the first estimate of</w:t>
      </w:r>
    </w:p>
    <w:p>
      <w:pPr>
        <w:spacing w:line="242" w:lineRule="auto" w:before="4"/>
        <w:ind w:left="160" w:right="275" w:firstLine="0"/>
        <w:jc w:val="left"/>
        <w:rPr>
          <w:sz w:val="24"/>
        </w:rPr>
      </w:pPr>
      <w:r>
        <w:rPr>
          <w:color w:val="231F20"/>
          <w:sz w:val="24"/>
        </w:rPr>
        <w:t>US GDP growth in 1998 Q3 showed a small acceleration from Q2: lower consumption growth was offset by an increase in inventories and a smaller negative contribution from net trade. Recovery in the prospective euro area continued, albeit at a slightly slower rate than in 1998 Q1. By contrast, Japanese GDP fell for the third consecutive quarter in 1998 Q2, the weakest outturn since 1955, when the data were first collected. And following the declaration of a moratorium on domestic currency debt by the Russian authorities in August, financial market turbulence resulted in lower global equity prices and a widening of credit spreads on emerging mark</w:t>
      </w:r>
      <w:hyperlink w:history="true" w:anchor="_bookmark0">
        <w:r>
          <w:rPr>
            <w:color w:val="231F20"/>
            <w:sz w:val="24"/>
          </w:rPr>
          <w:t>et and other debt (see Section 1).</w:t>
        </w:r>
      </w:hyperlink>
    </w:p>
    <w:p>
      <w:pPr>
        <w:pStyle w:val="BodyText"/>
        <w:spacing w:before="8"/>
        <w:rPr>
          <w:sz w:val="25"/>
        </w:rPr>
      </w:pPr>
    </w:p>
    <w:p>
      <w:pPr>
        <w:pStyle w:val="Heading5"/>
        <w:spacing w:before="1"/>
        <w:ind w:left="160"/>
        <w:rPr>
          <w:i/>
        </w:rPr>
      </w:pPr>
      <w:r>
        <w:rPr>
          <w:i/>
          <w:color w:val="009483"/>
        </w:rPr>
        <w:t>UK trade</w:t>
      </w:r>
    </w:p>
    <w:p>
      <w:pPr>
        <w:spacing w:line="242" w:lineRule="auto" w:before="144"/>
        <w:ind w:left="160" w:right="260" w:firstLine="0"/>
        <w:jc w:val="left"/>
        <w:rPr>
          <w:sz w:val="24"/>
        </w:rPr>
      </w:pPr>
      <w:r>
        <w:rPr>
          <w:color w:val="231F20"/>
          <w:sz w:val="24"/>
        </w:rPr>
        <w:t>Revisions to the UK National Accounts have improved the underlying net trade position in 1998 H1. The estimated fall in net exports in 1998 H1 was reduced by the equivalent of 0.5 percentage points of GDP, and the current account deficit in 1998 Q1 was revised down from £3.2 billion to £0.5 billion. Net exports of goods and services made a small positive contribution to UK GDP growth in 1998 Q2, after subtracting 1.2 percentage points from growth in the two previous quarters.</w:t>
      </w:r>
    </w:p>
    <w:p>
      <w:pPr>
        <w:spacing w:line="242" w:lineRule="auto" w:before="11"/>
        <w:ind w:left="160" w:right="377" w:firstLine="0"/>
        <w:jc w:val="left"/>
        <w:rPr>
          <w:sz w:val="24"/>
        </w:rPr>
      </w:pPr>
      <w:r>
        <w:rPr>
          <w:color w:val="231F20"/>
          <w:sz w:val="24"/>
        </w:rPr>
        <w:t>And the current account registered a small surplus in 1998 Q2.</w:t>
      </w:r>
    </w:p>
    <w:p>
      <w:pPr>
        <w:pStyle w:val="BodyText"/>
        <w:spacing w:before="6"/>
        <w:rPr>
          <w:sz w:val="24"/>
        </w:rPr>
      </w:pPr>
    </w:p>
    <w:p>
      <w:pPr>
        <w:spacing w:line="242" w:lineRule="auto" w:before="1"/>
        <w:ind w:left="160" w:right="377" w:firstLine="0"/>
        <w:jc w:val="left"/>
        <w:rPr>
          <w:sz w:val="24"/>
        </w:rPr>
      </w:pPr>
      <w:r>
        <w:rPr>
          <w:color w:val="231F20"/>
          <w:sz w:val="24"/>
        </w:rPr>
        <w:t>The UK balance of trade in goods with the European Union appears to have remained surprisingly resilient,</w:t>
      </w:r>
    </w:p>
    <w:p>
      <w:pPr>
        <w:spacing w:after="0" w:line="242" w:lineRule="auto"/>
        <w:jc w:val="left"/>
        <w:rPr>
          <w:sz w:val="24"/>
        </w:rPr>
        <w:sectPr>
          <w:type w:val="continuous"/>
          <w:pgSz w:w="11900" w:h="16840"/>
          <w:pgMar w:top="1220" w:bottom="280" w:left="620" w:right="520"/>
          <w:cols w:num="2" w:equalWidth="0">
            <w:col w:w="4495" w:space="325"/>
            <w:col w:w="5940"/>
          </w:cols>
        </w:sectPr>
      </w:pPr>
    </w:p>
    <w:p>
      <w:pPr>
        <w:pStyle w:val="BodyText"/>
        <w:spacing w:before="6"/>
        <w:rPr>
          <w:sz w:val="29"/>
        </w:rPr>
      </w:pPr>
    </w:p>
    <w:p>
      <w:pPr>
        <w:spacing w:before="88"/>
        <w:ind w:left="1979" w:right="1978" w:firstLine="0"/>
        <w:jc w:val="center"/>
        <w:rPr>
          <w:b/>
          <w:sz w:val="28"/>
        </w:rPr>
      </w:pPr>
      <w:bookmarkStart w:name="Revisions to the National Accounts" w:id="35"/>
      <w:bookmarkEnd w:id="35"/>
      <w:r>
        <w:rPr/>
      </w:r>
      <w:bookmarkStart w:name="_bookmark10" w:id="36"/>
      <w:bookmarkEnd w:id="36"/>
      <w:r>
        <w:rPr/>
      </w:r>
      <w:r>
        <w:rPr>
          <w:b/>
          <w:color w:val="009483"/>
          <w:sz w:val="28"/>
        </w:rPr>
        <w:t>Revisions to the National Accounts</w:t>
      </w:r>
    </w:p>
    <w:p>
      <w:pPr>
        <w:pStyle w:val="BodyText"/>
        <w:spacing w:before="11"/>
        <w:rPr>
          <w:b/>
          <w:sz w:val="27"/>
        </w:rPr>
      </w:pPr>
    </w:p>
    <w:p>
      <w:pPr>
        <w:spacing w:after="0"/>
        <w:rPr>
          <w:sz w:val="27"/>
        </w:rPr>
        <w:sectPr>
          <w:footerReference w:type="even" r:id="rId39"/>
          <w:footerReference w:type="default" r:id="rId40"/>
          <w:pgSz w:w="11900" w:h="16840"/>
          <w:pgMar w:footer="597" w:header="586" w:top="780" w:bottom="780" w:left="620" w:right="520"/>
          <w:pgNumType w:start="14"/>
        </w:sectPr>
      </w:pPr>
    </w:p>
    <w:p>
      <w:pPr>
        <w:spacing w:before="91"/>
        <w:ind w:left="500" w:right="0" w:firstLine="0"/>
        <w:jc w:val="left"/>
        <w:rPr>
          <w:sz w:val="22"/>
        </w:rPr>
      </w:pPr>
      <w:r>
        <w:rPr>
          <w:color w:val="231F20"/>
          <w:sz w:val="22"/>
        </w:rPr>
        <w:t>The National Accounts data released on</w:t>
      </w:r>
    </w:p>
    <w:p>
      <w:pPr>
        <w:spacing w:line="247" w:lineRule="auto" w:before="7"/>
        <w:ind w:left="500" w:right="15" w:firstLine="0"/>
        <w:jc w:val="left"/>
        <w:rPr>
          <w:sz w:val="22"/>
        </w:rPr>
      </w:pPr>
      <w:r>
        <w:rPr>
          <w:color w:val="231F20"/>
          <w:sz w:val="22"/>
        </w:rPr>
        <w:t>24 September contained a number of significant methodological changes, as well as the normal round of annual revisions.</w:t>
      </w:r>
    </w:p>
    <w:p>
      <w:pPr>
        <w:pStyle w:val="BodyText"/>
        <w:spacing w:before="5"/>
        <w:rPr>
          <w:sz w:val="22"/>
        </w:rPr>
      </w:pPr>
    </w:p>
    <w:p>
      <w:pPr>
        <w:spacing w:before="0"/>
        <w:ind w:left="500" w:right="0" w:firstLine="0"/>
        <w:jc w:val="left"/>
        <w:rPr>
          <w:sz w:val="22"/>
        </w:rPr>
      </w:pPr>
      <w:r>
        <w:rPr>
          <w:color w:val="231F20"/>
          <w:sz w:val="22"/>
        </w:rPr>
        <w:t>There were four main sources of revision:</w:t>
      </w:r>
    </w:p>
    <w:p>
      <w:pPr>
        <w:pStyle w:val="BodyText"/>
        <w:spacing w:before="2"/>
        <w:rPr>
          <w:sz w:val="23"/>
        </w:rPr>
      </w:pPr>
    </w:p>
    <w:p>
      <w:pPr>
        <w:pStyle w:val="ListParagraph"/>
        <w:numPr>
          <w:ilvl w:val="1"/>
          <w:numId w:val="10"/>
        </w:numPr>
        <w:tabs>
          <w:tab w:pos="860" w:val="left" w:leader="none"/>
        </w:tabs>
        <w:spacing w:line="247" w:lineRule="auto" w:before="1" w:after="0"/>
        <w:ind w:left="859" w:right="134" w:hanging="360"/>
        <w:jc w:val="left"/>
        <w:rPr>
          <w:sz w:val="22"/>
        </w:rPr>
      </w:pPr>
      <w:r>
        <w:rPr>
          <w:color w:val="231F20"/>
          <w:sz w:val="22"/>
        </w:rPr>
        <w:t>These data were the first to be compiled in accordance with the European System of Accounts (ESA95),</w:t>
      </w:r>
      <w:r>
        <w:rPr>
          <w:color w:val="231F20"/>
          <w:position w:val="4"/>
          <w:sz w:val="12"/>
        </w:rPr>
        <w:t>(1) </w:t>
      </w:r>
      <w:r>
        <w:rPr>
          <w:color w:val="231F20"/>
          <w:sz w:val="22"/>
        </w:rPr>
        <w:t>which will be mandatory for all EU countries by 2003.</w:t>
      </w:r>
    </w:p>
    <w:p>
      <w:pPr>
        <w:pStyle w:val="BodyText"/>
        <w:spacing w:before="4"/>
        <w:rPr>
          <w:sz w:val="22"/>
        </w:rPr>
      </w:pPr>
    </w:p>
    <w:p>
      <w:pPr>
        <w:pStyle w:val="ListParagraph"/>
        <w:numPr>
          <w:ilvl w:val="1"/>
          <w:numId w:val="10"/>
        </w:numPr>
        <w:tabs>
          <w:tab w:pos="860" w:val="left" w:leader="none"/>
        </w:tabs>
        <w:spacing w:line="247" w:lineRule="auto" w:before="0" w:after="0"/>
        <w:ind w:left="860" w:right="244" w:hanging="360"/>
        <w:jc w:val="left"/>
        <w:rPr>
          <w:sz w:val="22"/>
        </w:rPr>
      </w:pPr>
      <w:r>
        <w:rPr>
          <w:color w:val="231F20"/>
          <w:sz w:val="22"/>
        </w:rPr>
        <w:t>The base year for constant-price comparisons was changed from 1990 to</w:t>
      </w:r>
      <w:r>
        <w:rPr>
          <w:color w:val="231F20"/>
          <w:spacing w:val="-1"/>
          <w:sz w:val="22"/>
        </w:rPr>
        <w:t> </w:t>
      </w:r>
      <w:r>
        <w:rPr>
          <w:color w:val="231F20"/>
          <w:sz w:val="22"/>
        </w:rPr>
        <w:t>1995.</w:t>
      </w:r>
    </w:p>
    <w:p>
      <w:pPr>
        <w:pStyle w:val="BodyText"/>
        <w:spacing w:before="6"/>
        <w:rPr>
          <w:sz w:val="22"/>
        </w:rPr>
      </w:pPr>
    </w:p>
    <w:p>
      <w:pPr>
        <w:pStyle w:val="ListParagraph"/>
        <w:numPr>
          <w:ilvl w:val="1"/>
          <w:numId w:val="10"/>
        </w:numPr>
        <w:tabs>
          <w:tab w:pos="860" w:val="left" w:leader="none"/>
        </w:tabs>
        <w:spacing w:line="247" w:lineRule="auto" w:before="0" w:after="0"/>
        <w:ind w:left="860" w:right="25" w:hanging="360"/>
        <w:jc w:val="left"/>
        <w:rPr>
          <w:sz w:val="22"/>
        </w:rPr>
      </w:pPr>
      <w:r>
        <w:rPr>
          <w:color w:val="231F20"/>
          <w:sz w:val="22"/>
        </w:rPr>
        <w:t>Existing business registers from which the</w:t>
      </w:r>
      <w:r>
        <w:rPr>
          <w:color w:val="231F20"/>
          <w:spacing w:val="-9"/>
          <w:sz w:val="22"/>
        </w:rPr>
        <w:t> </w:t>
      </w:r>
      <w:r>
        <w:rPr>
          <w:color w:val="231F20"/>
          <w:sz w:val="22"/>
        </w:rPr>
        <w:t>ONS draws its survey samples were replaced by a common register—the Inter-Departmental Business Register</w:t>
      </w:r>
      <w:r>
        <w:rPr>
          <w:color w:val="231F20"/>
          <w:spacing w:val="-1"/>
          <w:sz w:val="22"/>
        </w:rPr>
        <w:t> </w:t>
      </w:r>
      <w:r>
        <w:rPr>
          <w:color w:val="231F20"/>
          <w:sz w:val="22"/>
        </w:rPr>
        <w:t>(IDBR).</w:t>
      </w:r>
    </w:p>
    <w:p>
      <w:pPr>
        <w:pStyle w:val="BodyText"/>
        <w:spacing w:before="5"/>
        <w:rPr>
          <w:sz w:val="22"/>
        </w:rPr>
      </w:pPr>
    </w:p>
    <w:p>
      <w:pPr>
        <w:pStyle w:val="ListParagraph"/>
        <w:numPr>
          <w:ilvl w:val="1"/>
          <w:numId w:val="10"/>
        </w:numPr>
        <w:tabs>
          <w:tab w:pos="860" w:val="left" w:leader="none"/>
        </w:tabs>
        <w:spacing w:line="247" w:lineRule="auto" w:before="0" w:after="0"/>
        <w:ind w:left="860" w:right="0" w:hanging="360"/>
        <w:jc w:val="left"/>
        <w:rPr>
          <w:sz w:val="22"/>
        </w:rPr>
      </w:pPr>
      <w:r>
        <w:rPr>
          <w:color w:val="231F20"/>
          <w:sz w:val="22"/>
        </w:rPr>
        <w:t>The normal input-output balancing exercise which takes on new benchmark data was </w:t>
      </w:r>
      <w:r>
        <w:rPr>
          <w:color w:val="231F20"/>
          <w:spacing w:val="-3"/>
          <w:sz w:val="22"/>
        </w:rPr>
        <w:t>carried </w:t>
      </w:r>
      <w:r>
        <w:rPr>
          <w:color w:val="231F20"/>
          <w:sz w:val="22"/>
        </w:rPr>
        <w:t>out for 1996.</w:t>
      </w:r>
    </w:p>
    <w:p>
      <w:pPr>
        <w:pStyle w:val="BodyText"/>
        <w:spacing w:before="5"/>
        <w:rPr>
          <w:sz w:val="22"/>
        </w:rPr>
      </w:pPr>
    </w:p>
    <w:p>
      <w:pPr>
        <w:spacing w:line="247" w:lineRule="auto" w:before="0"/>
        <w:ind w:left="499" w:right="-12" w:firstLine="0"/>
        <w:jc w:val="left"/>
        <w:rPr>
          <w:sz w:val="22"/>
        </w:rPr>
      </w:pPr>
      <w:r>
        <w:rPr/>
        <w:pict>
          <v:shape style="position:absolute;margin-left:55.389999pt;margin-top:75.200325pt;width:233.35pt;height:131.550pt;mso-position-horizontal-relative:page;mso-position-vertical-relative:paragraph;z-index:1581568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0"/>
                    <w:gridCol w:w="665"/>
                    <w:gridCol w:w="106"/>
                    <w:gridCol w:w="338"/>
                    <w:gridCol w:w="104"/>
                    <w:gridCol w:w="338"/>
                    <w:gridCol w:w="114"/>
                    <w:gridCol w:w="348"/>
                    <w:gridCol w:w="54"/>
                    <w:gridCol w:w="478"/>
                  </w:tblGrid>
                  <w:tr>
                    <w:trPr>
                      <w:trHeight w:val="264" w:hRule="atLeast"/>
                    </w:trPr>
                    <w:tc>
                      <w:tcPr>
                        <w:tcW w:w="4675" w:type="dxa"/>
                        <w:gridSpan w:val="10"/>
                        <w:tcBorders>
                          <w:top w:val="single" w:sz="2" w:space="0" w:color="231F20"/>
                        </w:tcBorders>
                        <w:shd w:val="clear" w:color="auto" w:fill="FFFFFF"/>
                      </w:tcPr>
                      <w:p>
                        <w:pPr>
                          <w:pStyle w:val="TableParagraph"/>
                          <w:spacing w:line="208" w:lineRule="exact"/>
                          <w:ind w:left="20"/>
                          <w:rPr>
                            <w:b/>
                            <w:sz w:val="20"/>
                          </w:rPr>
                        </w:pPr>
                        <w:r>
                          <w:rPr>
                            <w:b/>
                            <w:color w:val="0093C1"/>
                            <w:sz w:val="20"/>
                          </w:rPr>
                          <w:t>Revisions to UK GDP</w:t>
                        </w:r>
                        <w:r>
                          <w:rPr>
                            <w:color w:val="231F20"/>
                            <w:position w:val="4"/>
                            <w:sz w:val="12"/>
                          </w:rPr>
                          <w:t>(a) </w:t>
                        </w:r>
                        <w:r>
                          <w:rPr>
                            <w:b/>
                            <w:color w:val="0093C1"/>
                            <w:sz w:val="20"/>
                          </w:rPr>
                          <w:t>since 1991</w:t>
                        </w:r>
                      </w:p>
                    </w:tc>
                  </w:tr>
                  <w:tr>
                    <w:trPr>
                      <w:trHeight w:val="258" w:hRule="atLeast"/>
                    </w:trPr>
                    <w:tc>
                      <w:tcPr>
                        <w:tcW w:w="2130" w:type="dxa"/>
                        <w:shd w:val="clear" w:color="auto" w:fill="FFFFFF"/>
                      </w:tcPr>
                      <w:p>
                        <w:pPr>
                          <w:pStyle w:val="TableParagraph"/>
                          <w:rPr>
                            <w:sz w:val="18"/>
                          </w:rPr>
                        </w:pPr>
                      </w:p>
                    </w:tc>
                    <w:tc>
                      <w:tcPr>
                        <w:tcW w:w="665" w:type="dxa"/>
                        <w:tcBorders>
                          <w:bottom w:val="single" w:sz="2" w:space="0" w:color="231F20"/>
                        </w:tcBorders>
                        <w:shd w:val="clear" w:color="auto" w:fill="FFFFFF"/>
                      </w:tcPr>
                      <w:p>
                        <w:pPr>
                          <w:pStyle w:val="TableParagraph"/>
                          <w:spacing w:before="50"/>
                          <w:ind w:left="-1"/>
                          <w:jc w:val="center"/>
                          <w:rPr>
                            <w:sz w:val="12"/>
                          </w:rPr>
                        </w:pPr>
                        <w:r>
                          <w:rPr>
                            <w:color w:val="231F20"/>
                            <w:sz w:val="14"/>
                          </w:rPr>
                          <w:t>1991–93</w:t>
                        </w:r>
                        <w:r>
                          <w:rPr>
                            <w:color w:val="231F20"/>
                            <w:spacing w:val="1"/>
                            <w:sz w:val="14"/>
                          </w:rPr>
                          <w:t> </w:t>
                        </w:r>
                        <w:r>
                          <w:rPr>
                            <w:color w:val="231F20"/>
                            <w:spacing w:val="-7"/>
                            <w:sz w:val="12"/>
                          </w:rPr>
                          <w:t>(b)</w:t>
                        </w:r>
                      </w:p>
                    </w:tc>
                    <w:tc>
                      <w:tcPr>
                        <w:tcW w:w="106" w:type="dxa"/>
                        <w:shd w:val="clear" w:color="auto" w:fill="FFFFFF"/>
                      </w:tcPr>
                      <w:p>
                        <w:pPr>
                          <w:pStyle w:val="TableParagraph"/>
                          <w:rPr>
                            <w:sz w:val="18"/>
                          </w:rPr>
                        </w:pPr>
                      </w:p>
                    </w:tc>
                    <w:tc>
                      <w:tcPr>
                        <w:tcW w:w="338" w:type="dxa"/>
                        <w:tcBorders>
                          <w:bottom w:val="single" w:sz="2" w:space="0" w:color="231F20"/>
                        </w:tcBorders>
                        <w:shd w:val="clear" w:color="auto" w:fill="FFFFFF"/>
                      </w:tcPr>
                      <w:p>
                        <w:pPr>
                          <w:pStyle w:val="TableParagraph"/>
                          <w:spacing w:before="50"/>
                          <w:ind w:left="-2" w:right="58"/>
                          <w:jc w:val="center"/>
                          <w:rPr>
                            <w:sz w:val="14"/>
                          </w:rPr>
                        </w:pPr>
                        <w:r>
                          <w:rPr>
                            <w:color w:val="231F20"/>
                            <w:sz w:val="14"/>
                          </w:rPr>
                          <w:t>1994</w:t>
                        </w:r>
                      </w:p>
                    </w:tc>
                    <w:tc>
                      <w:tcPr>
                        <w:tcW w:w="104" w:type="dxa"/>
                        <w:shd w:val="clear" w:color="auto" w:fill="FFFFFF"/>
                      </w:tcPr>
                      <w:p>
                        <w:pPr>
                          <w:pStyle w:val="TableParagraph"/>
                          <w:rPr>
                            <w:sz w:val="18"/>
                          </w:rPr>
                        </w:pPr>
                      </w:p>
                    </w:tc>
                    <w:tc>
                      <w:tcPr>
                        <w:tcW w:w="338" w:type="dxa"/>
                        <w:tcBorders>
                          <w:bottom w:val="single" w:sz="2" w:space="0" w:color="231F20"/>
                        </w:tcBorders>
                        <w:shd w:val="clear" w:color="auto" w:fill="FFFFFF"/>
                      </w:tcPr>
                      <w:p>
                        <w:pPr>
                          <w:pStyle w:val="TableParagraph"/>
                          <w:spacing w:before="50"/>
                          <w:ind w:left="-3"/>
                          <w:rPr>
                            <w:sz w:val="14"/>
                          </w:rPr>
                        </w:pPr>
                        <w:r>
                          <w:rPr>
                            <w:color w:val="231F20"/>
                            <w:sz w:val="14"/>
                          </w:rPr>
                          <w:t>1995</w:t>
                        </w:r>
                      </w:p>
                    </w:tc>
                    <w:tc>
                      <w:tcPr>
                        <w:tcW w:w="114" w:type="dxa"/>
                        <w:shd w:val="clear" w:color="auto" w:fill="FFFFFF"/>
                      </w:tcPr>
                      <w:p>
                        <w:pPr>
                          <w:pStyle w:val="TableParagraph"/>
                          <w:rPr>
                            <w:sz w:val="18"/>
                          </w:rPr>
                        </w:pPr>
                      </w:p>
                    </w:tc>
                    <w:tc>
                      <w:tcPr>
                        <w:tcW w:w="348" w:type="dxa"/>
                        <w:tcBorders>
                          <w:bottom w:val="single" w:sz="2" w:space="0" w:color="231F20"/>
                        </w:tcBorders>
                        <w:shd w:val="clear" w:color="auto" w:fill="FFFFFF"/>
                      </w:tcPr>
                      <w:p>
                        <w:pPr>
                          <w:pStyle w:val="TableParagraph"/>
                          <w:spacing w:before="50"/>
                          <w:ind w:left="-6"/>
                          <w:rPr>
                            <w:sz w:val="14"/>
                          </w:rPr>
                        </w:pPr>
                        <w:r>
                          <w:rPr>
                            <w:color w:val="231F20"/>
                            <w:sz w:val="14"/>
                          </w:rPr>
                          <w:t>1996</w:t>
                        </w:r>
                      </w:p>
                    </w:tc>
                    <w:tc>
                      <w:tcPr>
                        <w:tcW w:w="54" w:type="dxa"/>
                        <w:shd w:val="clear" w:color="auto" w:fill="FFFFFF"/>
                      </w:tcPr>
                      <w:p>
                        <w:pPr>
                          <w:pStyle w:val="TableParagraph"/>
                          <w:rPr>
                            <w:sz w:val="18"/>
                          </w:rPr>
                        </w:pPr>
                      </w:p>
                    </w:tc>
                    <w:tc>
                      <w:tcPr>
                        <w:tcW w:w="478" w:type="dxa"/>
                        <w:tcBorders>
                          <w:bottom w:val="single" w:sz="2" w:space="0" w:color="231F20"/>
                        </w:tcBorders>
                        <w:shd w:val="clear" w:color="auto" w:fill="FFFFFF"/>
                      </w:tcPr>
                      <w:p>
                        <w:pPr>
                          <w:pStyle w:val="TableParagraph"/>
                          <w:spacing w:before="50"/>
                          <w:ind w:left="-8"/>
                          <w:rPr>
                            <w:sz w:val="14"/>
                          </w:rPr>
                        </w:pPr>
                        <w:r>
                          <w:rPr>
                            <w:color w:val="231F20"/>
                            <w:sz w:val="14"/>
                          </w:rPr>
                          <w:t>1997</w:t>
                        </w:r>
                      </w:p>
                    </w:tc>
                  </w:tr>
                  <w:tr>
                    <w:trPr>
                      <w:trHeight w:val="220" w:hRule="atLeast"/>
                    </w:trPr>
                    <w:tc>
                      <w:tcPr>
                        <w:tcW w:w="2130" w:type="dxa"/>
                        <w:shd w:val="clear" w:color="auto" w:fill="FFFFFF"/>
                      </w:tcPr>
                      <w:p>
                        <w:pPr>
                          <w:pStyle w:val="TableParagraph"/>
                          <w:spacing w:line="133" w:lineRule="exact" w:before="66"/>
                          <w:ind w:left="20"/>
                          <w:rPr>
                            <w:sz w:val="14"/>
                          </w:rPr>
                        </w:pPr>
                        <w:r>
                          <w:rPr>
                            <w:color w:val="231F20"/>
                            <w:sz w:val="14"/>
                          </w:rPr>
                          <w:t>Previous annual percentage growth</w:t>
                        </w:r>
                      </w:p>
                    </w:tc>
                    <w:tc>
                      <w:tcPr>
                        <w:tcW w:w="665" w:type="dxa"/>
                        <w:tcBorders>
                          <w:top w:val="single" w:sz="2" w:space="0" w:color="231F20"/>
                        </w:tcBorders>
                        <w:shd w:val="clear" w:color="auto" w:fill="FFFFFF"/>
                      </w:tcPr>
                      <w:p>
                        <w:pPr>
                          <w:pStyle w:val="TableParagraph"/>
                          <w:spacing w:line="133" w:lineRule="exact" w:before="66"/>
                          <w:ind w:left="159" w:right="243"/>
                          <w:jc w:val="center"/>
                          <w:rPr>
                            <w:sz w:val="14"/>
                          </w:rPr>
                        </w:pPr>
                        <w:r>
                          <w:rPr>
                            <w:color w:val="231F20"/>
                            <w:sz w:val="14"/>
                          </w:rPr>
                          <w:t>-0.4</w:t>
                        </w:r>
                      </w:p>
                    </w:tc>
                    <w:tc>
                      <w:tcPr>
                        <w:tcW w:w="106" w:type="dxa"/>
                        <w:shd w:val="clear" w:color="auto" w:fill="FFFFFF"/>
                      </w:tcPr>
                      <w:p>
                        <w:pPr>
                          <w:pStyle w:val="TableParagraph"/>
                          <w:rPr>
                            <w:sz w:val="14"/>
                          </w:rPr>
                        </w:pPr>
                      </w:p>
                    </w:tc>
                    <w:tc>
                      <w:tcPr>
                        <w:tcW w:w="338" w:type="dxa"/>
                        <w:tcBorders>
                          <w:top w:val="single" w:sz="2" w:space="0" w:color="231F20"/>
                        </w:tcBorders>
                        <w:shd w:val="clear" w:color="auto" w:fill="FFFFFF"/>
                      </w:tcPr>
                      <w:p>
                        <w:pPr>
                          <w:pStyle w:val="TableParagraph"/>
                          <w:spacing w:line="133" w:lineRule="exact" w:before="66"/>
                          <w:ind w:left="5" w:right="117"/>
                          <w:jc w:val="center"/>
                          <w:rPr>
                            <w:sz w:val="14"/>
                          </w:rPr>
                        </w:pPr>
                        <w:r>
                          <w:rPr>
                            <w:color w:val="231F20"/>
                            <w:sz w:val="14"/>
                          </w:rPr>
                          <w:t>4.3</w:t>
                        </w:r>
                      </w:p>
                    </w:tc>
                    <w:tc>
                      <w:tcPr>
                        <w:tcW w:w="104" w:type="dxa"/>
                        <w:shd w:val="clear" w:color="auto" w:fill="FFFFFF"/>
                      </w:tcPr>
                      <w:p>
                        <w:pPr>
                          <w:pStyle w:val="TableParagraph"/>
                          <w:rPr>
                            <w:sz w:val="14"/>
                          </w:rPr>
                        </w:pPr>
                      </w:p>
                    </w:tc>
                    <w:tc>
                      <w:tcPr>
                        <w:tcW w:w="338" w:type="dxa"/>
                        <w:tcBorders>
                          <w:top w:val="single" w:sz="2" w:space="0" w:color="231F20"/>
                        </w:tcBorders>
                        <w:shd w:val="clear" w:color="auto" w:fill="FFFFFF"/>
                      </w:tcPr>
                      <w:p>
                        <w:pPr>
                          <w:pStyle w:val="TableParagraph"/>
                          <w:spacing w:line="133" w:lineRule="exact" w:before="66"/>
                          <w:ind w:left="42"/>
                          <w:rPr>
                            <w:sz w:val="14"/>
                          </w:rPr>
                        </w:pPr>
                        <w:r>
                          <w:rPr>
                            <w:color w:val="231F20"/>
                            <w:sz w:val="14"/>
                          </w:rPr>
                          <w:t>2.7</w:t>
                        </w:r>
                      </w:p>
                    </w:tc>
                    <w:tc>
                      <w:tcPr>
                        <w:tcW w:w="114" w:type="dxa"/>
                        <w:shd w:val="clear" w:color="auto" w:fill="FFFFFF"/>
                      </w:tcPr>
                      <w:p>
                        <w:pPr>
                          <w:pStyle w:val="TableParagraph"/>
                          <w:rPr>
                            <w:sz w:val="14"/>
                          </w:rPr>
                        </w:pPr>
                      </w:p>
                    </w:tc>
                    <w:tc>
                      <w:tcPr>
                        <w:tcW w:w="348" w:type="dxa"/>
                        <w:tcBorders>
                          <w:top w:val="single" w:sz="2" w:space="0" w:color="231F20"/>
                        </w:tcBorders>
                        <w:shd w:val="clear" w:color="auto" w:fill="FFFFFF"/>
                      </w:tcPr>
                      <w:p>
                        <w:pPr>
                          <w:pStyle w:val="TableParagraph"/>
                          <w:spacing w:line="133" w:lineRule="exact" w:before="66"/>
                          <w:ind w:left="10"/>
                          <w:rPr>
                            <w:sz w:val="14"/>
                          </w:rPr>
                        </w:pPr>
                        <w:r>
                          <w:rPr>
                            <w:color w:val="231F20"/>
                            <w:sz w:val="14"/>
                          </w:rPr>
                          <w:t>2.2</w:t>
                        </w:r>
                      </w:p>
                    </w:tc>
                    <w:tc>
                      <w:tcPr>
                        <w:tcW w:w="54" w:type="dxa"/>
                        <w:shd w:val="clear" w:color="auto" w:fill="FFFFFF"/>
                      </w:tcPr>
                      <w:p>
                        <w:pPr>
                          <w:pStyle w:val="TableParagraph"/>
                          <w:rPr>
                            <w:sz w:val="14"/>
                          </w:rPr>
                        </w:pPr>
                      </w:p>
                    </w:tc>
                    <w:tc>
                      <w:tcPr>
                        <w:tcW w:w="478" w:type="dxa"/>
                        <w:tcBorders>
                          <w:top w:val="single" w:sz="2" w:space="0" w:color="231F20"/>
                        </w:tcBorders>
                        <w:shd w:val="clear" w:color="auto" w:fill="FFFFFF"/>
                      </w:tcPr>
                      <w:p>
                        <w:pPr>
                          <w:pStyle w:val="TableParagraph"/>
                          <w:spacing w:line="133" w:lineRule="exact" w:before="66"/>
                          <w:ind w:left="28"/>
                          <w:rPr>
                            <w:sz w:val="14"/>
                          </w:rPr>
                        </w:pPr>
                        <w:r>
                          <w:rPr>
                            <w:color w:val="231F20"/>
                            <w:sz w:val="14"/>
                          </w:rPr>
                          <w:t>3.4</w:t>
                        </w:r>
                      </w:p>
                    </w:tc>
                  </w:tr>
                  <w:tr>
                    <w:trPr>
                      <w:trHeight w:val="210" w:hRule="atLeast"/>
                    </w:trPr>
                    <w:tc>
                      <w:tcPr>
                        <w:tcW w:w="2130" w:type="dxa"/>
                        <w:shd w:val="clear" w:color="auto" w:fill="FFFFFF"/>
                      </w:tcPr>
                      <w:p>
                        <w:pPr>
                          <w:pStyle w:val="TableParagraph"/>
                          <w:spacing w:line="148" w:lineRule="exact"/>
                          <w:ind w:left="20"/>
                          <w:rPr>
                            <w:sz w:val="14"/>
                          </w:rPr>
                        </w:pPr>
                        <w:r>
                          <w:rPr>
                            <w:color w:val="231F20"/>
                            <w:sz w:val="14"/>
                          </w:rPr>
                          <w:t>New annual percentage growth</w:t>
                        </w:r>
                      </w:p>
                    </w:tc>
                    <w:tc>
                      <w:tcPr>
                        <w:tcW w:w="665" w:type="dxa"/>
                        <w:shd w:val="clear" w:color="auto" w:fill="FFFFFF"/>
                      </w:tcPr>
                      <w:p>
                        <w:pPr>
                          <w:pStyle w:val="TableParagraph"/>
                          <w:spacing w:line="148" w:lineRule="exact"/>
                          <w:ind w:left="159" w:right="196"/>
                          <w:jc w:val="center"/>
                          <w:rPr>
                            <w:sz w:val="14"/>
                          </w:rPr>
                        </w:pPr>
                        <w:r>
                          <w:rPr>
                            <w:color w:val="231F20"/>
                            <w:sz w:val="14"/>
                          </w:rPr>
                          <w:t>0.9</w:t>
                        </w:r>
                      </w:p>
                    </w:tc>
                    <w:tc>
                      <w:tcPr>
                        <w:tcW w:w="106" w:type="dxa"/>
                        <w:shd w:val="clear" w:color="auto" w:fill="FFFFFF"/>
                      </w:tcPr>
                      <w:p>
                        <w:pPr>
                          <w:pStyle w:val="TableParagraph"/>
                          <w:rPr>
                            <w:sz w:val="14"/>
                          </w:rPr>
                        </w:pPr>
                      </w:p>
                    </w:tc>
                    <w:tc>
                      <w:tcPr>
                        <w:tcW w:w="338" w:type="dxa"/>
                        <w:shd w:val="clear" w:color="auto" w:fill="FFFFFF"/>
                      </w:tcPr>
                      <w:p>
                        <w:pPr>
                          <w:pStyle w:val="TableParagraph"/>
                          <w:spacing w:line="148" w:lineRule="exact"/>
                          <w:ind w:left="5" w:right="117"/>
                          <w:jc w:val="center"/>
                          <w:rPr>
                            <w:sz w:val="14"/>
                          </w:rPr>
                        </w:pPr>
                        <w:r>
                          <w:rPr>
                            <w:color w:val="231F20"/>
                            <w:sz w:val="14"/>
                          </w:rPr>
                          <w:t>4.4</w:t>
                        </w:r>
                      </w:p>
                    </w:tc>
                    <w:tc>
                      <w:tcPr>
                        <w:tcW w:w="104" w:type="dxa"/>
                        <w:shd w:val="clear" w:color="auto" w:fill="FFFFFF"/>
                      </w:tcPr>
                      <w:p>
                        <w:pPr>
                          <w:pStyle w:val="TableParagraph"/>
                          <w:rPr>
                            <w:sz w:val="14"/>
                          </w:rPr>
                        </w:pPr>
                      </w:p>
                    </w:tc>
                    <w:tc>
                      <w:tcPr>
                        <w:tcW w:w="338" w:type="dxa"/>
                        <w:shd w:val="clear" w:color="auto" w:fill="FFFFFF"/>
                      </w:tcPr>
                      <w:p>
                        <w:pPr>
                          <w:pStyle w:val="TableParagraph"/>
                          <w:spacing w:line="148" w:lineRule="exact"/>
                          <w:ind w:left="42"/>
                          <w:rPr>
                            <w:sz w:val="14"/>
                          </w:rPr>
                        </w:pPr>
                        <w:r>
                          <w:rPr>
                            <w:color w:val="231F20"/>
                            <w:sz w:val="14"/>
                          </w:rPr>
                          <w:t>2.8</w:t>
                        </w:r>
                      </w:p>
                    </w:tc>
                    <w:tc>
                      <w:tcPr>
                        <w:tcW w:w="114" w:type="dxa"/>
                        <w:shd w:val="clear" w:color="auto" w:fill="FFFFFF"/>
                      </w:tcPr>
                      <w:p>
                        <w:pPr>
                          <w:pStyle w:val="TableParagraph"/>
                          <w:rPr>
                            <w:sz w:val="14"/>
                          </w:rPr>
                        </w:pPr>
                      </w:p>
                    </w:tc>
                    <w:tc>
                      <w:tcPr>
                        <w:tcW w:w="348" w:type="dxa"/>
                        <w:shd w:val="clear" w:color="auto" w:fill="FFFFFF"/>
                      </w:tcPr>
                      <w:p>
                        <w:pPr>
                          <w:pStyle w:val="TableParagraph"/>
                          <w:spacing w:line="148" w:lineRule="exact"/>
                          <w:ind w:left="10"/>
                          <w:rPr>
                            <w:sz w:val="14"/>
                          </w:rPr>
                        </w:pPr>
                        <w:r>
                          <w:rPr>
                            <w:color w:val="231F20"/>
                            <w:sz w:val="14"/>
                          </w:rPr>
                          <w:t>2.6</w:t>
                        </w:r>
                      </w:p>
                    </w:tc>
                    <w:tc>
                      <w:tcPr>
                        <w:tcW w:w="54" w:type="dxa"/>
                        <w:shd w:val="clear" w:color="auto" w:fill="FFFFFF"/>
                      </w:tcPr>
                      <w:p>
                        <w:pPr>
                          <w:pStyle w:val="TableParagraph"/>
                          <w:rPr>
                            <w:sz w:val="14"/>
                          </w:rPr>
                        </w:pPr>
                      </w:p>
                    </w:tc>
                    <w:tc>
                      <w:tcPr>
                        <w:tcW w:w="478" w:type="dxa"/>
                        <w:shd w:val="clear" w:color="auto" w:fill="FFFFFF"/>
                      </w:tcPr>
                      <w:p>
                        <w:pPr>
                          <w:pStyle w:val="TableParagraph"/>
                          <w:spacing w:line="148" w:lineRule="exact"/>
                          <w:ind w:left="28"/>
                          <w:rPr>
                            <w:sz w:val="14"/>
                          </w:rPr>
                        </w:pPr>
                        <w:r>
                          <w:rPr>
                            <w:color w:val="231F20"/>
                            <w:sz w:val="14"/>
                          </w:rPr>
                          <w:t>3.5</w:t>
                        </w:r>
                      </w:p>
                    </w:tc>
                  </w:tr>
                  <w:tr>
                    <w:trPr>
                      <w:trHeight w:val="342" w:hRule="atLeast"/>
                    </w:trPr>
                    <w:tc>
                      <w:tcPr>
                        <w:tcW w:w="4675" w:type="dxa"/>
                        <w:gridSpan w:val="10"/>
                        <w:shd w:val="clear" w:color="auto" w:fill="FFFFFF"/>
                      </w:tcPr>
                      <w:p>
                        <w:pPr>
                          <w:pStyle w:val="TableParagraph"/>
                          <w:spacing w:before="56"/>
                          <w:ind w:left="20"/>
                          <w:rPr>
                            <w:i/>
                            <w:sz w:val="14"/>
                          </w:rPr>
                        </w:pPr>
                        <w:r>
                          <w:rPr>
                            <w:i/>
                            <w:color w:val="231F20"/>
                            <w:sz w:val="14"/>
                          </w:rPr>
                          <w:t>Contribution to change in growth rate, percentage points</w:t>
                        </w:r>
                      </w:p>
                    </w:tc>
                  </w:tr>
                  <w:tr>
                    <w:trPr>
                      <w:trHeight w:val="147" w:hRule="atLeast"/>
                    </w:trPr>
                    <w:tc>
                      <w:tcPr>
                        <w:tcW w:w="2130" w:type="dxa"/>
                        <w:shd w:val="clear" w:color="auto" w:fill="FFFFFF"/>
                      </w:tcPr>
                      <w:p>
                        <w:pPr>
                          <w:pStyle w:val="TableParagraph"/>
                          <w:spacing w:line="128" w:lineRule="exact"/>
                          <w:ind w:left="20"/>
                          <w:rPr>
                            <w:sz w:val="14"/>
                          </w:rPr>
                        </w:pPr>
                        <w:r>
                          <w:rPr>
                            <w:color w:val="231F20"/>
                            <w:sz w:val="14"/>
                          </w:rPr>
                          <w:t>ESA</w:t>
                        </w:r>
                      </w:p>
                    </w:tc>
                    <w:tc>
                      <w:tcPr>
                        <w:tcW w:w="665" w:type="dxa"/>
                        <w:shd w:val="clear" w:color="auto" w:fill="FFFFFF"/>
                      </w:tcPr>
                      <w:p>
                        <w:pPr>
                          <w:pStyle w:val="TableParagraph"/>
                          <w:spacing w:line="128" w:lineRule="exact"/>
                          <w:ind w:left="159" w:right="243"/>
                          <w:jc w:val="center"/>
                          <w:rPr>
                            <w:sz w:val="14"/>
                          </w:rPr>
                        </w:pPr>
                        <w:r>
                          <w:rPr>
                            <w:color w:val="231F20"/>
                            <w:sz w:val="14"/>
                          </w:rPr>
                          <w:t>-0.2</w:t>
                        </w:r>
                      </w:p>
                    </w:tc>
                    <w:tc>
                      <w:tcPr>
                        <w:tcW w:w="444" w:type="dxa"/>
                        <w:gridSpan w:val="2"/>
                        <w:shd w:val="clear" w:color="auto" w:fill="FFFFFF"/>
                      </w:tcPr>
                      <w:p>
                        <w:pPr>
                          <w:pStyle w:val="TableParagraph"/>
                          <w:spacing w:line="128" w:lineRule="exact"/>
                          <w:ind w:left="83"/>
                          <w:rPr>
                            <w:sz w:val="14"/>
                          </w:rPr>
                        </w:pPr>
                        <w:r>
                          <w:rPr>
                            <w:color w:val="231F20"/>
                            <w:sz w:val="14"/>
                          </w:rPr>
                          <w:t>-0.1</w:t>
                        </w:r>
                      </w:p>
                    </w:tc>
                    <w:tc>
                      <w:tcPr>
                        <w:tcW w:w="442" w:type="dxa"/>
                        <w:gridSpan w:val="2"/>
                        <w:shd w:val="clear" w:color="auto" w:fill="FFFFFF"/>
                      </w:tcPr>
                      <w:p>
                        <w:pPr>
                          <w:pStyle w:val="TableParagraph"/>
                          <w:spacing w:line="128" w:lineRule="exact"/>
                          <w:ind w:left="146"/>
                          <w:rPr>
                            <w:sz w:val="14"/>
                          </w:rPr>
                        </w:pPr>
                        <w:r>
                          <w:rPr>
                            <w:color w:val="231F20"/>
                            <w:sz w:val="14"/>
                          </w:rPr>
                          <w:t>0.1</w:t>
                        </w:r>
                      </w:p>
                    </w:tc>
                    <w:tc>
                      <w:tcPr>
                        <w:tcW w:w="462" w:type="dxa"/>
                        <w:gridSpan w:val="2"/>
                        <w:shd w:val="clear" w:color="auto" w:fill="FFFFFF"/>
                      </w:tcPr>
                      <w:p>
                        <w:pPr>
                          <w:pStyle w:val="TableParagraph"/>
                          <w:spacing w:line="128" w:lineRule="exact"/>
                          <w:ind w:left="77"/>
                          <w:rPr>
                            <w:sz w:val="14"/>
                          </w:rPr>
                        </w:pPr>
                        <w:r>
                          <w:rPr>
                            <w:color w:val="231F20"/>
                            <w:sz w:val="14"/>
                          </w:rPr>
                          <w:t>-0.1</w:t>
                        </w:r>
                      </w:p>
                    </w:tc>
                    <w:tc>
                      <w:tcPr>
                        <w:tcW w:w="532" w:type="dxa"/>
                        <w:gridSpan w:val="2"/>
                        <w:shd w:val="clear" w:color="auto" w:fill="FFFFFF"/>
                      </w:tcPr>
                      <w:p>
                        <w:pPr>
                          <w:pStyle w:val="TableParagraph"/>
                          <w:spacing w:line="128" w:lineRule="exact"/>
                          <w:ind w:left="82"/>
                          <w:rPr>
                            <w:sz w:val="14"/>
                          </w:rPr>
                        </w:pPr>
                        <w:r>
                          <w:rPr>
                            <w:color w:val="231F20"/>
                            <w:sz w:val="14"/>
                          </w:rPr>
                          <w:t>0.1</w:t>
                        </w:r>
                      </w:p>
                    </w:tc>
                  </w:tr>
                  <w:tr>
                    <w:trPr>
                      <w:trHeight w:val="140" w:hRule="atLeast"/>
                    </w:trPr>
                    <w:tc>
                      <w:tcPr>
                        <w:tcW w:w="2130" w:type="dxa"/>
                        <w:shd w:val="clear" w:color="auto" w:fill="FFFFFF"/>
                      </w:tcPr>
                      <w:p>
                        <w:pPr>
                          <w:pStyle w:val="TableParagraph"/>
                          <w:spacing w:line="120" w:lineRule="exact"/>
                          <w:ind w:left="20"/>
                          <w:rPr>
                            <w:sz w:val="14"/>
                          </w:rPr>
                        </w:pPr>
                        <w:r>
                          <w:rPr>
                            <w:color w:val="231F20"/>
                            <w:sz w:val="14"/>
                          </w:rPr>
                          <w:t>Rebasing</w:t>
                        </w:r>
                      </w:p>
                    </w:tc>
                    <w:tc>
                      <w:tcPr>
                        <w:tcW w:w="665" w:type="dxa"/>
                        <w:shd w:val="clear" w:color="auto" w:fill="FFFFFF"/>
                      </w:tcPr>
                      <w:p>
                        <w:pPr>
                          <w:pStyle w:val="TableParagraph"/>
                          <w:spacing w:line="120" w:lineRule="exact"/>
                          <w:ind w:left="159" w:right="196"/>
                          <w:jc w:val="center"/>
                          <w:rPr>
                            <w:sz w:val="14"/>
                          </w:rPr>
                        </w:pPr>
                        <w:r>
                          <w:rPr>
                            <w:color w:val="231F20"/>
                            <w:sz w:val="14"/>
                          </w:rPr>
                          <w:t>0.0</w:t>
                        </w:r>
                      </w:p>
                    </w:tc>
                    <w:tc>
                      <w:tcPr>
                        <w:tcW w:w="444" w:type="dxa"/>
                        <w:gridSpan w:val="2"/>
                        <w:shd w:val="clear" w:color="auto" w:fill="FFFFFF"/>
                      </w:tcPr>
                      <w:p>
                        <w:pPr>
                          <w:pStyle w:val="TableParagraph"/>
                          <w:spacing w:line="120" w:lineRule="exact"/>
                          <w:ind w:left="129"/>
                          <w:rPr>
                            <w:sz w:val="14"/>
                          </w:rPr>
                        </w:pPr>
                        <w:r>
                          <w:rPr>
                            <w:color w:val="231F20"/>
                            <w:sz w:val="14"/>
                          </w:rPr>
                          <w:t>0.0</w:t>
                        </w:r>
                      </w:p>
                    </w:tc>
                    <w:tc>
                      <w:tcPr>
                        <w:tcW w:w="442" w:type="dxa"/>
                        <w:gridSpan w:val="2"/>
                        <w:shd w:val="clear" w:color="auto" w:fill="FFFFFF"/>
                      </w:tcPr>
                      <w:p>
                        <w:pPr>
                          <w:pStyle w:val="TableParagraph"/>
                          <w:spacing w:line="120" w:lineRule="exact"/>
                          <w:ind w:left="99"/>
                          <w:rPr>
                            <w:sz w:val="14"/>
                          </w:rPr>
                        </w:pPr>
                        <w:r>
                          <w:rPr>
                            <w:color w:val="231F20"/>
                            <w:sz w:val="14"/>
                          </w:rPr>
                          <w:t>-0.1</w:t>
                        </w:r>
                      </w:p>
                    </w:tc>
                    <w:tc>
                      <w:tcPr>
                        <w:tcW w:w="462" w:type="dxa"/>
                        <w:gridSpan w:val="2"/>
                        <w:shd w:val="clear" w:color="auto" w:fill="FFFFFF"/>
                      </w:tcPr>
                      <w:p>
                        <w:pPr>
                          <w:pStyle w:val="TableParagraph"/>
                          <w:spacing w:line="120" w:lineRule="exact"/>
                          <w:ind w:left="77"/>
                          <w:rPr>
                            <w:sz w:val="14"/>
                          </w:rPr>
                        </w:pPr>
                        <w:r>
                          <w:rPr>
                            <w:color w:val="231F20"/>
                            <w:sz w:val="14"/>
                          </w:rPr>
                          <w:t>-0.2</w:t>
                        </w:r>
                      </w:p>
                    </w:tc>
                    <w:tc>
                      <w:tcPr>
                        <w:tcW w:w="532" w:type="dxa"/>
                        <w:gridSpan w:val="2"/>
                        <w:shd w:val="clear" w:color="auto" w:fill="FFFFFF"/>
                      </w:tcPr>
                      <w:p>
                        <w:pPr>
                          <w:pStyle w:val="TableParagraph"/>
                          <w:spacing w:line="120" w:lineRule="exact"/>
                          <w:ind w:left="35"/>
                          <w:rPr>
                            <w:sz w:val="14"/>
                          </w:rPr>
                        </w:pPr>
                        <w:r>
                          <w:rPr>
                            <w:color w:val="231F20"/>
                            <w:sz w:val="14"/>
                          </w:rPr>
                          <w:t>-0.4</w:t>
                        </w:r>
                      </w:p>
                    </w:tc>
                  </w:tr>
                  <w:tr>
                    <w:trPr>
                      <w:trHeight w:val="140" w:hRule="atLeast"/>
                    </w:trPr>
                    <w:tc>
                      <w:tcPr>
                        <w:tcW w:w="2130" w:type="dxa"/>
                        <w:shd w:val="clear" w:color="auto" w:fill="FFFFFF"/>
                      </w:tcPr>
                      <w:p>
                        <w:pPr>
                          <w:pStyle w:val="TableParagraph"/>
                          <w:spacing w:line="120" w:lineRule="exact"/>
                          <w:ind w:left="20"/>
                          <w:rPr>
                            <w:sz w:val="14"/>
                          </w:rPr>
                        </w:pPr>
                        <w:r>
                          <w:rPr>
                            <w:color w:val="231F20"/>
                            <w:sz w:val="14"/>
                          </w:rPr>
                          <w:t>Non-ESA</w:t>
                        </w:r>
                      </w:p>
                    </w:tc>
                    <w:tc>
                      <w:tcPr>
                        <w:tcW w:w="665" w:type="dxa"/>
                        <w:shd w:val="clear" w:color="auto" w:fill="FFFFFF"/>
                      </w:tcPr>
                      <w:p>
                        <w:pPr>
                          <w:pStyle w:val="TableParagraph"/>
                          <w:spacing w:line="120" w:lineRule="exact"/>
                          <w:ind w:left="159" w:right="196"/>
                          <w:jc w:val="center"/>
                          <w:rPr>
                            <w:sz w:val="14"/>
                          </w:rPr>
                        </w:pPr>
                        <w:r>
                          <w:rPr>
                            <w:color w:val="231F20"/>
                            <w:sz w:val="14"/>
                          </w:rPr>
                          <w:t>1.5</w:t>
                        </w:r>
                      </w:p>
                    </w:tc>
                    <w:tc>
                      <w:tcPr>
                        <w:tcW w:w="444" w:type="dxa"/>
                        <w:gridSpan w:val="2"/>
                        <w:shd w:val="clear" w:color="auto" w:fill="FFFFFF"/>
                      </w:tcPr>
                      <w:p>
                        <w:pPr>
                          <w:pStyle w:val="TableParagraph"/>
                          <w:spacing w:line="120" w:lineRule="exact"/>
                          <w:ind w:left="130"/>
                          <w:rPr>
                            <w:sz w:val="14"/>
                          </w:rPr>
                        </w:pPr>
                        <w:r>
                          <w:rPr>
                            <w:color w:val="231F20"/>
                            <w:sz w:val="14"/>
                          </w:rPr>
                          <w:t>0.2</w:t>
                        </w:r>
                      </w:p>
                    </w:tc>
                    <w:tc>
                      <w:tcPr>
                        <w:tcW w:w="442" w:type="dxa"/>
                        <w:gridSpan w:val="2"/>
                        <w:shd w:val="clear" w:color="auto" w:fill="FFFFFF"/>
                      </w:tcPr>
                      <w:p>
                        <w:pPr>
                          <w:pStyle w:val="TableParagraph"/>
                          <w:spacing w:line="120" w:lineRule="exact"/>
                          <w:ind w:left="146"/>
                          <w:rPr>
                            <w:sz w:val="14"/>
                          </w:rPr>
                        </w:pPr>
                        <w:r>
                          <w:rPr>
                            <w:color w:val="231F20"/>
                            <w:sz w:val="14"/>
                          </w:rPr>
                          <w:t>0.1</w:t>
                        </w:r>
                      </w:p>
                    </w:tc>
                    <w:tc>
                      <w:tcPr>
                        <w:tcW w:w="462" w:type="dxa"/>
                        <w:gridSpan w:val="2"/>
                        <w:shd w:val="clear" w:color="auto" w:fill="FFFFFF"/>
                      </w:tcPr>
                      <w:p>
                        <w:pPr>
                          <w:pStyle w:val="TableParagraph"/>
                          <w:spacing w:line="120" w:lineRule="exact"/>
                          <w:ind w:left="124"/>
                          <w:rPr>
                            <w:sz w:val="14"/>
                          </w:rPr>
                        </w:pPr>
                        <w:r>
                          <w:rPr>
                            <w:color w:val="231F20"/>
                            <w:sz w:val="14"/>
                          </w:rPr>
                          <w:t>0.6</w:t>
                        </w:r>
                      </w:p>
                    </w:tc>
                    <w:tc>
                      <w:tcPr>
                        <w:tcW w:w="532" w:type="dxa"/>
                        <w:gridSpan w:val="2"/>
                        <w:shd w:val="clear" w:color="auto" w:fill="FFFFFF"/>
                      </w:tcPr>
                      <w:p>
                        <w:pPr>
                          <w:pStyle w:val="TableParagraph"/>
                          <w:spacing w:line="120" w:lineRule="exact"/>
                          <w:ind w:left="82"/>
                          <w:rPr>
                            <w:sz w:val="14"/>
                          </w:rPr>
                        </w:pPr>
                        <w:r>
                          <w:rPr>
                            <w:color w:val="231F20"/>
                            <w:sz w:val="14"/>
                          </w:rPr>
                          <w:t>0.4</w:t>
                        </w:r>
                      </w:p>
                    </w:tc>
                  </w:tr>
                  <w:tr>
                    <w:trPr>
                      <w:trHeight w:val="208" w:hRule="atLeast"/>
                    </w:trPr>
                    <w:tc>
                      <w:tcPr>
                        <w:tcW w:w="2130" w:type="dxa"/>
                        <w:shd w:val="clear" w:color="auto" w:fill="FFFFFF"/>
                      </w:tcPr>
                      <w:p>
                        <w:pPr>
                          <w:pStyle w:val="TableParagraph"/>
                          <w:spacing w:line="148" w:lineRule="exact"/>
                          <w:ind w:left="20"/>
                          <w:rPr>
                            <w:b/>
                            <w:sz w:val="14"/>
                          </w:rPr>
                        </w:pPr>
                        <w:r>
                          <w:rPr>
                            <w:b/>
                            <w:color w:val="231F20"/>
                            <w:sz w:val="14"/>
                          </w:rPr>
                          <w:t>Total change</w:t>
                        </w:r>
                      </w:p>
                    </w:tc>
                    <w:tc>
                      <w:tcPr>
                        <w:tcW w:w="665" w:type="dxa"/>
                        <w:shd w:val="clear" w:color="auto" w:fill="FFFFFF"/>
                      </w:tcPr>
                      <w:p>
                        <w:pPr>
                          <w:pStyle w:val="TableParagraph"/>
                          <w:spacing w:line="148" w:lineRule="exact"/>
                          <w:ind w:left="159" w:right="196"/>
                          <w:jc w:val="center"/>
                          <w:rPr>
                            <w:b/>
                            <w:sz w:val="14"/>
                          </w:rPr>
                        </w:pPr>
                        <w:r>
                          <w:rPr>
                            <w:b/>
                            <w:color w:val="231F20"/>
                            <w:sz w:val="14"/>
                          </w:rPr>
                          <w:t>1.3</w:t>
                        </w:r>
                      </w:p>
                    </w:tc>
                    <w:tc>
                      <w:tcPr>
                        <w:tcW w:w="444" w:type="dxa"/>
                        <w:gridSpan w:val="2"/>
                        <w:shd w:val="clear" w:color="auto" w:fill="FFFFFF"/>
                      </w:tcPr>
                      <w:p>
                        <w:pPr>
                          <w:pStyle w:val="TableParagraph"/>
                          <w:spacing w:line="148" w:lineRule="exact"/>
                          <w:ind w:left="129"/>
                          <w:rPr>
                            <w:b/>
                            <w:sz w:val="14"/>
                          </w:rPr>
                        </w:pPr>
                        <w:r>
                          <w:rPr>
                            <w:b/>
                            <w:color w:val="231F20"/>
                            <w:sz w:val="14"/>
                          </w:rPr>
                          <w:t>0.1</w:t>
                        </w:r>
                      </w:p>
                    </w:tc>
                    <w:tc>
                      <w:tcPr>
                        <w:tcW w:w="442" w:type="dxa"/>
                        <w:gridSpan w:val="2"/>
                        <w:shd w:val="clear" w:color="auto" w:fill="FFFFFF"/>
                      </w:tcPr>
                      <w:p>
                        <w:pPr>
                          <w:pStyle w:val="TableParagraph"/>
                          <w:spacing w:line="148" w:lineRule="exact"/>
                          <w:ind w:left="146"/>
                          <w:rPr>
                            <w:b/>
                            <w:sz w:val="14"/>
                          </w:rPr>
                        </w:pPr>
                        <w:r>
                          <w:rPr>
                            <w:b/>
                            <w:color w:val="231F20"/>
                            <w:sz w:val="14"/>
                          </w:rPr>
                          <w:t>0.1</w:t>
                        </w:r>
                      </w:p>
                    </w:tc>
                    <w:tc>
                      <w:tcPr>
                        <w:tcW w:w="462" w:type="dxa"/>
                        <w:gridSpan w:val="2"/>
                        <w:shd w:val="clear" w:color="auto" w:fill="FFFFFF"/>
                      </w:tcPr>
                      <w:p>
                        <w:pPr>
                          <w:pStyle w:val="TableParagraph"/>
                          <w:spacing w:line="148" w:lineRule="exact"/>
                          <w:ind w:left="124"/>
                          <w:rPr>
                            <w:b/>
                            <w:sz w:val="14"/>
                          </w:rPr>
                        </w:pPr>
                        <w:r>
                          <w:rPr>
                            <w:b/>
                            <w:color w:val="231F20"/>
                            <w:sz w:val="14"/>
                          </w:rPr>
                          <w:t>0.4</w:t>
                        </w:r>
                      </w:p>
                    </w:tc>
                    <w:tc>
                      <w:tcPr>
                        <w:tcW w:w="532" w:type="dxa"/>
                        <w:gridSpan w:val="2"/>
                        <w:shd w:val="clear" w:color="auto" w:fill="FFFFFF"/>
                      </w:tcPr>
                      <w:p>
                        <w:pPr>
                          <w:pStyle w:val="TableParagraph"/>
                          <w:spacing w:line="148" w:lineRule="exact"/>
                          <w:ind w:left="82"/>
                          <w:rPr>
                            <w:b/>
                            <w:sz w:val="14"/>
                          </w:rPr>
                        </w:pPr>
                        <w:r>
                          <w:rPr>
                            <w:b/>
                            <w:color w:val="231F20"/>
                            <w:sz w:val="14"/>
                          </w:rPr>
                          <w:t>0.1</w:t>
                        </w:r>
                      </w:p>
                    </w:tc>
                  </w:tr>
                  <w:tr>
                    <w:trPr>
                      <w:trHeight w:val="247" w:hRule="atLeast"/>
                    </w:trPr>
                    <w:tc>
                      <w:tcPr>
                        <w:tcW w:w="2130" w:type="dxa"/>
                        <w:shd w:val="clear" w:color="auto" w:fill="FFFFFF"/>
                      </w:tcPr>
                      <w:p>
                        <w:pPr>
                          <w:pStyle w:val="TableParagraph"/>
                          <w:spacing w:before="56"/>
                          <w:ind w:left="20"/>
                          <w:rPr>
                            <w:sz w:val="12"/>
                          </w:rPr>
                        </w:pPr>
                        <w:r>
                          <w:rPr>
                            <w:color w:val="231F20"/>
                            <w:sz w:val="12"/>
                          </w:rPr>
                          <w:t>Source: ONS Blue Book 1998.</w:t>
                        </w:r>
                      </w:p>
                    </w:tc>
                    <w:tc>
                      <w:tcPr>
                        <w:tcW w:w="665" w:type="dxa"/>
                        <w:shd w:val="clear" w:color="auto" w:fill="FFFFFF"/>
                      </w:tcPr>
                      <w:p>
                        <w:pPr>
                          <w:pStyle w:val="TableParagraph"/>
                          <w:rPr>
                            <w:sz w:val="18"/>
                          </w:rPr>
                        </w:pPr>
                      </w:p>
                    </w:tc>
                    <w:tc>
                      <w:tcPr>
                        <w:tcW w:w="444" w:type="dxa"/>
                        <w:gridSpan w:val="2"/>
                        <w:shd w:val="clear" w:color="auto" w:fill="FFFFFF"/>
                      </w:tcPr>
                      <w:p>
                        <w:pPr>
                          <w:pStyle w:val="TableParagraph"/>
                          <w:rPr>
                            <w:sz w:val="18"/>
                          </w:rPr>
                        </w:pPr>
                      </w:p>
                    </w:tc>
                    <w:tc>
                      <w:tcPr>
                        <w:tcW w:w="442" w:type="dxa"/>
                        <w:gridSpan w:val="2"/>
                        <w:shd w:val="clear" w:color="auto" w:fill="FFFFFF"/>
                      </w:tcPr>
                      <w:p>
                        <w:pPr>
                          <w:pStyle w:val="TableParagraph"/>
                          <w:rPr>
                            <w:sz w:val="18"/>
                          </w:rPr>
                        </w:pPr>
                      </w:p>
                    </w:tc>
                    <w:tc>
                      <w:tcPr>
                        <w:tcW w:w="462" w:type="dxa"/>
                        <w:gridSpan w:val="2"/>
                        <w:shd w:val="clear" w:color="auto" w:fill="FFFFFF"/>
                      </w:tcPr>
                      <w:p>
                        <w:pPr>
                          <w:pStyle w:val="TableParagraph"/>
                          <w:rPr>
                            <w:sz w:val="18"/>
                          </w:rPr>
                        </w:pPr>
                      </w:p>
                    </w:tc>
                    <w:tc>
                      <w:tcPr>
                        <w:tcW w:w="532" w:type="dxa"/>
                        <w:gridSpan w:val="2"/>
                        <w:shd w:val="clear" w:color="auto" w:fill="FFFFFF"/>
                      </w:tcPr>
                      <w:p>
                        <w:pPr>
                          <w:pStyle w:val="TableParagraph"/>
                          <w:rPr>
                            <w:sz w:val="18"/>
                          </w:rPr>
                        </w:pPr>
                      </w:p>
                    </w:tc>
                  </w:tr>
                  <w:tr>
                    <w:trPr>
                      <w:trHeight w:val="438" w:hRule="atLeast"/>
                    </w:trPr>
                    <w:tc>
                      <w:tcPr>
                        <w:tcW w:w="2130" w:type="dxa"/>
                        <w:tcBorders>
                          <w:bottom w:val="single" w:sz="2" w:space="0" w:color="231F20"/>
                        </w:tcBorders>
                        <w:shd w:val="clear" w:color="auto" w:fill="FFFFFF"/>
                      </w:tcPr>
                      <w:p>
                        <w:pPr>
                          <w:pStyle w:val="TableParagraph"/>
                          <w:numPr>
                            <w:ilvl w:val="0"/>
                            <w:numId w:val="11"/>
                          </w:numPr>
                          <w:tabs>
                            <w:tab w:pos="260" w:val="left" w:leader="none"/>
                          </w:tabs>
                          <w:spacing w:line="129" w:lineRule="exact" w:before="48" w:after="0"/>
                          <w:ind w:left="259" w:right="0" w:hanging="240"/>
                          <w:jc w:val="left"/>
                          <w:rPr>
                            <w:sz w:val="12"/>
                          </w:rPr>
                        </w:pPr>
                        <w:r>
                          <w:rPr>
                            <w:color w:val="231F20"/>
                            <w:sz w:val="12"/>
                          </w:rPr>
                          <w:t>Constant market prices.</w:t>
                        </w:r>
                      </w:p>
                      <w:p>
                        <w:pPr>
                          <w:pStyle w:val="TableParagraph"/>
                          <w:numPr>
                            <w:ilvl w:val="0"/>
                            <w:numId w:val="11"/>
                          </w:numPr>
                          <w:tabs>
                            <w:tab w:pos="261" w:val="left" w:leader="none"/>
                          </w:tabs>
                          <w:spacing w:line="129" w:lineRule="exact" w:before="0" w:after="0"/>
                          <w:ind w:left="260" w:right="0" w:hanging="241"/>
                          <w:jc w:val="left"/>
                          <w:rPr>
                            <w:sz w:val="12"/>
                          </w:rPr>
                        </w:pPr>
                        <w:r>
                          <w:rPr>
                            <w:color w:val="231F20"/>
                            <w:sz w:val="12"/>
                          </w:rPr>
                          <w:t>Figures are cumulative.</w:t>
                        </w:r>
                      </w:p>
                    </w:tc>
                    <w:tc>
                      <w:tcPr>
                        <w:tcW w:w="665" w:type="dxa"/>
                        <w:tcBorders>
                          <w:bottom w:val="single" w:sz="2" w:space="0" w:color="231F20"/>
                        </w:tcBorders>
                        <w:shd w:val="clear" w:color="auto" w:fill="FFFFFF"/>
                      </w:tcPr>
                      <w:p>
                        <w:pPr>
                          <w:pStyle w:val="TableParagraph"/>
                          <w:rPr>
                            <w:sz w:val="20"/>
                          </w:rPr>
                        </w:pPr>
                      </w:p>
                    </w:tc>
                    <w:tc>
                      <w:tcPr>
                        <w:tcW w:w="444" w:type="dxa"/>
                        <w:gridSpan w:val="2"/>
                        <w:tcBorders>
                          <w:bottom w:val="single" w:sz="2" w:space="0" w:color="231F20"/>
                        </w:tcBorders>
                        <w:shd w:val="clear" w:color="auto" w:fill="FFFFFF"/>
                      </w:tcPr>
                      <w:p>
                        <w:pPr>
                          <w:pStyle w:val="TableParagraph"/>
                          <w:rPr>
                            <w:sz w:val="20"/>
                          </w:rPr>
                        </w:pPr>
                      </w:p>
                    </w:tc>
                    <w:tc>
                      <w:tcPr>
                        <w:tcW w:w="442" w:type="dxa"/>
                        <w:gridSpan w:val="2"/>
                        <w:tcBorders>
                          <w:bottom w:val="single" w:sz="2" w:space="0" w:color="231F20"/>
                        </w:tcBorders>
                        <w:shd w:val="clear" w:color="auto" w:fill="FFFFFF"/>
                      </w:tcPr>
                      <w:p>
                        <w:pPr>
                          <w:pStyle w:val="TableParagraph"/>
                          <w:rPr>
                            <w:sz w:val="20"/>
                          </w:rPr>
                        </w:pPr>
                      </w:p>
                    </w:tc>
                    <w:tc>
                      <w:tcPr>
                        <w:tcW w:w="462" w:type="dxa"/>
                        <w:gridSpan w:val="2"/>
                        <w:tcBorders>
                          <w:bottom w:val="single" w:sz="2" w:space="0" w:color="231F20"/>
                        </w:tcBorders>
                        <w:shd w:val="clear" w:color="auto" w:fill="FFFFFF"/>
                      </w:tcPr>
                      <w:p>
                        <w:pPr>
                          <w:pStyle w:val="TableParagraph"/>
                          <w:rPr>
                            <w:sz w:val="20"/>
                          </w:rPr>
                        </w:pPr>
                      </w:p>
                    </w:tc>
                    <w:tc>
                      <w:tcPr>
                        <w:tcW w:w="532" w:type="dxa"/>
                        <w:gridSpan w:val="2"/>
                        <w:tcBorders>
                          <w:bottom w:val="single" w:sz="2" w:space="0" w:color="231F20"/>
                        </w:tcBorders>
                        <w:shd w:val="clear" w:color="auto" w:fill="FFFFFF"/>
                      </w:tcPr>
                      <w:p>
                        <w:pPr>
                          <w:pStyle w:val="TableParagraph"/>
                          <w:rPr>
                            <w:sz w:val="20"/>
                          </w:rPr>
                        </w:pPr>
                      </w:p>
                    </w:tc>
                  </w:tr>
                </w:tbl>
                <w:p>
                  <w:pPr>
                    <w:pStyle w:val="BodyText"/>
                  </w:pPr>
                </w:p>
              </w:txbxContent>
            </v:textbox>
            <w10:wrap type="none"/>
          </v:shape>
        </w:pict>
      </w:r>
      <w:r>
        <w:rPr>
          <w:color w:val="231F20"/>
          <w:sz w:val="22"/>
        </w:rPr>
        <w:t>The extent of these revisions makes comparisons with the previous data set problematic. Both the level and recent growth profile of GDP have changed. The table below summarises the main changes since 1994 to growth rates and their source.</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1"/>
        <w:rPr>
          <w:sz w:val="31"/>
        </w:rPr>
      </w:pPr>
    </w:p>
    <w:p>
      <w:pPr>
        <w:spacing w:line="247" w:lineRule="auto" w:before="0"/>
        <w:ind w:left="499" w:right="-12" w:firstLine="0"/>
        <w:jc w:val="left"/>
        <w:rPr>
          <w:sz w:val="22"/>
        </w:rPr>
      </w:pPr>
      <w:r>
        <w:rPr>
          <w:color w:val="231F20"/>
          <w:sz w:val="22"/>
        </w:rPr>
        <w:t>The level of GDP at current market prices in 1997 </w:t>
      </w:r>
      <w:r>
        <w:rPr>
          <w:color w:val="231F20"/>
          <w:spacing w:val="-9"/>
          <w:sz w:val="22"/>
        </w:rPr>
        <w:t>is </w:t>
      </w:r>
      <w:r>
        <w:rPr>
          <w:color w:val="231F20"/>
          <w:sz w:val="22"/>
        </w:rPr>
        <w:t>now £15.4 billion higher than under the previous set of accounts. The introduction of ESA95, which resulted in revisions as far back as 1948, accounted for £2.4 billion, but had only a negligible impact on recent growth rates.</w:t>
      </w:r>
    </w:p>
    <w:p>
      <w:pPr>
        <w:pStyle w:val="BodyText"/>
        <w:spacing w:before="4"/>
        <w:rPr>
          <w:sz w:val="22"/>
        </w:rPr>
      </w:pPr>
    </w:p>
    <w:p>
      <w:pPr>
        <w:spacing w:line="247" w:lineRule="auto" w:before="0"/>
        <w:ind w:left="499" w:right="0" w:firstLine="0"/>
        <w:jc w:val="left"/>
        <w:rPr>
          <w:sz w:val="22"/>
        </w:rPr>
      </w:pPr>
      <w:r>
        <w:rPr>
          <w:color w:val="231F20"/>
          <w:sz w:val="22"/>
        </w:rPr>
        <w:t>In real terms, cumulative GDP growth (at market prices) between 1991 Q1 and 1998 Q2 is now</w:t>
      </w:r>
    </w:p>
    <w:p>
      <w:pPr>
        <w:spacing w:line="247" w:lineRule="auto" w:before="91"/>
        <w:ind w:left="472" w:right="555" w:firstLine="0"/>
        <w:jc w:val="left"/>
        <w:rPr>
          <w:sz w:val="22"/>
        </w:rPr>
      </w:pPr>
      <w:r>
        <w:rPr/>
        <w:br w:type="column"/>
      </w:r>
      <w:r>
        <w:rPr>
          <w:color w:val="231F20"/>
          <w:sz w:val="22"/>
        </w:rPr>
        <w:t>estimated to be nearly 2% higher than previously thought. Rebasing is estimated to have reduced real GDP growth by 0.7 percentage points since 1995, implying that other changes to the data would have left GDP growth 2.6% higher since 1991 Q1.</w:t>
      </w:r>
    </w:p>
    <w:p>
      <w:pPr>
        <w:pStyle w:val="BodyText"/>
        <w:spacing w:before="4"/>
        <w:rPr>
          <w:sz w:val="22"/>
        </w:rPr>
      </w:pPr>
    </w:p>
    <w:p>
      <w:pPr>
        <w:spacing w:line="247" w:lineRule="auto" w:before="0"/>
        <w:ind w:left="472" w:right="555" w:firstLine="0"/>
        <w:jc w:val="left"/>
        <w:rPr>
          <w:sz w:val="22"/>
        </w:rPr>
      </w:pPr>
      <w:r>
        <w:rPr>
          <w:color w:val="231F20"/>
          <w:sz w:val="22"/>
        </w:rPr>
        <w:t>Average annual growth in real GDP in the last decade is now 2.2%, compared with 2.0% in the previous accounts (see Chart 1). The revisions to GDP occur principally in two time periods. Around two thirds of the upward revision occurs between 1991–93, which reduced the measured depth of the recession. And growth is higher since 1994, particularly since 1996.</w:t>
      </w:r>
    </w:p>
    <w:p>
      <w:pPr>
        <w:pStyle w:val="BodyText"/>
        <w:spacing w:before="2"/>
        <w:rPr>
          <w:sz w:val="22"/>
        </w:rPr>
      </w:pPr>
    </w:p>
    <w:p>
      <w:pPr>
        <w:spacing w:line="247" w:lineRule="auto" w:before="0"/>
        <w:ind w:left="472" w:right="575" w:firstLine="0"/>
        <w:jc w:val="left"/>
        <w:rPr>
          <w:sz w:val="22"/>
        </w:rPr>
      </w:pPr>
      <w:r>
        <w:rPr>
          <w:color w:val="231F20"/>
          <w:sz w:val="22"/>
        </w:rPr>
        <w:t>The upward revision to GDP, particularly since 1996, mainly reflects higher fixed investment (see Chart 2), which affects both the demand and supply sides of the economy. The peak in GDP growth now occurs in 1997 Q4, one quarter later than previously thought. But the slowdown in domestic demand, and particularly in household expenditure, since 1997 Q4 is more marked. Growth in household expenditure in the year to 1998 Q2 is now estimated to have been 2.8%, compared with 3.8% in the previous accounts. By contrast, the contribution to growth from net trade is now less negative (see Chart 3). This is primarily owing to higher exports of services. Investment income has also been revised up, significantly reducing the current account deficit in 1997 and 1998 Q1 (see Chart 4).</w:t>
      </w:r>
    </w:p>
    <w:p>
      <w:pPr>
        <w:pStyle w:val="BodyText"/>
        <w:spacing w:before="9"/>
        <w:rPr>
          <w:sz w:val="21"/>
        </w:rPr>
      </w:pPr>
    </w:p>
    <w:p>
      <w:pPr>
        <w:spacing w:line="247" w:lineRule="auto" w:before="0"/>
        <w:ind w:left="472" w:right="555" w:firstLine="0"/>
        <w:jc w:val="left"/>
        <w:rPr>
          <w:sz w:val="22"/>
        </w:rPr>
      </w:pPr>
      <w:r>
        <w:rPr>
          <w:color w:val="231F20"/>
          <w:sz w:val="22"/>
        </w:rPr>
        <w:t>On the output side, the relative sizes of the broad industrial groups have changed. Chart 5 shows how sectoral shares of the economy have changed between 1990 and 1995. The weight of manufacturing in the economy has fallen, but the service sector’s weight has risen to almost two thirds of the economy. Over the recovery as a whole, cumulative service sector growth has been revised up by 1.5 percentage points (see Chart 6).</w:t>
      </w:r>
    </w:p>
    <w:p>
      <w:pPr>
        <w:spacing w:line="247" w:lineRule="auto" w:before="0"/>
        <w:ind w:left="472" w:right="413" w:firstLine="0"/>
        <w:jc w:val="left"/>
        <w:rPr>
          <w:sz w:val="22"/>
        </w:rPr>
      </w:pPr>
      <w:r>
        <w:rPr>
          <w:color w:val="231F20"/>
          <w:sz w:val="22"/>
        </w:rPr>
        <w:t>That largely reflects a methodological improvement to the measure of government output.</w:t>
      </w:r>
    </w:p>
    <w:p>
      <w:pPr>
        <w:spacing w:line="247" w:lineRule="auto" w:before="0"/>
        <w:ind w:left="472" w:right="757" w:firstLine="0"/>
        <w:jc w:val="left"/>
        <w:rPr>
          <w:sz w:val="22"/>
        </w:rPr>
      </w:pPr>
      <w:r>
        <w:rPr>
          <w:color w:val="231F20"/>
          <w:sz w:val="22"/>
        </w:rPr>
        <w:t>Manufacturing output growth since 1992 Q2 is unchanged, but was 0.7 percentage points higher between 1997 Q3 and 1998 Q2. Nonetheless, the divergence between ONS and survey data since 1995, which has been highlighted in the past, still remains a puzzle.</w:t>
      </w:r>
    </w:p>
    <w:p>
      <w:pPr>
        <w:spacing w:after="0" w:line="247" w:lineRule="auto"/>
        <w:jc w:val="left"/>
        <w:rPr>
          <w:sz w:val="22"/>
        </w:rPr>
        <w:sectPr>
          <w:type w:val="continuous"/>
          <w:pgSz w:w="11900" w:h="16840"/>
          <w:pgMar w:top="1220" w:bottom="280" w:left="620" w:right="520"/>
          <w:cols w:num="2" w:equalWidth="0">
            <w:col w:w="5108" w:space="40"/>
            <w:col w:w="5612"/>
          </w:cols>
        </w:sectPr>
      </w:pPr>
    </w:p>
    <w:p>
      <w:pPr>
        <w:pStyle w:val="BodyText"/>
        <w:spacing w:before="4"/>
        <w:rPr>
          <w:sz w:val="10"/>
        </w:rPr>
      </w:pPr>
      <w:r>
        <w:rPr/>
        <w:pict>
          <v:group style="position:absolute;margin-left:40pt;margin-top:41pt;width:516pt;height:739pt;mso-position-horizontal-relative:page;mso-position-vertical-relative:page;z-index:-21673472" coordorigin="800,820" coordsize="10320,14780">
            <v:shape style="position:absolute;left:820;top:840;width:10280;height:14740" coordorigin="820,840" coordsize="10280,14740" path="m11100,840l5974,840,5946,840,820,840,820,8181,820,8239,820,15580,5946,15580,5974,15580,11100,15580,11100,840xe" filled="true" fillcolor="#c3e0dc" stroked="false">
              <v:path arrowok="t"/>
              <v:fill type="solid"/>
            </v:shape>
            <v:shape style="position:absolute;left:899;top:962;width:10122;height:14496" coordorigin="899,962" coordsize="10122,14496" path="m5960,962l899,8210,5960,15458,11021,8210,5960,962xe" filled="true" fillcolor="#c4e1dd" stroked="false">
              <v:path arrowok="t"/>
              <v:fill type="solid"/>
            </v:shape>
            <v:shape style="position:absolute;left:998;top:1104;width:9923;height:14212" coordorigin="998,1104" coordsize="9923,14212" path="m5960,1104l998,8210,5960,15316,10921,8210,5960,1104xe" filled="true" fillcolor="#c5e1dd" stroked="false">
              <v:path arrowok="t"/>
              <v:fill type="solid"/>
            </v:shape>
            <v:shape style="position:absolute;left:1097;top:1246;width:9725;height:13928" coordorigin="1098,1246" coordsize="9725,13928" path="m5960,1246l1098,8210,5960,15174,10822,8210,5960,1246xe" filled="true" fillcolor="#c6e2de" stroked="false">
              <v:path arrowok="t"/>
              <v:fill type="solid"/>
            </v:shape>
            <v:shape style="position:absolute;left:1196;top:1388;width:9527;height:13643" coordorigin="1197,1389" coordsize="9527,13643" path="m5960,1389l1197,8210,5960,15032,10723,8210,5960,1389xe" filled="true" fillcolor="#c7e2df" stroked="false">
              <v:path arrowok="t"/>
              <v:fill type="solid"/>
            </v:shape>
            <v:shape style="position:absolute;left:1296;top:1530;width:9328;height:13359" coordorigin="1296,1531" coordsize="9328,13359" path="m5960,1531l1296,8210,5960,14889,10624,8210,5960,1531xe" filled="true" fillcolor="#c8e3df" stroked="false">
              <v:path arrowok="t"/>
              <v:fill type="solid"/>
            </v:shape>
            <v:shape style="position:absolute;left:1395;top:1672;width:9130;height:13075" coordorigin="1395,1673" coordsize="9130,13075" path="m5960,1673l1395,8210,5960,14747,10524,8210,5960,1673xe" filled="true" fillcolor="#c9e3e0" stroked="false">
              <v:path arrowok="t"/>
              <v:fill type="solid"/>
            </v:shape>
            <v:shape style="position:absolute;left:1494;top:1814;width:8931;height:12791" coordorigin="1495,1815" coordsize="8931,12791" path="m5960,1815l1495,8210,5960,14605,10425,8210,5960,1815xe" filled="true" fillcolor="#cae4e0" stroked="false">
              <v:path arrowok="t"/>
              <v:fill type="solid"/>
            </v:shape>
            <v:shape style="position:absolute;left:1593;top:1957;width:8733;height:12507" coordorigin="1594,1957" coordsize="8733,12507" path="m5960,1957l1594,8210,5960,14463,10326,8210,5960,1957xe" filled="true" fillcolor="#cbe4e1" stroked="false">
              <v:path arrowok="t"/>
              <v:fill type="solid"/>
            </v:shape>
            <v:shape style="position:absolute;left:1693;top:2099;width:8534;height:12222" coordorigin="1693,2099" coordsize="8534,12222" path="m5960,2099l1693,8210,5960,14321,10227,8210,5960,2099xe" filled="true" fillcolor="#cce5e1" stroked="false">
              <v:path arrowok="t"/>
              <v:fill type="solid"/>
            </v:shape>
            <v:shape style="position:absolute;left:1792;top:2241;width:8336;height:11938" coordorigin="1792,2241" coordsize="8336,11938" path="m5960,2241l1792,8210,5960,14179,10128,8210,5960,2241xe" filled="true" fillcolor="#cde5e2" stroked="false">
              <v:path arrowok="t"/>
              <v:fill type="solid"/>
            </v:shape>
            <v:shape style="position:absolute;left:1891;top:2383;width:8137;height:11654" coordorigin="1892,2383" coordsize="8137,11654" path="m5960,2383l1892,8210,5960,14037,10028,8210,5960,2383xe" filled="true" fillcolor="#cee6e3" stroked="false">
              <v:path arrowok="t"/>
              <v:fill type="solid"/>
            </v:shape>
            <v:shape style="position:absolute;left:1990;top:2525;width:7939;height:11370" coordorigin="1991,2525" coordsize="7939,11370" path="m5960,2525l1991,8210,5960,13895,9929,8210,5960,2525xe" filled="true" fillcolor="#cfe6e3" stroked="false">
              <v:path arrowok="t"/>
              <v:fill type="solid"/>
            </v:shape>
            <v:shape style="position:absolute;left:2089;top:2667;width:7740;height:11085" coordorigin="2090,2668" coordsize="7740,11085" path="m5960,2668l2090,8210,5960,13753,9830,8210,5960,2668xe" filled="true" fillcolor="#d0e7e4" stroked="false">
              <v:path arrowok="t"/>
              <v:fill type="solid"/>
            </v:shape>
            <v:shape style="position:absolute;left:2189;top:2809;width:7542;height:10801" coordorigin="2189,2810" coordsize="7542,10801" path="m5960,2810l2189,8210,5960,13610,9731,8210,5960,2810xe" filled="true" fillcolor="#d1e7e4" stroked="false">
              <v:path arrowok="t"/>
              <v:fill type="solid"/>
            </v:shape>
            <v:shape style="position:absolute;left:2288;top:2951;width:7343;height:10517" coordorigin="2288,2952" coordsize="7343,10517" path="m5960,2952l2288,8210,5960,13468,9631,8210,5960,2952xe" filled="true" fillcolor="#d3e8e5" stroked="false">
              <v:path arrowok="t"/>
              <v:fill type="solid"/>
            </v:shape>
            <v:shape style="position:absolute;left:2387;top:3093;width:7145;height:10233" coordorigin="2388,3094" coordsize="7145,10233" path="m5960,3094l2388,8210,5960,13326,9532,8210,5960,3094xe" filled="true" fillcolor="#d4e8e5" stroked="false">
              <v:path arrowok="t"/>
              <v:fill type="solid"/>
            </v:shape>
            <v:shape style="position:absolute;left:2486;top:3236;width:6947;height:9949" coordorigin="2487,3236" coordsize="6947,9949" path="m5960,3236l2487,8210,5960,13184,9433,8210,5960,3236xe" filled="true" fillcolor="#d5e9e6" stroked="false">
              <v:path arrowok="t"/>
              <v:fill type="solid"/>
            </v:shape>
            <v:shape style="position:absolute;left:2586;top:3378;width:6748;height:9664" coordorigin="2586,3378" coordsize="6748,9664" path="m5960,3378l2586,8210,5960,13042,9334,8210,5960,3378xe" filled="true" fillcolor="#d6eae7" stroked="false">
              <v:path arrowok="t"/>
              <v:fill type="solid"/>
            </v:shape>
            <v:shape style="position:absolute;left:2685;top:3520;width:6550;height:9380" coordorigin="2685,3520" coordsize="6550,9380" path="m5960,3520l2685,8210,5960,12900,9234,8210,5960,3520xe" filled="true" fillcolor="#d7eae7" stroked="false">
              <v:path arrowok="t"/>
              <v:fill type="solid"/>
            </v:shape>
            <v:shape style="position:absolute;left:2784;top:3662;width:6351;height:9096" coordorigin="2785,3662" coordsize="6351,9096" path="m5960,3662l2785,8210,5960,12758,9135,8210,5960,3662xe" filled="true" fillcolor="#d8ebe8" stroked="false">
              <v:path arrowok="t"/>
              <v:fill type="solid"/>
            </v:shape>
            <v:shape style="position:absolute;left:2883;top:3804;width:6153;height:8812" coordorigin="2884,3805" coordsize="6153,8812" path="m5960,3805l2884,8210,5960,12616,9036,8210,5960,3805xe" filled="true" fillcolor="#d9ebe8" stroked="false">
              <v:path arrowok="t"/>
              <v:fill type="solid"/>
            </v:shape>
            <v:shape style="position:absolute;left:2983;top:3946;width:5954;height:8527" coordorigin="2983,3947" coordsize="5954,8527" path="m5960,3947l2983,8210,5960,12473,8937,8210,5960,3947xe" filled="true" fillcolor="#daece9" stroked="false">
              <v:path arrowok="t"/>
              <v:fill type="solid"/>
            </v:shape>
            <v:shape style="position:absolute;left:3082;top:4088;width:5756;height:8243" coordorigin="3082,4089" coordsize="5756,8243" path="m5960,4089l3082,8210,5960,12331,8838,8210,5960,4089xe" filled="true" fillcolor="#dbece9" stroked="false">
              <v:path arrowok="t"/>
              <v:fill type="solid"/>
            </v:shape>
            <v:shape style="position:absolute;left:3181;top:4230;width:5557;height:7959" coordorigin="3182,4231" coordsize="5557,7959" path="m5960,4231l3182,8210,5960,12189,8738,8210,5960,4231xe" filled="true" fillcolor="#dcedea" stroked="false">
              <v:path arrowok="t"/>
              <v:fill type="solid"/>
            </v:shape>
            <v:shape style="position:absolute;left:3280;top:4372;width:5359;height:7675" coordorigin="3281,4373" coordsize="5359,7675" path="m5960,4373l3281,8210,5960,12047,8639,8210,5960,4373xe" filled="true" fillcolor="#ddedeb" stroked="false">
              <v:path arrowok="t"/>
              <v:fill type="solid"/>
            </v:shape>
            <v:shape style="position:absolute;left:3379;top:4515;width:5160;height:7390" coordorigin="3380,4515" coordsize="5160,7390" path="m5960,4515l3380,8210,5960,11905,8540,8210,5960,4515xe" filled="true" fillcolor="#deeeeb" stroked="false">
              <v:path arrowok="t"/>
              <v:fill type="solid"/>
            </v:shape>
            <v:shape style="position:absolute;left:3479;top:4657;width:4962;height:7106" coordorigin="3479,4657" coordsize="4962,7106" path="m5960,4657l3479,8210,5960,11763,8441,8210,5960,4657xe" filled="true" fillcolor="#e0efec" stroked="false">
              <v:path arrowok="t"/>
              <v:fill type="solid"/>
            </v:shape>
            <v:shape style="position:absolute;left:3578;top:4799;width:4764;height:6822" coordorigin="3578,4799" coordsize="4764,6822" path="m5960,4799l3578,8210,5960,11621,8341,8210,5960,4799xe" filled="true" fillcolor="#e1efec" stroked="false">
              <v:path arrowok="t"/>
              <v:fill type="solid"/>
            </v:shape>
            <v:shape style="position:absolute;left:3677;top:4941;width:4565;height:6538" coordorigin="3678,4941" coordsize="4565,6538" path="m5960,4941l3678,8210,5960,11479,8242,8210,5960,4941xe" filled="true" fillcolor="#e2f0ed" stroked="false">
              <v:path arrowok="t"/>
              <v:fill type="solid"/>
            </v:shape>
            <v:shape style="position:absolute;left:3776;top:5083;width:4367;height:6254" coordorigin="3777,5084" coordsize="4367,6254" path="m5960,5084l3777,8210,5960,11337,8143,8210,5960,5084xe" filled="true" fillcolor="#e3f0ee" stroked="false">
              <v:path arrowok="t"/>
              <v:fill type="solid"/>
            </v:shape>
            <v:shape style="position:absolute;left:3876;top:5225;width:4168;height:5969" coordorigin="3876,5226" coordsize="4168,5969" path="m5960,5226l3876,8210,5960,11194,8044,8210,5960,5226xe" filled="true" fillcolor="#e4f1ee" stroked="false">
              <v:path arrowok="t"/>
              <v:fill type="solid"/>
            </v:shape>
            <v:shape style="position:absolute;left:3975;top:5367;width:3970;height:5685" coordorigin="3975,5368" coordsize="3970,5685" path="m5960,5368l3975,8210,5960,11052,7945,8210,5960,5368xe" filled="true" fillcolor="#e5f1ef" stroked="false">
              <v:path arrowok="t"/>
              <v:fill type="solid"/>
            </v:shape>
            <v:shape style="position:absolute;left:4074;top:5509;width:3771;height:5401" coordorigin="4075,5510" coordsize="3771,5401" path="m5960,5510l4075,8210,5960,10910,7845,8210,5960,5510xe" filled="true" fillcolor="#e6f2ef" stroked="false">
              <v:path arrowok="t"/>
              <v:fill type="solid"/>
            </v:shape>
            <v:shape style="position:absolute;left:4173;top:5652;width:3573;height:5117" coordorigin="4174,5652" coordsize="3573,5117" path="m5960,5652l4174,8210,5960,10768,7746,8210,5960,5652xe" filled="true" fillcolor="#e7f3f0" stroked="false">
              <v:path arrowok="t"/>
              <v:fill type="solid"/>
            </v:shape>
            <v:shape style="position:absolute;left:4273;top:5794;width:3374;height:4832" coordorigin="4273,5794" coordsize="3374,4832" path="m5960,5794l4273,8210,5960,10626,7647,8210,5960,5794xe" filled="true" fillcolor="#e9f3f1" stroked="false">
              <v:path arrowok="t"/>
              <v:fill type="solid"/>
            </v:shape>
            <v:shape style="position:absolute;left:4372;top:5936;width:3176;height:4548" coordorigin="4372,5936" coordsize="3176,4548" path="m5960,5936l4372,8210,5960,10484,7548,8210,5960,5936xe" filled="true" fillcolor="#eaf4f2" stroked="false">
              <v:path arrowok="t"/>
              <v:fill type="solid"/>
            </v:shape>
            <v:shape style="position:absolute;left:4471;top:6078;width:2977;height:4264" coordorigin="4471,6078" coordsize="2977,4264" path="m5960,6078l4471,8210,5960,10342,7448,8210,5960,6078xe" filled="true" fillcolor="#ebf4f2" stroked="false">
              <v:path arrowok="t"/>
              <v:fill type="solid"/>
            </v:shape>
            <v:shape style="position:absolute;left:4570;top:6220;width:2779;height:3980" coordorigin="4571,6220" coordsize="2779,3980" path="m5960,6220l4571,8210,5960,10200,7349,8210,5960,6220xe" filled="true" fillcolor="#ecf5f3" stroked="false">
              <v:path arrowok="t"/>
              <v:fill type="solid"/>
            </v:shape>
            <v:shape style="position:absolute;left:4669;top:6362;width:2580;height:3695" coordorigin="4670,6363" coordsize="2580,3695" path="m5960,6363l4670,8210,5960,10058,7250,8210,5960,6363xe" filled="true" fillcolor="#edf6f4" stroked="false">
              <v:path arrowok="t"/>
              <v:fill type="solid"/>
            </v:shape>
            <v:shape style="position:absolute;left:4769;top:6504;width:2382;height:3411" coordorigin="4769,6505" coordsize="2382,3411" path="m5960,6505l4769,8210,5960,9915,7151,8210,5960,6505xe" filled="true" fillcolor="#eff7f5" stroked="false">
              <v:path arrowok="t"/>
              <v:fill type="solid"/>
            </v:shape>
            <v:shape style="position:absolute;left:4868;top:6646;width:2184;height:3127" coordorigin="4868,6647" coordsize="2184,3127" path="m5960,6647l4868,8210,5960,9773,7051,8210,5960,6647xe" filled="true" fillcolor="#f0f7f5" stroked="false">
              <v:path arrowok="t"/>
              <v:fill type="solid"/>
            </v:shape>
            <v:shape style="position:absolute;left:4967;top:6788;width:1985;height:2843" coordorigin="4968,6789" coordsize="1985,2843" path="m5960,6789l4968,8210,5960,9631,6952,8210,5960,6789xe" filled="true" fillcolor="#f1f8f6" stroked="false">
              <v:path arrowok="t"/>
              <v:fill type="solid"/>
            </v:shape>
            <v:shape style="position:absolute;left:5066;top:6931;width:1787;height:2559" coordorigin="5067,6931" coordsize="1787,2559" path="m5960,6931l5067,8210,5960,9489,6853,8210,5960,6931xe" filled="true" fillcolor="#f2f8f7" stroked="false">
              <v:path arrowok="t"/>
              <v:fill type="solid"/>
            </v:shape>
            <v:shape style="position:absolute;left:5166;top:7073;width:1588;height:2274" coordorigin="5166,7073" coordsize="1588,2274" path="m5960,7073l5166,8210,5960,9347,6754,8210,5960,7073xe" filled="true" fillcolor="#f3f9f8" stroked="false">
              <v:path arrowok="t"/>
              <v:fill type="solid"/>
            </v:shape>
            <v:shape style="position:absolute;left:5265;top:7215;width:1390;height:1990" coordorigin="5265,7215" coordsize="1390,1990" path="m5960,7215l5265,8210,5960,9205,6655,8210,5960,7215xe" filled="true" fillcolor="#f5f9f8" stroked="false">
              <v:path arrowok="t"/>
              <v:fill type="solid"/>
            </v:shape>
            <v:shape style="position:absolute;left:5364;top:7357;width:1191;height:1706" coordorigin="5365,7357" coordsize="1191,1706" path="m5960,7357l5365,8210,5960,9063,6555,8210,5960,7357xe" filled="true" fillcolor="#f6faf9" stroked="false">
              <v:path arrowok="t"/>
              <v:fill type="solid"/>
            </v:shape>
            <v:shape style="position:absolute;left:5463;top:7499;width:993;height:1422" coordorigin="5464,7499" coordsize="993,1422" path="m5960,7499l5464,8210,5960,8921,6456,8210,5960,7499xe" filled="true" fillcolor="#f8fbfa" stroked="false">
              <v:path arrowok="t"/>
              <v:fill type="solid"/>
            </v:shape>
            <v:shape style="position:absolute;left:5563;top:7641;width:794;height:1137" coordorigin="5563,7642" coordsize="794,1137" path="m5960,7642l5563,8210,5960,8778,6357,8210,5960,7642xe" filled="true" fillcolor="#f9fcfc" stroked="false">
              <v:path arrowok="t"/>
              <v:fill type="solid"/>
            </v:shape>
            <v:shape style="position:absolute;left:5662;top:7783;width:596;height:853" coordorigin="5662,7784" coordsize="596,853" path="m5960,7784l5662,8210,5960,8636,6258,8210,5960,7784xe" filled="true" fillcolor="#fbfdfd" stroked="false">
              <v:path arrowok="t"/>
              <v:fill type="solid"/>
            </v:shape>
            <v:shape style="position:absolute;left:5761;top:7925;width:397;height:569" coordorigin="5761,7926" coordsize="397,569" path="m5960,7926l5761,8210,5960,8494,6158,8210,5960,7926xe" filled="true" fillcolor="#fdfefe" stroked="false">
              <v:path arrowok="t"/>
              <v:fill type="solid"/>
            </v:shape>
            <v:shape style="position:absolute;left:5860;top:8067;width:199;height:285" coordorigin="5861,8068" coordsize="199,285" path="m5960,8068l5861,8210,5960,8352,6059,8210,5960,8068xe" filled="true" fillcolor="#ffffff" stroked="false">
              <v:path arrowok="t"/>
              <v:fill type="solid"/>
            </v:shape>
            <v:rect style="position:absolute;left:810;top:830;width:10300;height:14760" filled="false" stroked="true" strokeweight="1pt" strokecolor="#009483">
              <v:stroke dashstyle="solid"/>
            </v:rect>
            <v:line style="position:absolute" from="1100,15160" to="10880,15160" stroked="true" strokeweight=".125pt" strokecolor="#231f20">
              <v:stroke dashstyle="solid"/>
            </v:line>
            <w10:wrap type="none"/>
          </v:group>
        </w:pict>
      </w:r>
    </w:p>
    <w:p>
      <w:pPr>
        <w:spacing w:before="95"/>
        <w:ind w:left="500" w:right="0" w:firstLine="0"/>
        <w:jc w:val="left"/>
        <w:rPr>
          <w:sz w:val="12"/>
        </w:rPr>
      </w:pPr>
      <w:r>
        <w:rPr>
          <w:color w:val="231F20"/>
          <w:sz w:val="12"/>
        </w:rPr>
        <w:t>(1) See also the article in the November 1998 Bank of England </w:t>
      </w:r>
      <w:r>
        <w:rPr>
          <w:i/>
          <w:color w:val="231F20"/>
          <w:sz w:val="12"/>
        </w:rPr>
        <w:t>Quarterly Bulletin </w:t>
      </w:r>
      <w:r>
        <w:rPr>
          <w:color w:val="231F20"/>
          <w:sz w:val="12"/>
        </w:rPr>
        <w:t>on pages 361–67, and the box on page 16 in the August 1998 </w:t>
      </w:r>
      <w:r>
        <w:rPr>
          <w:i/>
          <w:color w:val="231F20"/>
          <w:sz w:val="12"/>
        </w:rPr>
        <w:t>Inflation Report</w:t>
      </w:r>
      <w:r>
        <w:rPr>
          <w:color w:val="231F20"/>
          <w:sz w:val="12"/>
        </w:rPr>
        <w:t>.</w:t>
      </w:r>
    </w:p>
    <w:p>
      <w:pPr>
        <w:spacing w:after="0"/>
        <w:jc w:val="left"/>
        <w:rPr>
          <w:sz w:val="12"/>
        </w:rPr>
        <w:sectPr>
          <w:type w:val="continuous"/>
          <w:pgSz w:w="11900" w:h="16840"/>
          <w:pgMar w:top="1220" w:bottom="280" w:left="620" w:right="520"/>
        </w:sectPr>
      </w:pPr>
    </w:p>
    <w:p>
      <w:pPr>
        <w:pStyle w:val="BodyText"/>
        <w:rPr>
          <w:sz w:val="20"/>
        </w:rPr>
      </w:pPr>
    </w:p>
    <w:p>
      <w:pPr>
        <w:pStyle w:val="BodyText"/>
        <w:rPr>
          <w:sz w:val="20"/>
        </w:rPr>
      </w:pPr>
    </w:p>
    <w:p>
      <w:pPr>
        <w:pStyle w:val="Heading7"/>
        <w:spacing w:line="249" w:lineRule="auto" w:before="0"/>
        <w:ind w:left="406" w:right="9268"/>
      </w:pPr>
      <w:r>
        <w:rPr>
          <w:color w:val="0093C1"/>
        </w:rPr>
        <w:t>Chart 1 GDP </w:t>
      </w:r>
      <w:r>
        <w:rPr>
          <w:color w:val="0093C1"/>
          <w:spacing w:val="-3"/>
        </w:rPr>
        <w:t>growth</w:t>
      </w:r>
    </w:p>
    <w:p>
      <w:pPr>
        <w:pStyle w:val="BodyText"/>
        <w:rPr>
          <w:b/>
          <w:sz w:val="20"/>
        </w:rPr>
      </w:pPr>
    </w:p>
    <w:p>
      <w:pPr>
        <w:pStyle w:val="BodyText"/>
        <w:spacing w:before="7"/>
        <w:rPr>
          <w:b/>
          <w:sz w:val="19"/>
        </w:rPr>
      </w:pPr>
    </w:p>
    <w:p>
      <w:pPr>
        <w:spacing w:after="0"/>
        <w:rPr>
          <w:sz w:val="19"/>
        </w:rPr>
        <w:sectPr>
          <w:pgSz w:w="11900" w:h="16840"/>
          <w:pgMar w:header="586" w:footer="617" w:top="780" w:bottom="800" w:left="620" w:right="520"/>
        </w:sect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spacing w:before="94"/>
        <w:ind w:left="1415" w:right="0" w:firstLine="0"/>
        <w:jc w:val="left"/>
        <w:rPr>
          <w:sz w:val="12"/>
        </w:rPr>
      </w:pPr>
      <w:r>
        <w:rPr>
          <w:sz w:val="12"/>
        </w:rPr>
        <w:t>ESA95 market prices</w:t>
      </w:r>
    </w:p>
    <w:p>
      <w:pPr>
        <w:spacing w:line="122" w:lineRule="exact" w:before="96"/>
        <w:ind w:left="266" w:right="0" w:firstLine="0"/>
        <w:jc w:val="left"/>
        <w:rPr>
          <w:sz w:val="12"/>
        </w:rPr>
      </w:pPr>
      <w:r>
        <w:rPr/>
        <w:br w:type="column"/>
      </w:r>
      <w:r>
        <w:rPr>
          <w:sz w:val="12"/>
        </w:rPr>
        <w:t>Percentage change on a year earlier</w:t>
      </w:r>
    </w:p>
    <w:p>
      <w:pPr>
        <w:spacing w:line="122" w:lineRule="exact" w:before="0"/>
        <w:ind w:left="2050" w:right="0" w:firstLine="0"/>
        <w:jc w:val="left"/>
        <w:rPr>
          <w:sz w:val="12"/>
        </w:rPr>
      </w:pPr>
      <w:r>
        <w:rPr>
          <w:sz w:val="12"/>
        </w:rPr>
        <w:t>6</w:t>
      </w:r>
    </w:p>
    <w:p>
      <w:pPr>
        <w:pStyle w:val="BodyText"/>
        <w:spacing w:before="5"/>
        <w:rPr>
          <w:sz w:val="11"/>
        </w:rPr>
      </w:pPr>
    </w:p>
    <w:p>
      <w:pPr>
        <w:spacing w:before="0"/>
        <w:ind w:left="2050" w:right="0" w:firstLine="0"/>
        <w:jc w:val="left"/>
        <w:rPr>
          <w:sz w:val="12"/>
        </w:rPr>
      </w:pPr>
      <w:r>
        <w:rPr>
          <w:sz w:val="12"/>
        </w:rPr>
        <w:t>5</w:t>
      </w:r>
    </w:p>
    <w:p>
      <w:pPr>
        <w:pStyle w:val="BodyText"/>
        <w:spacing w:before="1"/>
        <w:rPr>
          <w:sz w:val="10"/>
        </w:rPr>
      </w:pPr>
    </w:p>
    <w:p>
      <w:pPr>
        <w:spacing w:before="0"/>
        <w:ind w:left="2050" w:right="0" w:firstLine="0"/>
        <w:jc w:val="left"/>
        <w:rPr>
          <w:sz w:val="12"/>
        </w:rPr>
      </w:pPr>
      <w:r>
        <w:rPr>
          <w:sz w:val="12"/>
        </w:rPr>
        <w:t>4</w:t>
      </w:r>
    </w:p>
    <w:p>
      <w:pPr>
        <w:pStyle w:val="BodyText"/>
        <w:spacing w:before="2"/>
        <w:rPr>
          <w:sz w:val="11"/>
        </w:rPr>
      </w:pPr>
    </w:p>
    <w:p>
      <w:pPr>
        <w:spacing w:before="0"/>
        <w:ind w:left="2050" w:right="0" w:firstLine="0"/>
        <w:jc w:val="left"/>
        <w:rPr>
          <w:sz w:val="12"/>
        </w:rPr>
      </w:pPr>
      <w:r>
        <w:rPr>
          <w:sz w:val="12"/>
        </w:rPr>
        <w:t>3</w:t>
      </w:r>
    </w:p>
    <w:p>
      <w:pPr>
        <w:pStyle w:val="BodyText"/>
        <w:spacing w:before="1"/>
        <w:rPr>
          <w:sz w:val="10"/>
        </w:rPr>
      </w:pPr>
    </w:p>
    <w:p>
      <w:pPr>
        <w:spacing w:before="0"/>
        <w:ind w:left="2050" w:right="0" w:firstLine="0"/>
        <w:jc w:val="left"/>
        <w:rPr>
          <w:sz w:val="12"/>
        </w:rPr>
      </w:pPr>
      <w:r>
        <w:rPr>
          <w:sz w:val="12"/>
        </w:rPr>
        <w:t>2</w:t>
      </w:r>
    </w:p>
    <w:p>
      <w:pPr>
        <w:pStyle w:val="BodyText"/>
        <w:spacing w:before="5"/>
        <w:rPr>
          <w:sz w:val="11"/>
        </w:rPr>
      </w:pPr>
    </w:p>
    <w:p>
      <w:pPr>
        <w:spacing w:line="94" w:lineRule="exact" w:before="0"/>
        <w:ind w:left="2050" w:right="0" w:firstLine="0"/>
        <w:jc w:val="left"/>
        <w:rPr>
          <w:sz w:val="12"/>
        </w:rPr>
      </w:pPr>
      <w:r>
        <w:rPr>
          <w:sz w:val="12"/>
        </w:rPr>
        <w:t>1</w:t>
      </w:r>
    </w:p>
    <w:p>
      <w:pPr>
        <w:spacing w:after="0" w:line="94" w:lineRule="exact"/>
        <w:jc w:val="left"/>
        <w:rPr>
          <w:sz w:val="12"/>
        </w:rPr>
        <w:sectPr>
          <w:type w:val="continuous"/>
          <w:pgSz w:w="11900" w:h="16840"/>
          <w:pgMar w:top="1220" w:bottom="280" w:left="620" w:right="520"/>
          <w:cols w:num="2" w:equalWidth="0">
            <w:col w:w="2443" w:space="40"/>
            <w:col w:w="8277"/>
          </w:cols>
        </w:sectPr>
      </w:pPr>
    </w:p>
    <w:p>
      <w:pPr>
        <w:tabs>
          <w:tab w:pos="4273" w:val="left" w:leader="none"/>
        </w:tabs>
        <w:spacing w:line="167" w:lineRule="exact" w:before="0"/>
        <w:ind w:left="653" w:right="0" w:firstLine="0"/>
        <w:jc w:val="left"/>
        <w:rPr>
          <w:sz w:val="16"/>
        </w:rPr>
      </w:pPr>
      <w:r>
        <w:rPr>
          <w:color w:val="231F20"/>
          <w:sz w:val="16"/>
          <w:u w:val="single" w:color="231F20"/>
        </w:rPr>
        <w:t> </w:t>
        <w:tab/>
      </w:r>
      <w:r>
        <w:rPr>
          <w:color w:val="231F20"/>
          <w:sz w:val="16"/>
        </w:rPr>
        <w:t>   </w:t>
      </w:r>
      <w:r>
        <w:rPr>
          <w:color w:val="231F20"/>
          <w:spacing w:val="6"/>
          <w:sz w:val="16"/>
        </w:rPr>
        <w:t> </w:t>
      </w:r>
      <w:r>
        <w:rPr>
          <w:color w:val="231F20"/>
          <w:sz w:val="16"/>
        </w:rPr>
        <w:t>+</w:t>
      </w:r>
    </w:p>
    <w:p>
      <w:pPr>
        <w:spacing w:line="160" w:lineRule="auto" w:before="2"/>
        <w:ind w:left="253" w:right="1978" w:firstLine="0"/>
        <w:jc w:val="center"/>
        <w:rPr>
          <w:sz w:val="12"/>
        </w:rPr>
      </w:pPr>
      <w:r>
        <w:rPr>
          <w:color w:val="231F20"/>
          <w:position w:val="-10"/>
          <w:sz w:val="16"/>
        </w:rPr>
        <w:t>_</w:t>
      </w:r>
      <w:r>
        <w:rPr>
          <w:sz w:val="12"/>
        </w:rPr>
        <w:t>0</w:t>
      </w:r>
    </w:p>
    <w:p>
      <w:pPr>
        <w:spacing w:before="59"/>
        <w:ind w:left="0" w:right="1633" w:firstLine="0"/>
        <w:jc w:val="center"/>
        <w:rPr>
          <w:sz w:val="12"/>
        </w:rPr>
      </w:pPr>
      <w:r>
        <w:rPr>
          <w:sz w:val="12"/>
        </w:rPr>
        <w:t>1</w:t>
      </w:r>
    </w:p>
    <w:p>
      <w:pPr>
        <w:pStyle w:val="BodyText"/>
        <w:spacing w:before="1"/>
        <w:rPr>
          <w:sz w:val="10"/>
        </w:rPr>
      </w:pPr>
    </w:p>
    <w:p>
      <w:pPr>
        <w:spacing w:before="0"/>
        <w:ind w:left="0" w:right="1633" w:firstLine="0"/>
        <w:jc w:val="center"/>
        <w:rPr>
          <w:sz w:val="12"/>
        </w:rPr>
      </w:pPr>
      <w:r>
        <w:rPr>
          <w:sz w:val="12"/>
        </w:rPr>
        <w:t>2</w:t>
      </w:r>
    </w:p>
    <w:p>
      <w:pPr>
        <w:spacing w:after="0"/>
        <w:jc w:val="center"/>
        <w:rPr>
          <w:sz w:val="12"/>
        </w:rPr>
        <w:sectPr>
          <w:type w:val="continuous"/>
          <w:pgSz w:w="11900" w:h="16840"/>
          <w:pgMar w:top="1220" w:bottom="280" w:left="620" w:right="520"/>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before="92"/>
        <w:ind w:left="526" w:right="0" w:firstLine="0"/>
        <w:jc w:val="left"/>
        <w:rPr>
          <w:sz w:val="12"/>
        </w:rPr>
      </w:pPr>
      <w:r>
        <w:rPr>
          <w:color w:val="231F20"/>
          <w:sz w:val="12"/>
        </w:rPr>
        <w:t>1989</w:t>
      </w:r>
    </w:p>
    <w:p>
      <w:pPr>
        <w:tabs>
          <w:tab w:pos="3402" w:val="right" w:leader="none"/>
        </w:tabs>
        <w:spacing w:before="91"/>
        <w:ind w:left="526" w:right="0" w:firstLine="0"/>
        <w:jc w:val="left"/>
        <w:rPr>
          <w:sz w:val="12"/>
        </w:rPr>
      </w:pPr>
      <w:r>
        <w:rPr/>
        <w:br w:type="column"/>
      </w:r>
      <w:r>
        <w:rPr>
          <w:sz w:val="12"/>
        </w:rPr>
        <w:t>1990</w:t>
      </w:r>
      <w:r>
        <w:rPr>
          <w:spacing w:val="-2"/>
          <w:sz w:val="12"/>
        </w:rPr>
        <w:t> </w:t>
      </w:r>
      <w:r>
        <w:rPr>
          <w:sz w:val="12"/>
        </w:rPr>
        <w:t>market</w:t>
      </w:r>
      <w:r>
        <w:rPr>
          <w:spacing w:val="-1"/>
          <w:sz w:val="12"/>
        </w:rPr>
        <w:t> </w:t>
      </w:r>
      <w:r>
        <w:rPr>
          <w:sz w:val="12"/>
        </w:rPr>
        <w:t>prices</w:t>
        <w:tab/>
      </w:r>
      <w:r>
        <w:rPr>
          <w:position w:val="-3"/>
          <w:sz w:val="12"/>
        </w:rPr>
        <w:t>3</w:t>
      </w:r>
    </w:p>
    <w:p>
      <w:pPr>
        <w:spacing w:before="113"/>
        <w:ind w:left="0" w:right="2823" w:firstLine="0"/>
        <w:jc w:val="center"/>
        <w:rPr>
          <w:sz w:val="12"/>
        </w:rPr>
      </w:pPr>
      <w:r>
        <w:rPr>
          <w:sz w:val="12"/>
        </w:rPr>
        <w:t>4</w:t>
      </w:r>
    </w:p>
    <w:p>
      <w:pPr>
        <w:pStyle w:val="BodyText"/>
        <w:spacing w:before="5"/>
        <w:rPr>
          <w:sz w:val="11"/>
        </w:rPr>
      </w:pPr>
    </w:p>
    <w:p>
      <w:pPr>
        <w:spacing w:line="134" w:lineRule="exact" w:before="0"/>
        <w:ind w:left="0" w:right="2823" w:firstLine="0"/>
        <w:jc w:val="center"/>
        <w:rPr>
          <w:sz w:val="12"/>
        </w:rPr>
      </w:pPr>
      <w:r>
        <w:rPr>
          <w:sz w:val="12"/>
        </w:rPr>
        <w:t>5</w:t>
      </w:r>
    </w:p>
    <w:p>
      <w:pPr>
        <w:tabs>
          <w:tab w:pos="1759" w:val="left" w:leader="none"/>
          <w:tab w:pos="2923" w:val="left" w:leader="none"/>
        </w:tabs>
        <w:spacing w:line="134" w:lineRule="exact" w:before="0"/>
        <w:ind w:left="533" w:right="0" w:firstLine="0"/>
        <w:jc w:val="left"/>
        <w:rPr>
          <w:sz w:val="12"/>
        </w:rPr>
      </w:pPr>
      <w:r>
        <w:rPr>
          <w:sz w:val="12"/>
        </w:rPr>
        <w:t>92</w:t>
        <w:tab/>
        <w:t>95</w:t>
        <w:tab/>
        <w:t>98</w:t>
      </w:r>
    </w:p>
    <w:p>
      <w:pPr>
        <w:spacing w:after="0" w:line="134" w:lineRule="exact"/>
        <w:jc w:val="left"/>
        <w:rPr>
          <w:sz w:val="12"/>
        </w:rPr>
        <w:sectPr>
          <w:type w:val="continuous"/>
          <w:pgSz w:w="11900" w:h="16840"/>
          <w:pgMar w:top="1220" w:bottom="280" w:left="620" w:right="520"/>
          <w:cols w:num="2" w:equalWidth="0">
            <w:col w:w="807" w:space="383"/>
            <w:col w:w="9570"/>
          </w:cols>
        </w:sectPr>
      </w:pPr>
    </w:p>
    <w:p>
      <w:pPr>
        <w:pStyle w:val="BodyText"/>
        <w:spacing w:before="9"/>
        <w:rPr>
          <w:sz w:val="16"/>
        </w:rPr>
      </w:pPr>
    </w:p>
    <w:p>
      <w:pPr>
        <w:pStyle w:val="Heading7"/>
        <w:spacing w:before="92"/>
        <w:ind w:left="406"/>
      </w:pPr>
      <w:r>
        <w:rPr>
          <w:color w:val="0093C1"/>
        </w:rPr>
        <w:t>Chart 3</w:t>
      </w:r>
    </w:p>
    <w:p>
      <w:pPr>
        <w:spacing w:before="10"/>
        <w:ind w:left="406" w:right="0" w:firstLine="0"/>
        <w:jc w:val="left"/>
        <w:rPr>
          <w:b/>
          <w:sz w:val="20"/>
        </w:rPr>
      </w:pPr>
      <w:r>
        <w:rPr>
          <w:b/>
          <w:color w:val="0093C1"/>
          <w:sz w:val="20"/>
        </w:rPr>
        <w:t>Contributions to GDP growth</w:t>
      </w:r>
    </w:p>
    <w:p>
      <w:pPr>
        <w:pStyle w:val="BodyText"/>
        <w:spacing w:before="3"/>
        <w:rPr>
          <w:b/>
          <w:sz w:val="17"/>
        </w:rPr>
      </w:pPr>
    </w:p>
    <w:p>
      <w:pPr>
        <w:spacing w:after="0"/>
        <w:rPr>
          <w:sz w:val="17"/>
        </w:rPr>
        <w:sectPr>
          <w:type w:val="continuous"/>
          <w:pgSz w:w="11900" w:h="16840"/>
          <w:pgMar w:top="1220" w:bottom="280" w:left="620" w:right="520"/>
        </w:sectPr>
      </w:pPr>
    </w:p>
    <w:p>
      <w:pPr>
        <w:spacing w:line="150" w:lineRule="exact" w:before="94"/>
        <w:ind w:left="0" w:right="48" w:firstLine="0"/>
        <w:jc w:val="right"/>
        <w:rPr>
          <w:sz w:val="14"/>
        </w:rPr>
      </w:pPr>
      <w:r>
        <w:rPr>
          <w:color w:val="231F20"/>
          <w:sz w:val="14"/>
        </w:rPr>
        <w:t>Domestic demand:  old</w:t>
      </w:r>
    </w:p>
    <w:p>
      <w:pPr>
        <w:spacing w:line="150" w:lineRule="exact" w:before="0"/>
        <w:ind w:left="0" w:right="0" w:firstLine="0"/>
        <w:jc w:val="right"/>
        <w:rPr>
          <w:sz w:val="14"/>
        </w:rPr>
      </w:pPr>
      <w:r>
        <w:rPr>
          <w:color w:val="231F20"/>
          <w:sz w:val="14"/>
        </w:rPr>
        <w:t>new</w:t>
      </w:r>
    </w:p>
    <w:p>
      <w:pPr>
        <w:spacing w:line="150" w:lineRule="exact" w:before="101"/>
        <w:ind w:left="0" w:right="56" w:firstLine="0"/>
        <w:jc w:val="right"/>
        <w:rPr>
          <w:sz w:val="14"/>
        </w:rPr>
      </w:pPr>
      <w:r>
        <w:rPr/>
        <w:br w:type="column"/>
      </w:r>
      <w:r>
        <w:rPr>
          <w:color w:val="231F20"/>
          <w:sz w:val="14"/>
        </w:rPr>
        <w:t>Net trade:  old</w:t>
      </w:r>
    </w:p>
    <w:p>
      <w:pPr>
        <w:spacing w:line="150" w:lineRule="exact" w:before="0"/>
        <w:ind w:left="0" w:right="0" w:firstLine="0"/>
        <w:jc w:val="right"/>
        <w:rPr>
          <w:sz w:val="14"/>
        </w:rPr>
      </w:pPr>
      <w:r>
        <w:rPr>
          <w:color w:val="231F20"/>
          <w:sz w:val="14"/>
        </w:rPr>
        <w:t>new</w:t>
      </w:r>
    </w:p>
    <w:p>
      <w:pPr>
        <w:pStyle w:val="BodyText"/>
        <w:rPr>
          <w:sz w:val="12"/>
        </w:rPr>
      </w:pPr>
      <w:r>
        <w:rPr/>
        <w:br w:type="column"/>
      </w:r>
      <w:r>
        <w:rPr>
          <w:sz w:val="12"/>
        </w:rPr>
      </w:r>
    </w:p>
    <w:p>
      <w:pPr>
        <w:pStyle w:val="BodyText"/>
        <w:rPr>
          <w:sz w:val="12"/>
        </w:rPr>
      </w:pPr>
    </w:p>
    <w:p>
      <w:pPr>
        <w:pStyle w:val="BodyText"/>
        <w:spacing w:before="7"/>
        <w:rPr>
          <w:sz w:val="13"/>
        </w:rPr>
      </w:pPr>
    </w:p>
    <w:p>
      <w:pPr>
        <w:spacing w:line="129" w:lineRule="exact" w:before="1"/>
        <w:ind w:left="446" w:right="0" w:firstLine="0"/>
        <w:jc w:val="left"/>
        <w:rPr>
          <w:sz w:val="12"/>
        </w:rPr>
      </w:pPr>
      <w:r>
        <w:rPr>
          <w:color w:val="231F20"/>
          <w:sz w:val="12"/>
        </w:rPr>
        <w:t>Percentage points</w:t>
      </w:r>
    </w:p>
    <w:p>
      <w:pPr>
        <w:spacing w:line="129" w:lineRule="exact" w:before="0"/>
        <w:ind w:left="1370" w:right="0" w:firstLine="0"/>
        <w:jc w:val="left"/>
        <w:rPr>
          <w:sz w:val="12"/>
        </w:rPr>
      </w:pPr>
      <w:r>
        <w:rPr>
          <w:color w:val="231F20"/>
          <w:sz w:val="12"/>
        </w:rPr>
        <w:t>5</w:t>
      </w:r>
    </w:p>
    <w:p>
      <w:pPr>
        <w:spacing w:after="0" w:line="129" w:lineRule="exact"/>
        <w:jc w:val="left"/>
        <w:rPr>
          <w:sz w:val="12"/>
        </w:rPr>
        <w:sectPr>
          <w:type w:val="continuous"/>
          <w:pgSz w:w="11900" w:h="16840"/>
          <w:pgMar w:top="1220" w:bottom="280" w:left="620" w:right="520"/>
          <w:cols w:num="3" w:equalWidth="0">
            <w:col w:w="1880" w:space="40"/>
            <w:col w:w="1377" w:space="39"/>
            <w:col w:w="7424"/>
          </w:cols>
        </w:sectPr>
      </w:pPr>
    </w:p>
    <w:p>
      <w:pPr>
        <w:pStyle w:val="BodyText"/>
        <w:spacing w:before="2"/>
        <w:rPr>
          <w:sz w:val="16"/>
        </w:rPr>
      </w:pPr>
    </w:p>
    <w:p>
      <w:pPr>
        <w:spacing w:before="96"/>
        <w:ind w:left="0" w:right="1284" w:firstLine="0"/>
        <w:jc w:val="center"/>
        <w:rPr>
          <w:sz w:val="12"/>
        </w:rPr>
      </w:pPr>
      <w:r>
        <w:rPr>
          <w:color w:val="231F20"/>
          <w:sz w:val="12"/>
        </w:rPr>
        <w:t>4</w:t>
      </w:r>
    </w:p>
    <w:p>
      <w:pPr>
        <w:pStyle w:val="BodyText"/>
        <w:spacing w:before="5"/>
        <w:rPr>
          <w:sz w:val="14"/>
        </w:rPr>
      </w:pPr>
    </w:p>
    <w:p>
      <w:pPr>
        <w:spacing w:before="96"/>
        <w:ind w:left="0" w:right="1284" w:firstLine="0"/>
        <w:jc w:val="center"/>
        <w:rPr>
          <w:sz w:val="12"/>
        </w:rPr>
      </w:pPr>
      <w:r>
        <w:rPr>
          <w:color w:val="231F20"/>
          <w:sz w:val="12"/>
        </w:rPr>
        <w:t>3</w:t>
      </w:r>
    </w:p>
    <w:p>
      <w:pPr>
        <w:pStyle w:val="BodyText"/>
        <w:spacing w:before="2"/>
        <w:rPr>
          <w:sz w:val="16"/>
        </w:rPr>
      </w:pPr>
    </w:p>
    <w:p>
      <w:pPr>
        <w:spacing w:before="96"/>
        <w:ind w:left="0" w:right="1284" w:firstLine="0"/>
        <w:jc w:val="center"/>
        <w:rPr>
          <w:sz w:val="12"/>
        </w:rPr>
      </w:pPr>
      <w:r>
        <w:rPr>
          <w:color w:val="231F20"/>
          <w:sz w:val="12"/>
        </w:rPr>
        <w:t>2</w:t>
      </w:r>
    </w:p>
    <w:p>
      <w:pPr>
        <w:pStyle w:val="BodyText"/>
        <w:rPr>
          <w:sz w:val="12"/>
        </w:rPr>
      </w:pPr>
    </w:p>
    <w:p>
      <w:pPr>
        <w:pStyle w:val="BodyText"/>
        <w:spacing w:before="8"/>
        <w:rPr>
          <w:sz w:val="10"/>
        </w:rPr>
      </w:pPr>
    </w:p>
    <w:p>
      <w:pPr>
        <w:spacing w:before="1"/>
        <w:ind w:left="0" w:right="1284" w:firstLine="0"/>
        <w:jc w:val="center"/>
        <w:rPr>
          <w:sz w:val="12"/>
        </w:rPr>
      </w:pPr>
      <w:r>
        <w:rPr>
          <w:color w:val="231F20"/>
          <w:sz w:val="12"/>
        </w:rPr>
        <w:t>1</w:t>
      </w:r>
    </w:p>
    <w:p>
      <w:pPr>
        <w:spacing w:before="44"/>
        <w:ind w:left="0" w:right="1454" w:firstLine="0"/>
        <w:jc w:val="center"/>
        <w:rPr>
          <w:sz w:val="16"/>
        </w:rPr>
      </w:pPr>
      <w:r>
        <w:rPr>
          <w:color w:val="231F20"/>
          <w:sz w:val="16"/>
        </w:rPr>
        <w:t>+</w:t>
      </w:r>
    </w:p>
    <w:p>
      <w:pPr>
        <w:spacing w:line="114" w:lineRule="exact" w:before="54"/>
        <w:ind w:left="0" w:right="1284" w:firstLine="0"/>
        <w:jc w:val="center"/>
        <w:rPr>
          <w:sz w:val="12"/>
        </w:rPr>
      </w:pPr>
      <w:r>
        <w:rPr>
          <w:color w:val="231F20"/>
          <w:sz w:val="12"/>
        </w:rPr>
        <w:t>0</w:t>
      </w:r>
    </w:p>
    <w:p>
      <w:pPr>
        <w:spacing w:line="160" w:lineRule="exact" w:before="0"/>
        <w:ind w:left="0" w:right="1464" w:firstLine="0"/>
        <w:jc w:val="center"/>
        <w:rPr>
          <w:sz w:val="16"/>
        </w:rPr>
      </w:pPr>
      <w:r>
        <w:rPr>
          <w:color w:val="231F20"/>
          <w:sz w:val="16"/>
        </w:rPr>
        <w:t>_</w:t>
      </w:r>
    </w:p>
    <w:p>
      <w:pPr>
        <w:spacing w:before="126"/>
        <w:ind w:left="0" w:right="1284" w:firstLine="0"/>
        <w:jc w:val="center"/>
        <w:rPr>
          <w:sz w:val="12"/>
        </w:rPr>
      </w:pPr>
      <w:r>
        <w:rPr>
          <w:color w:val="231F20"/>
          <w:sz w:val="12"/>
        </w:rPr>
        <w:t>1</w:t>
      </w:r>
    </w:p>
    <w:p>
      <w:pPr>
        <w:pStyle w:val="BodyText"/>
        <w:spacing w:before="3"/>
        <w:rPr>
          <w:sz w:val="16"/>
        </w:rPr>
      </w:pPr>
    </w:p>
    <w:p>
      <w:pPr>
        <w:spacing w:before="95"/>
        <w:ind w:left="0" w:right="1284" w:firstLine="0"/>
        <w:jc w:val="center"/>
        <w:rPr>
          <w:sz w:val="12"/>
        </w:rPr>
      </w:pPr>
      <w:r>
        <w:rPr>
          <w:color w:val="231F20"/>
          <w:sz w:val="12"/>
        </w:rPr>
        <w:t>2</w:t>
      </w:r>
    </w:p>
    <w:p>
      <w:pPr>
        <w:tabs>
          <w:tab w:pos="1189" w:val="left" w:leader="none"/>
          <w:tab w:pos="2344" w:val="left" w:leader="none"/>
          <w:tab w:pos="3409" w:val="left" w:leader="none"/>
        </w:tabs>
        <w:spacing w:before="14"/>
        <w:ind w:left="0" w:right="5761" w:firstLine="0"/>
        <w:jc w:val="center"/>
        <w:rPr>
          <w:sz w:val="12"/>
        </w:rPr>
      </w:pPr>
      <w:r>
        <w:rPr>
          <w:color w:val="231F20"/>
          <w:sz w:val="12"/>
        </w:rPr>
        <w:t>1992</w:t>
        <w:tab/>
        <w:t>94</w:t>
        <w:tab/>
        <w:t>96</w:t>
        <w:tab/>
        <w:t>98 H1</w:t>
      </w:r>
    </w:p>
    <w:p>
      <w:pPr>
        <w:pStyle w:val="BodyText"/>
        <w:rPr>
          <w:sz w:val="12"/>
        </w:rPr>
      </w:pPr>
    </w:p>
    <w:p>
      <w:pPr>
        <w:pStyle w:val="Heading7"/>
        <w:spacing w:before="91"/>
        <w:ind w:left="406"/>
      </w:pPr>
      <w:r>
        <w:rPr>
          <w:color w:val="0093C1"/>
        </w:rPr>
        <w:t>Chart 5</w:t>
      </w:r>
    </w:p>
    <w:p>
      <w:pPr>
        <w:spacing w:before="10"/>
        <w:ind w:left="406" w:right="0" w:firstLine="0"/>
        <w:jc w:val="left"/>
        <w:rPr>
          <w:sz w:val="12"/>
        </w:rPr>
      </w:pPr>
      <w:r>
        <w:rPr>
          <w:b/>
          <w:color w:val="0093C1"/>
          <w:sz w:val="20"/>
        </w:rPr>
        <w:t>Shares in GDP</w:t>
      </w:r>
      <w:r>
        <w:rPr>
          <w:color w:val="231F20"/>
          <w:position w:val="4"/>
          <w:sz w:val="12"/>
        </w:rPr>
        <w:t>(a)</w:t>
      </w:r>
    </w:p>
    <w:p>
      <w:pPr>
        <w:pStyle w:val="BodyText"/>
        <w:spacing w:before="9"/>
        <w:rPr>
          <w:sz w:val="25"/>
        </w:rPr>
      </w:pPr>
    </w:p>
    <w:p>
      <w:pPr>
        <w:spacing w:after="0"/>
        <w:rPr>
          <w:sz w:val="25"/>
        </w:rPr>
        <w:sectPr>
          <w:type w:val="continuous"/>
          <w:pgSz w:w="11900" w:h="16840"/>
          <w:pgMar w:top="1220" w:bottom="280" w:left="620" w:right="520"/>
        </w:sectPr>
      </w:pPr>
    </w:p>
    <w:p>
      <w:pPr>
        <w:spacing w:line="393" w:lineRule="auto" w:before="95"/>
        <w:ind w:left="926" w:right="267" w:firstLine="0"/>
        <w:jc w:val="left"/>
        <w:rPr>
          <w:sz w:val="12"/>
        </w:rPr>
      </w:pPr>
      <w:r>
        <w:rPr/>
        <w:pict>
          <v:shape style="position:absolute;margin-left:64.167pt;margin-top:21.018555pt;width:.1pt;height:.1pt;mso-position-horizontal-relative:page;mso-position-vertical-relative:paragraph;z-index:15844352" coordorigin="1283,420" coordsize="0,0" path="m1283,420e" filled="true" fillcolor="#952e48" stroked="false">
            <v:path arrowok="t"/>
            <v:fill type="solid"/>
            <w10:wrap type="none"/>
          </v:shape>
        </w:pict>
      </w:r>
      <w:r>
        <w:rPr/>
        <w:pict>
          <v:shape style="position:absolute;margin-left:64.167pt;margin-top:8.351555pt;width:.1pt;height:.1pt;mso-position-horizontal-relative:page;mso-position-vertical-relative:paragraph;z-index:15844864" coordorigin="1283,167" coordsize="0,0" path="m1283,167e" filled="true" fillcolor="#952e48" stroked="false">
            <v:path arrowok="t"/>
            <v:fill type="solid"/>
            <w10:wrap type="none"/>
          </v:shape>
        </w:pict>
      </w:r>
      <w:r>
        <w:rPr/>
        <w:pict>
          <v:shape style="position:absolute;margin-left:57.823002pt;margin-top:2.007555pt;width:12.95pt;height:63.45pt;mso-position-horizontal-relative:page;mso-position-vertical-relative:paragraph;z-index:1584640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
                  </w:tblGrid>
                  <w:tr>
                    <w:trPr>
                      <w:trHeight w:val="233" w:hRule="atLeast"/>
                    </w:trPr>
                    <w:tc>
                      <w:tcPr>
                        <w:tcW w:w="244" w:type="dxa"/>
                        <w:tcBorders>
                          <w:bottom w:val="single" w:sz="8" w:space="0" w:color="000000"/>
                        </w:tcBorders>
                        <w:shd w:val="clear" w:color="auto" w:fill="008256"/>
                      </w:tcPr>
                      <w:p>
                        <w:pPr>
                          <w:pStyle w:val="TableParagraph"/>
                          <w:rPr>
                            <w:sz w:val="12"/>
                          </w:rPr>
                        </w:pPr>
                      </w:p>
                    </w:tc>
                  </w:tr>
                  <w:tr>
                    <w:trPr>
                      <w:trHeight w:val="233" w:hRule="atLeast"/>
                    </w:trPr>
                    <w:tc>
                      <w:tcPr>
                        <w:tcW w:w="244" w:type="dxa"/>
                        <w:tcBorders>
                          <w:top w:val="single" w:sz="8" w:space="0" w:color="000000"/>
                          <w:bottom w:val="single" w:sz="8" w:space="0" w:color="000000"/>
                        </w:tcBorders>
                        <w:shd w:val="clear" w:color="auto" w:fill="B8BABC"/>
                      </w:tcPr>
                      <w:p>
                        <w:pPr>
                          <w:pStyle w:val="TableParagraph"/>
                          <w:rPr>
                            <w:sz w:val="12"/>
                          </w:rPr>
                        </w:pPr>
                      </w:p>
                    </w:tc>
                  </w:tr>
                  <w:tr>
                    <w:trPr>
                      <w:trHeight w:val="230" w:hRule="atLeast"/>
                    </w:trPr>
                    <w:tc>
                      <w:tcPr>
                        <w:tcW w:w="244" w:type="dxa"/>
                        <w:tcBorders>
                          <w:top w:val="single" w:sz="8" w:space="0" w:color="000000"/>
                          <w:bottom w:val="double" w:sz="1" w:space="0" w:color="000000"/>
                        </w:tcBorders>
                        <w:shd w:val="clear" w:color="auto" w:fill="0066A5"/>
                      </w:tcPr>
                      <w:p>
                        <w:pPr>
                          <w:pStyle w:val="TableParagraph"/>
                          <w:rPr>
                            <w:sz w:val="12"/>
                          </w:rPr>
                        </w:pPr>
                      </w:p>
                    </w:tc>
                  </w:tr>
                  <w:tr>
                    <w:trPr>
                      <w:trHeight w:val="229" w:hRule="atLeast"/>
                    </w:trPr>
                    <w:tc>
                      <w:tcPr>
                        <w:tcW w:w="244" w:type="dxa"/>
                        <w:tcBorders>
                          <w:top w:val="double" w:sz="1" w:space="0" w:color="000000"/>
                          <w:bottom w:val="single" w:sz="8" w:space="0" w:color="000000"/>
                        </w:tcBorders>
                        <w:shd w:val="clear" w:color="auto" w:fill="FFC40C"/>
                      </w:tcPr>
                      <w:p>
                        <w:pPr>
                          <w:pStyle w:val="TableParagraph"/>
                          <w:rPr>
                            <w:sz w:val="12"/>
                          </w:rPr>
                        </w:pPr>
                      </w:p>
                    </w:tc>
                  </w:tr>
                  <w:tr>
                    <w:trPr>
                      <w:trHeight w:val="231" w:hRule="atLeast"/>
                    </w:trPr>
                    <w:tc>
                      <w:tcPr>
                        <w:tcW w:w="244" w:type="dxa"/>
                        <w:tcBorders>
                          <w:top w:val="single" w:sz="8" w:space="0" w:color="000000"/>
                        </w:tcBorders>
                        <w:shd w:val="clear" w:color="auto" w:fill="75442B"/>
                      </w:tcPr>
                      <w:p>
                        <w:pPr>
                          <w:pStyle w:val="TableParagraph"/>
                          <w:rPr>
                            <w:sz w:val="12"/>
                          </w:rPr>
                        </w:pPr>
                      </w:p>
                    </w:tc>
                  </w:tr>
                </w:tbl>
                <w:p>
                  <w:pPr>
                    <w:pStyle w:val="BodyText"/>
                  </w:pPr>
                </w:p>
              </w:txbxContent>
            </v:textbox>
            <w10:wrap type="none"/>
          </v:shape>
        </w:pict>
      </w:r>
      <w:r>
        <w:rPr>
          <w:color w:val="231F20"/>
          <w:sz w:val="12"/>
        </w:rPr>
        <w:t>Agriculture Mining</w:t>
      </w:r>
    </w:p>
    <w:p>
      <w:pPr>
        <w:spacing w:before="47"/>
        <w:ind w:left="926" w:right="0" w:firstLine="0"/>
        <w:jc w:val="left"/>
        <w:rPr>
          <w:sz w:val="12"/>
        </w:rPr>
      </w:pPr>
      <w:r>
        <w:rPr/>
        <w:pict>
          <v:shape style="position:absolute;margin-left:64.167pt;margin-top:6.28557pt;width:.1pt;height:.1pt;mso-position-horizontal-relative:page;mso-position-vertical-relative:paragraph;z-index:15843840" coordorigin="1283,126" coordsize="0,0" path="m1283,126e" filled="true" fillcolor="#952e48" stroked="false">
            <v:path arrowok="t"/>
            <v:fill type="solid"/>
            <w10:wrap type="none"/>
          </v:shape>
        </w:pict>
      </w:r>
      <w:r>
        <w:rPr>
          <w:sz w:val="12"/>
        </w:rPr>
        <w:t>Manufacturing</w:t>
      </w:r>
    </w:p>
    <w:p>
      <w:pPr>
        <w:spacing w:line="250" w:lineRule="atLeast" w:before="10"/>
        <w:ind w:left="926" w:right="201" w:firstLine="0"/>
        <w:jc w:val="left"/>
        <w:rPr>
          <w:sz w:val="12"/>
        </w:rPr>
      </w:pPr>
      <w:r>
        <w:rPr/>
        <w:pict>
          <v:shape style="position:absolute;margin-left:64.167pt;margin-top:9.951744pt;width:.1pt;height:.1pt;mso-position-horizontal-relative:page;mso-position-vertical-relative:paragraph;z-index:15842816" coordorigin="1283,199" coordsize="0,0" path="m1283,199e" filled="true" fillcolor="#952e48" stroked="false">
            <v:path arrowok="t"/>
            <v:fill type="solid"/>
            <w10:wrap type="none"/>
          </v:shape>
        </w:pict>
      </w:r>
      <w:r>
        <w:rPr/>
        <w:pict>
          <v:shape style="position:absolute;margin-left:64.167pt;margin-top:22.451744pt;width:.1pt;height:.1pt;mso-position-horizontal-relative:page;mso-position-vertical-relative:paragraph;z-index:15843328" coordorigin="1283,449" coordsize="0,0" path="m1283,449e" filled="true" fillcolor="#df6f1d" stroked="false">
            <v:path arrowok="t"/>
            <v:fill type="solid"/>
            <w10:wrap type="none"/>
          </v:shape>
        </w:pict>
      </w:r>
      <w:r>
        <w:rPr>
          <w:color w:val="231F20"/>
          <w:sz w:val="12"/>
        </w:rPr>
        <w:t>Utilities Construction</w:t>
      </w:r>
    </w:p>
    <w:p>
      <w:pPr>
        <w:spacing w:before="59"/>
        <w:ind w:left="0" w:right="38" w:firstLine="0"/>
        <w:jc w:val="right"/>
        <w:rPr>
          <w:sz w:val="12"/>
        </w:rPr>
      </w:pPr>
      <w:r>
        <w:rPr>
          <w:color w:val="231F20"/>
          <w:sz w:val="12"/>
        </w:rPr>
        <w:t>2% </w:t>
      </w:r>
      <w:r>
        <w:rPr>
          <w:color w:val="231F20"/>
          <w:position w:val="-3"/>
          <w:sz w:val="12"/>
        </w:rPr>
        <w:t>2%</w:t>
      </w:r>
    </w:p>
    <w:p>
      <w:pPr>
        <w:spacing w:line="388" w:lineRule="auto" w:before="98"/>
        <w:ind w:left="926" w:right="7280" w:firstLine="0"/>
        <w:jc w:val="left"/>
        <w:rPr>
          <w:sz w:val="12"/>
        </w:rPr>
      </w:pPr>
      <w:r>
        <w:rPr/>
        <w:br w:type="column"/>
      </w:r>
      <w:r>
        <w:rPr>
          <w:sz w:val="12"/>
        </w:rPr>
        <w:t>Distribution </w:t>
      </w:r>
      <w:r>
        <w:rPr>
          <w:color w:val="231F20"/>
          <w:sz w:val="12"/>
        </w:rPr>
        <w:t>Transport</w:t>
      </w:r>
    </w:p>
    <w:p>
      <w:pPr>
        <w:spacing w:line="463" w:lineRule="auto" w:before="43"/>
        <w:ind w:left="926" w:right="6847" w:firstLine="0"/>
        <w:jc w:val="left"/>
        <w:rPr>
          <w:sz w:val="12"/>
        </w:rPr>
      </w:pPr>
      <w:r>
        <w:rPr/>
        <w:pict>
          <v:shape style="position:absolute;margin-left:163.5pt;margin-top:-19.081636pt;width:.1pt;height:.1pt;mso-position-horizontal-relative:page;mso-position-vertical-relative:paragraph;z-index:15841792" coordorigin="3270,-382" coordsize="0,0" path="m3270,-382e" filled="true" fillcolor="#faab54" stroked="false">
            <v:path arrowok="t"/>
            <v:fill type="solid"/>
            <w10:wrap type="none"/>
          </v:shape>
        </w:pict>
      </w:r>
      <w:r>
        <w:rPr/>
        <w:pict>
          <v:shape style="position:absolute;margin-left:163.5pt;margin-top:-6.581636pt;width:.1pt;height:.1pt;mso-position-horizontal-relative:page;mso-position-vertical-relative:paragraph;z-index:15842304" coordorigin="3270,-132" coordsize="0,0" path="m3270,-132e" filled="true" fillcolor="#ffe7bd" stroked="false">
            <v:path arrowok="t"/>
            <v:fill type="solid"/>
            <w10:wrap type="none"/>
          </v:shape>
        </w:pict>
      </w:r>
      <w:r>
        <w:rPr/>
        <w:pict>
          <v:shape style="position:absolute;margin-left:163.5pt;margin-top:6.084364pt;width:.1pt;height:.1pt;mso-position-horizontal-relative:page;mso-position-vertical-relative:paragraph;z-index:15845376" coordorigin="3270,122" coordsize="0,0" path="m3270,122e" filled="true" fillcolor="#952e48" stroked="false">
            <v:path arrowok="t"/>
            <v:fill type="solid"/>
            <w10:wrap type="none"/>
          </v:shape>
        </w:pict>
      </w:r>
      <w:r>
        <w:rPr/>
        <w:pict>
          <v:shape style="position:absolute;margin-left:163.5pt;margin-top:18.418364pt;width:.1pt;height:.1pt;mso-position-horizontal-relative:page;mso-position-vertical-relative:paragraph;z-index:15845888" coordorigin="3270,368" coordsize="0,0" path="m3270,368e" filled="true" fillcolor="#952e48" stroked="false">
            <v:path arrowok="t"/>
            <v:fill type="solid"/>
            <w10:wrap type="none"/>
          </v:shape>
        </w:pict>
      </w:r>
      <w:r>
        <w:rPr/>
        <w:pict>
          <v:shape style="position:absolute;margin-left:157.156006pt;margin-top:-25.426636pt;width:12.95pt;height:50.2pt;mso-position-horizontal-relative:page;mso-position-vertical-relative:paragraph;z-index:15846912"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
                  </w:tblGrid>
                  <w:tr>
                    <w:trPr>
                      <w:trHeight w:val="231" w:hRule="atLeast"/>
                    </w:trPr>
                    <w:tc>
                      <w:tcPr>
                        <w:tcW w:w="244" w:type="dxa"/>
                        <w:tcBorders>
                          <w:bottom w:val="single" w:sz="8" w:space="0" w:color="000000"/>
                        </w:tcBorders>
                        <w:shd w:val="clear" w:color="auto" w:fill="952E40"/>
                      </w:tcPr>
                      <w:p>
                        <w:pPr>
                          <w:pStyle w:val="TableParagraph"/>
                          <w:rPr>
                            <w:sz w:val="12"/>
                          </w:rPr>
                        </w:pPr>
                      </w:p>
                    </w:tc>
                  </w:tr>
                  <w:tr>
                    <w:trPr>
                      <w:trHeight w:val="231" w:hRule="atLeast"/>
                    </w:trPr>
                    <w:tc>
                      <w:tcPr>
                        <w:tcW w:w="244" w:type="dxa"/>
                        <w:tcBorders>
                          <w:top w:val="single" w:sz="8" w:space="0" w:color="000000"/>
                          <w:bottom w:val="single" w:sz="8" w:space="0" w:color="000000"/>
                        </w:tcBorders>
                        <w:shd w:val="clear" w:color="auto" w:fill="0099D8"/>
                      </w:tcPr>
                      <w:p>
                        <w:pPr>
                          <w:pStyle w:val="TableParagraph"/>
                          <w:rPr>
                            <w:sz w:val="12"/>
                          </w:rPr>
                        </w:pPr>
                      </w:p>
                    </w:tc>
                  </w:tr>
                  <w:tr>
                    <w:trPr>
                      <w:trHeight w:val="232" w:hRule="atLeast"/>
                    </w:trPr>
                    <w:tc>
                      <w:tcPr>
                        <w:tcW w:w="244" w:type="dxa"/>
                        <w:tcBorders>
                          <w:top w:val="single" w:sz="8" w:space="0" w:color="000000"/>
                          <w:bottom w:val="single" w:sz="6" w:space="0" w:color="000000"/>
                        </w:tcBorders>
                        <w:shd w:val="clear" w:color="auto" w:fill="A790C4"/>
                      </w:tcPr>
                      <w:p>
                        <w:pPr>
                          <w:pStyle w:val="TableParagraph"/>
                          <w:rPr>
                            <w:sz w:val="12"/>
                          </w:rPr>
                        </w:pPr>
                      </w:p>
                    </w:tc>
                  </w:tr>
                  <w:tr>
                    <w:trPr>
                      <w:trHeight w:val="232" w:hRule="atLeast"/>
                    </w:trPr>
                    <w:tc>
                      <w:tcPr>
                        <w:tcW w:w="244" w:type="dxa"/>
                        <w:tcBorders>
                          <w:top w:val="single" w:sz="6" w:space="0" w:color="000000"/>
                        </w:tcBorders>
                        <w:shd w:val="clear" w:color="auto" w:fill="ED1B2D"/>
                      </w:tcPr>
                      <w:p>
                        <w:pPr>
                          <w:pStyle w:val="TableParagraph"/>
                          <w:rPr>
                            <w:sz w:val="12"/>
                          </w:rPr>
                        </w:pPr>
                      </w:p>
                    </w:tc>
                  </w:tr>
                </w:tbl>
                <w:p>
                  <w:pPr>
                    <w:pStyle w:val="BodyText"/>
                  </w:pPr>
                </w:p>
              </w:txbxContent>
            </v:textbox>
            <w10:wrap type="none"/>
          </v:shape>
        </w:pict>
      </w:r>
      <w:r>
        <w:rPr>
          <w:color w:val="231F20"/>
          <w:sz w:val="12"/>
        </w:rPr>
        <w:t>Business and finance Government</w:t>
      </w:r>
    </w:p>
    <w:p>
      <w:pPr>
        <w:pStyle w:val="BodyText"/>
        <w:spacing w:before="8"/>
        <w:rPr>
          <w:sz w:val="16"/>
        </w:rPr>
      </w:pPr>
    </w:p>
    <w:p>
      <w:pPr>
        <w:spacing w:before="0"/>
        <w:ind w:left="1673" w:right="0" w:firstLine="0"/>
        <w:jc w:val="left"/>
        <w:rPr>
          <w:sz w:val="12"/>
        </w:rPr>
      </w:pPr>
      <w:r>
        <w:rPr>
          <w:color w:val="231F20"/>
          <w:position w:val="2"/>
          <w:sz w:val="12"/>
        </w:rPr>
        <w:t>2% </w:t>
      </w:r>
      <w:r>
        <w:rPr>
          <w:color w:val="231F20"/>
          <w:sz w:val="12"/>
        </w:rPr>
        <w:t>3%</w:t>
      </w:r>
    </w:p>
    <w:p>
      <w:pPr>
        <w:spacing w:after="0"/>
        <w:jc w:val="left"/>
        <w:rPr>
          <w:sz w:val="12"/>
        </w:rPr>
        <w:sectPr>
          <w:type w:val="continuous"/>
          <w:pgSz w:w="11900" w:h="16840"/>
          <w:pgMar w:top="1220" w:bottom="280" w:left="620" w:right="520"/>
          <w:cols w:num="2" w:equalWidth="0">
            <w:col w:w="1767" w:space="186"/>
            <w:col w:w="8807"/>
          </w:cols>
        </w:sectPr>
      </w:pPr>
    </w:p>
    <w:p>
      <w:pPr>
        <w:pStyle w:val="BodyText"/>
        <w:spacing w:before="7"/>
        <w:rPr>
          <w:sz w:val="23"/>
        </w:rPr>
      </w:pPr>
    </w:p>
    <w:p>
      <w:pPr>
        <w:spacing w:after="0"/>
        <w:rPr>
          <w:sz w:val="23"/>
        </w:rPr>
        <w:sectPr>
          <w:type w:val="continuous"/>
          <w:pgSz w:w="11900" w:h="16840"/>
          <w:pgMar w:top="1220" w:bottom="280" w:left="620" w:right="520"/>
        </w:sectPr>
      </w:pPr>
    </w:p>
    <w:p>
      <w:pPr>
        <w:spacing w:before="95"/>
        <w:ind w:left="0" w:right="0" w:firstLine="0"/>
        <w:jc w:val="right"/>
        <w:rPr>
          <w:sz w:val="12"/>
        </w:rPr>
      </w:pPr>
      <w:r>
        <w:rPr>
          <w:sz w:val="12"/>
        </w:rPr>
        <w:t>21%</w:t>
      </w:r>
    </w:p>
    <w:p>
      <w:pPr>
        <w:pStyle w:val="BodyText"/>
        <w:rPr>
          <w:sz w:val="12"/>
        </w:rPr>
      </w:pPr>
      <w:r>
        <w:rPr/>
        <w:br w:type="column"/>
      </w:r>
      <w:r>
        <w:rPr>
          <w:sz w:val="12"/>
        </w:rPr>
      </w:r>
    </w:p>
    <w:p>
      <w:pPr>
        <w:pStyle w:val="BodyText"/>
        <w:spacing w:before="1"/>
        <w:rPr>
          <w:sz w:val="12"/>
        </w:rPr>
      </w:pPr>
    </w:p>
    <w:p>
      <w:pPr>
        <w:spacing w:before="0"/>
        <w:ind w:left="483" w:right="0" w:firstLine="0"/>
        <w:jc w:val="left"/>
        <w:rPr>
          <w:sz w:val="12"/>
        </w:rPr>
      </w:pPr>
      <w:r>
        <w:rPr>
          <w:sz w:val="12"/>
        </w:rPr>
        <w:t>23%</w:t>
      </w:r>
    </w:p>
    <w:p>
      <w:pPr>
        <w:pStyle w:val="BodyText"/>
        <w:spacing w:before="4"/>
        <w:rPr>
          <w:sz w:val="9"/>
        </w:rPr>
      </w:pPr>
      <w:r>
        <w:rPr/>
        <w:br w:type="column"/>
      </w:r>
      <w:r>
        <w:rPr>
          <w:sz w:val="9"/>
        </w:rPr>
      </w:r>
    </w:p>
    <w:p>
      <w:pPr>
        <w:spacing w:before="1"/>
        <w:ind w:left="0" w:right="0" w:firstLine="0"/>
        <w:jc w:val="right"/>
        <w:rPr>
          <w:sz w:val="12"/>
        </w:rPr>
      </w:pPr>
      <w:r>
        <w:rPr>
          <w:sz w:val="12"/>
        </w:rPr>
        <w:t>23%</w:t>
      </w:r>
    </w:p>
    <w:p>
      <w:pPr>
        <w:pStyle w:val="BodyText"/>
        <w:spacing w:before="2"/>
        <w:rPr>
          <w:sz w:val="15"/>
        </w:rPr>
      </w:pPr>
      <w:r>
        <w:rPr/>
        <w:br w:type="column"/>
      </w:r>
      <w:r>
        <w:rPr>
          <w:sz w:val="15"/>
        </w:rPr>
      </w:r>
    </w:p>
    <w:p>
      <w:pPr>
        <w:spacing w:before="0"/>
        <w:ind w:left="560" w:right="0" w:firstLine="0"/>
        <w:jc w:val="left"/>
        <w:rPr>
          <w:sz w:val="12"/>
        </w:rPr>
      </w:pPr>
      <w:r>
        <w:rPr>
          <w:sz w:val="12"/>
        </w:rPr>
        <w:t>22%</w:t>
      </w:r>
    </w:p>
    <w:p>
      <w:pPr>
        <w:spacing w:after="0"/>
        <w:jc w:val="left"/>
        <w:rPr>
          <w:sz w:val="12"/>
        </w:rPr>
        <w:sectPr>
          <w:type w:val="continuous"/>
          <w:pgSz w:w="11900" w:h="16840"/>
          <w:pgMar w:top="1220" w:bottom="280" w:left="620" w:right="520"/>
          <w:cols w:num="4" w:equalWidth="0">
            <w:col w:w="1164" w:space="40"/>
            <w:col w:w="744" w:space="246"/>
            <w:col w:w="1164" w:space="39"/>
            <w:col w:w="7363"/>
          </w:cols>
        </w:sectPr>
      </w:pPr>
    </w:p>
    <w:p>
      <w:pPr>
        <w:pStyle w:val="BodyText"/>
        <w:spacing w:before="10"/>
        <w:rPr>
          <w:sz w:val="10"/>
        </w:rPr>
      </w:pPr>
    </w:p>
    <w:p>
      <w:pPr>
        <w:spacing w:after="0"/>
        <w:rPr>
          <w:sz w:val="10"/>
        </w:rPr>
        <w:sectPr>
          <w:type w:val="continuous"/>
          <w:pgSz w:w="11900" w:h="16840"/>
          <w:pgMar w:top="1220" w:bottom="280" w:left="620" w:right="520"/>
        </w:sectPr>
      </w:pPr>
    </w:p>
    <w:p>
      <w:pPr>
        <w:pStyle w:val="BodyText"/>
        <w:spacing w:before="9"/>
        <w:rPr>
          <w:sz w:val="11"/>
        </w:rPr>
      </w:pPr>
    </w:p>
    <w:p>
      <w:pPr>
        <w:spacing w:before="0"/>
        <w:ind w:left="726" w:right="0" w:firstLine="0"/>
        <w:jc w:val="left"/>
        <w:rPr>
          <w:sz w:val="12"/>
        </w:rPr>
      </w:pPr>
      <w:r>
        <w:rPr>
          <w:sz w:val="12"/>
        </w:rPr>
        <w:t>19%</w:t>
      </w:r>
    </w:p>
    <w:p>
      <w:pPr>
        <w:pStyle w:val="BodyText"/>
        <w:rPr>
          <w:sz w:val="12"/>
        </w:rPr>
      </w:pPr>
    </w:p>
    <w:p>
      <w:pPr>
        <w:pStyle w:val="BodyText"/>
        <w:rPr>
          <w:sz w:val="12"/>
        </w:rPr>
      </w:pPr>
    </w:p>
    <w:p>
      <w:pPr>
        <w:spacing w:before="81"/>
        <w:ind w:left="0" w:right="0" w:firstLine="0"/>
        <w:jc w:val="right"/>
        <w:rPr>
          <w:sz w:val="12"/>
        </w:rPr>
      </w:pPr>
      <w:r>
        <w:rPr>
          <w:sz w:val="12"/>
        </w:rPr>
        <w:t>8%</w:t>
      </w:r>
    </w:p>
    <w:p>
      <w:pPr>
        <w:pStyle w:val="BodyText"/>
        <w:rPr>
          <w:sz w:val="12"/>
        </w:rPr>
      </w:pPr>
      <w:r>
        <w:rPr/>
        <w:br w:type="column"/>
      </w:r>
      <w:r>
        <w:rPr>
          <w:sz w:val="12"/>
        </w:rPr>
      </w:r>
    </w:p>
    <w:p>
      <w:pPr>
        <w:spacing w:line="134" w:lineRule="exact" w:before="79"/>
        <w:ind w:left="996" w:right="0" w:firstLine="0"/>
        <w:jc w:val="left"/>
        <w:rPr>
          <w:sz w:val="12"/>
        </w:rPr>
      </w:pPr>
      <w:r>
        <w:rPr>
          <w:color w:val="231F20"/>
          <w:sz w:val="12"/>
        </w:rPr>
        <w:t>2%</w:t>
      </w:r>
    </w:p>
    <w:p>
      <w:pPr>
        <w:spacing w:line="134" w:lineRule="exact" w:before="0"/>
        <w:ind w:left="633" w:right="0" w:firstLine="0"/>
        <w:jc w:val="left"/>
        <w:rPr>
          <w:sz w:val="12"/>
        </w:rPr>
      </w:pPr>
      <w:r>
        <w:rPr>
          <w:sz w:val="12"/>
        </w:rPr>
        <w:t>7%</w:t>
      </w:r>
    </w:p>
    <w:p>
      <w:pPr>
        <w:spacing w:before="95"/>
        <w:ind w:left="193" w:right="0" w:firstLine="0"/>
        <w:jc w:val="left"/>
        <w:rPr>
          <w:sz w:val="12"/>
        </w:rPr>
      </w:pPr>
      <w:r>
        <w:rPr>
          <w:sz w:val="12"/>
        </w:rPr>
        <w:t>14%</w:t>
      </w:r>
    </w:p>
    <w:p>
      <w:pPr>
        <w:pStyle w:val="BodyText"/>
        <w:rPr>
          <w:sz w:val="12"/>
        </w:rPr>
      </w:pPr>
      <w:r>
        <w:rPr/>
        <w:br w:type="column"/>
      </w:r>
      <w:r>
        <w:rPr>
          <w:sz w:val="12"/>
        </w:rPr>
      </w:r>
    </w:p>
    <w:p>
      <w:pPr>
        <w:pStyle w:val="BodyText"/>
        <w:spacing w:before="5"/>
        <w:rPr>
          <w:sz w:val="12"/>
        </w:rPr>
      </w:pPr>
    </w:p>
    <w:p>
      <w:pPr>
        <w:spacing w:before="0"/>
        <w:ind w:left="576" w:right="0" w:firstLine="0"/>
        <w:jc w:val="left"/>
        <w:rPr>
          <w:sz w:val="12"/>
        </w:rPr>
      </w:pPr>
      <w:r>
        <w:rPr>
          <w:sz w:val="12"/>
        </w:rPr>
        <w:t>21%</w:t>
      </w:r>
    </w:p>
    <w:p>
      <w:pPr>
        <w:pStyle w:val="BodyText"/>
        <w:rPr>
          <w:sz w:val="12"/>
        </w:rPr>
      </w:pPr>
    </w:p>
    <w:p>
      <w:pPr>
        <w:pStyle w:val="BodyText"/>
        <w:spacing w:before="8"/>
        <w:rPr>
          <w:sz w:val="13"/>
        </w:rPr>
      </w:pPr>
    </w:p>
    <w:p>
      <w:pPr>
        <w:spacing w:before="0"/>
        <w:ind w:left="0" w:right="0" w:firstLine="0"/>
        <w:jc w:val="right"/>
        <w:rPr>
          <w:sz w:val="12"/>
        </w:rPr>
      </w:pPr>
      <w:r>
        <w:rPr>
          <w:sz w:val="12"/>
        </w:rPr>
        <w:t>8%</w:t>
      </w:r>
    </w:p>
    <w:p>
      <w:pPr>
        <w:spacing w:line="136" w:lineRule="exact" w:before="95"/>
        <w:ind w:left="880" w:right="0" w:firstLine="0"/>
        <w:jc w:val="left"/>
        <w:rPr>
          <w:sz w:val="12"/>
        </w:rPr>
      </w:pPr>
      <w:r>
        <w:rPr/>
        <w:br w:type="column"/>
      </w:r>
      <w:r>
        <w:rPr>
          <w:color w:val="231F20"/>
          <w:sz w:val="12"/>
        </w:rPr>
        <w:t>3%</w:t>
      </w:r>
    </w:p>
    <w:p>
      <w:pPr>
        <w:spacing w:line="136" w:lineRule="exact" w:before="0"/>
        <w:ind w:left="573" w:right="0" w:firstLine="0"/>
        <w:jc w:val="left"/>
        <w:rPr>
          <w:sz w:val="12"/>
        </w:rPr>
      </w:pPr>
      <w:r>
        <w:rPr>
          <w:sz w:val="12"/>
        </w:rPr>
        <w:t>5%</w:t>
      </w:r>
    </w:p>
    <w:p>
      <w:pPr>
        <w:pStyle w:val="BodyText"/>
        <w:spacing w:before="7"/>
        <w:rPr>
          <w:sz w:val="10"/>
        </w:rPr>
      </w:pPr>
    </w:p>
    <w:p>
      <w:pPr>
        <w:spacing w:before="0"/>
        <w:ind w:left="176" w:right="0" w:firstLine="0"/>
        <w:jc w:val="left"/>
        <w:rPr>
          <w:sz w:val="12"/>
        </w:rPr>
      </w:pPr>
      <w:r>
        <w:rPr>
          <w:sz w:val="12"/>
        </w:rPr>
        <w:t>15%</w:t>
      </w:r>
    </w:p>
    <w:p>
      <w:pPr>
        <w:spacing w:after="0"/>
        <w:jc w:val="left"/>
        <w:rPr>
          <w:sz w:val="12"/>
        </w:rPr>
        <w:sectPr>
          <w:type w:val="continuous"/>
          <w:pgSz w:w="11900" w:h="16840"/>
          <w:pgMar w:top="1220" w:bottom="280" w:left="620" w:right="520"/>
          <w:cols w:num="4" w:equalWidth="0">
            <w:col w:w="1250" w:space="40"/>
            <w:col w:w="1157" w:space="39"/>
            <w:col w:w="1174" w:space="40"/>
            <w:col w:w="7060"/>
          </w:cols>
        </w:sectPr>
      </w:pPr>
    </w:p>
    <w:p>
      <w:pPr>
        <w:pStyle w:val="BodyText"/>
        <w:spacing w:before="3"/>
        <w:rPr>
          <w:sz w:val="11"/>
        </w:rPr>
      </w:pPr>
      <w:r>
        <w:rPr/>
        <w:pict>
          <v:group style="position:absolute;margin-left:39pt;margin-top:40pt;width:517pt;height:740pt;mso-position-horizontal-relative:page;mso-position-vertical-relative:page;z-index:-21647360" coordorigin="780,800" coordsize="10340,14800">
            <v:shape style="position:absolute;left:800;top:820;width:10300;height:14760" coordorigin="800,820" coordsize="10300,14760" path="m11100,820l5964,820,5936,820,800,820,800,8171,800,8229,800,15580,5936,15580,5964,15580,11100,15580,11100,820xe" filled="true" fillcolor="#c3e0dc" stroked="false">
              <v:path arrowok="t"/>
              <v:fill type="solid"/>
            </v:shape>
            <v:shape style="position:absolute;left:879;top:942;width:10141;height:14516" coordorigin="879,942" coordsize="10141,14516" path="m5950,942l879,8200,5950,15458,11020,8200,5950,942xe" filled="true" fillcolor="#c4e1dd" stroked="false">
              <v:path arrowok="t"/>
              <v:fill type="solid"/>
            </v:shape>
            <v:shape style="position:absolute;left:978;top:1084;width:9943;height:14231" coordorigin="979,1085" coordsize="9943,14231" path="m5950,1085l979,8200,5950,15315,10921,8200,5950,1085xe" filled="true" fillcolor="#c5e1dd" stroked="false">
              <v:path arrowok="t"/>
              <v:fill type="solid"/>
            </v:shape>
            <v:shape style="position:absolute;left:1078;top:1227;width:9744;height:13947" coordorigin="1078,1227" coordsize="9744,13947" path="m5950,1227l1078,8200,5950,15173,10822,8200,5950,1227xe" filled="true" fillcolor="#c6e2de" stroked="false">
              <v:path arrowok="t"/>
              <v:fill type="solid"/>
            </v:shape>
            <v:shape style="position:absolute;left:1177;top:1369;width:9545;height:13662" coordorigin="1178,1369" coordsize="9545,13662" path="m5950,1369l1178,8200,5950,15031,10722,8200,5950,1369xe" filled="true" fillcolor="#c7e2df" stroked="false">
              <v:path arrowok="t"/>
              <v:fill type="solid"/>
            </v:shape>
            <v:shape style="position:absolute;left:1277;top:1511;width:9346;height:13377" coordorigin="1277,1512" coordsize="9346,13377" path="m5950,1512l1277,8200,5950,14888,10623,8200,5950,1512xe" filled="true" fillcolor="#c8e3df" stroked="false">
              <v:path arrowok="t"/>
              <v:fill type="solid"/>
            </v:shape>
            <v:shape style="position:absolute;left:1376;top:1653;width:9147;height:13093" coordorigin="1377,1654" coordsize="9147,13093" path="m5950,1654l1377,8200,5950,14746,10523,8200,5950,1654xe" filled="true" fillcolor="#c9e3e0" stroked="false">
              <v:path arrowok="t"/>
              <v:fill type="solid"/>
            </v:shape>
            <v:shape style="position:absolute;left:1475;top:1796;width:8948;height:12808" coordorigin="1476,1796" coordsize="8948,12808" path="m5950,1796l1476,8200,5950,14604,10424,8200,5950,1796xe" filled="true" fillcolor="#cae4e0" stroked="false">
              <v:path arrowok="t"/>
              <v:fill type="solid"/>
            </v:shape>
            <v:shape style="position:absolute;left:1575;top:1938;width:8750;height:12523" coordorigin="1575,1939" coordsize="8750,12523" path="m5950,1939l1575,8200,5950,14462,10324,8200,5950,1939xe" filled="true" fillcolor="#cbe4e1" stroked="false">
              <v:path arrowok="t"/>
              <v:fill type="solid"/>
            </v:shape>
            <v:shape style="position:absolute;left:1674;top:2080;width:8551;height:12239" coordorigin="1675,2081" coordsize="8551,12239" path="m5950,2081l1675,8200,5950,14319,10225,8200,5950,2081xe" filled="true" fillcolor="#cce5e1" stroked="false">
              <v:path arrowok="t"/>
              <v:fill type="solid"/>
            </v:shape>
            <v:shape style="position:absolute;left:1774;top:2223;width:8352;height:11954" coordorigin="1774,2223" coordsize="8352,11954" path="m5950,2223l1774,8200,5950,14177,10126,8200,5950,2223xe" filled="true" fillcolor="#cde5e2" stroked="false">
              <v:path arrowok="t"/>
              <v:fill type="solid"/>
            </v:shape>
            <v:shape style="position:absolute;left:1873;top:2365;width:8153;height:11670" coordorigin="1874,2366" coordsize="8153,11670" path="m5950,2366l1874,8200,5950,14035,10026,8200,5950,2366xe" filled="true" fillcolor="#cee6e3" stroked="false">
              <v:path arrowok="t"/>
              <v:fill type="solid"/>
            </v:shape>
            <v:shape style="position:absolute;left:1973;top:2507;width:7954;height:11385" coordorigin="1973,2508" coordsize="7954,11385" path="m5950,2508l1973,8200,5950,13892,9927,8200,5950,2508xe" filled="true" fillcolor="#cfe6e3" stroked="false">
              <v:path arrowok="t"/>
              <v:fill type="solid"/>
            </v:shape>
            <v:shape style="position:absolute;left:2072;top:2650;width:7755;height:11100" coordorigin="2072,2650" coordsize="7755,11100" path="m5950,2650l2072,8200,5950,13750,9827,8200,5950,2650xe" filled="true" fillcolor="#d0e7e4" stroked="false">
              <v:path arrowok="t"/>
              <v:fill type="solid"/>
            </v:shape>
            <v:shape style="position:absolute;left:2171;top:2792;width:7557;height:10816" coordorigin="2172,2792" coordsize="7557,10816" path="m5950,2792l2172,8200,5950,13608,9728,8200,5950,2792xe" filled="true" fillcolor="#d1e7e4" stroked="false">
              <v:path arrowok="t"/>
              <v:fill type="solid"/>
            </v:shape>
            <v:shape style="position:absolute;left:2271;top:2934;width:7358;height:10531" coordorigin="2271,2935" coordsize="7358,10531" path="m5950,2935l2271,8200,5950,13465,9629,8200,5950,2935xe" filled="true" fillcolor="#d3e8e5" stroked="false">
              <v:path arrowok="t"/>
              <v:fill type="solid"/>
            </v:shape>
            <v:shape style="position:absolute;left:2370;top:3077;width:7159;height:10247" coordorigin="2371,3077" coordsize="7159,10247" path="m5950,3077l2371,8200,5950,13323,9529,8200,5950,3077xe" filled="true" fillcolor="#d4e8e5" stroked="false">
              <v:path arrowok="t"/>
              <v:fill type="solid"/>
            </v:shape>
            <v:shape style="position:absolute;left:2470;top:3219;width:6960;height:9962" coordorigin="2470,3219" coordsize="6960,9962" path="m5950,3219l2470,8200,5950,13181,9430,8200,5950,3219xe" filled="true" fillcolor="#d5e9e6" stroked="false">
              <v:path arrowok="t"/>
              <v:fill type="solid"/>
            </v:shape>
            <v:shape style="position:absolute;left:2569;top:3361;width:6761;height:9677" coordorigin="2570,3362" coordsize="6761,9677" path="m5950,3362l2570,8200,5950,13038,9330,8200,5950,3362xe" filled="true" fillcolor="#d6eae7" stroked="false">
              <v:path arrowok="t"/>
              <v:fill type="solid"/>
            </v:shape>
            <v:shape style="position:absolute;left:2669;top:3503;width:6562;height:9393" coordorigin="2669,3504" coordsize="6562,9393" path="m5950,3504l2669,8200,5950,12896,9231,8200,5950,3504xe" filled="true" fillcolor="#d7eae7" stroked="false">
              <v:path arrowok="t"/>
              <v:fill type="solid"/>
            </v:shape>
            <v:shape style="position:absolute;left:2768;top:3646;width:6363;height:9108" coordorigin="2768,3646" coordsize="6363,9108" path="m5950,3646l2768,8200,5950,12754,9131,8200,5950,3646xe" filled="true" fillcolor="#d8ebe8" stroked="false">
              <v:path arrowok="t"/>
              <v:fill type="solid"/>
            </v:shape>
            <v:shape style="position:absolute;left:2867;top:3788;width:6165;height:8823" coordorigin="2868,3789" coordsize="6165,8823" path="m5950,3789l2868,8200,5950,12612,9032,8200,5950,3789xe" filled="true" fillcolor="#d9ebe8" stroked="false">
              <v:path arrowok="t"/>
              <v:fill type="solid"/>
            </v:shape>
            <v:shape style="position:absolute;left:2967;top:3930;width:5966;height:8539" coordorigin="2967,3931" coordsize="5966,8539" path="m5950,3931l2967,8200,5950,12469,8933,8200,5950,3931xe" filled="true" fillcolor="#daece9" stroked="false">
              <v:path arrowok="t"/>
              <v:fill type="solid"/>
            </v:shape>
            <v:shape style="position:absolute;left:3066;top:4073;width:5767;height:8254" coordorigin="3067,4073" coordsize="5767,8254" path="m5950,4073l3067,8200,5950,12327,8833,8200,5950,4073xe" filled="true" fillcolor="#dbece9" stroked="false">
              <v:path arrowok="t"/>
              <v:fill type="solid"/>
            </v:shape>
            <v:shape style="position:absolute;left:3166;top:4215;width:5568;height:7970" coordorigin="3166,4215" coordsize="5568,7970" path="m5950,4215l3166,8200,5950,12185,8734,8200,5950,4215xe" filled="true" fillcolor="#dcedea" stroked="false">
              <v:path arrowok="t"/>
              <v:fill type="solid"/>
            </v:shape>
            <v:shape style="position:absolute;left:3265;top:4357;width:5369;height:7685" coordorigin="3266,4358" coordsize="5369,7685" path="m5950,4358l3266,8200,5950,12042,8634,8200,5950,4358xe" filled="true" fillcolor="#ddedeb" stroked="false">
              <v:path arrowok="t"/>
              <v:fill type="solid"/>
            </v:shape>
            <v:shape style="position:absolute;left:3364;top:4500;width:5170;height:7400" coordorigin="3365,4500" coordsize="5170,7400" path="m5950,4500l3365,8200,5950,11900,8535,8200,5950,4500xe" filled="true" fillcolor="#deeeeb" stroked="false">
              <v:path arrowok="t"/>
              <v:fill type="solid"/>
            </v:shape>
            <v:shape style="position:absolute;left:3464;top:4642;width:4972;height:7116" coordorigin="3464,4642" coordsize="4972,7116" path="m5950,4642l3464,8200,5950,11758,8435,8200,5950,4642xe" filled="true" fillcolor="#e0efec" stroked="false">
              <v:path arrowok="t"/>
              <v:fill type="solid"/>
            </v:shape>
            <v:shape style="position:absolute;left:3563;top:4784;width:4773;height:6831" coordorigin="3564,4785" coordsize="4773,6831" path="m5950,4785l3564,8200,5950,11615,8336,8200,5950,4785xe" filled="true" fillcolor="#e1efec" stroked="false">
              <v:path arrowok="t"/>
              <v:fill type="solid"/>
            </v:shape>
            <v:shape style="position:absolute;left:3663;top:4927;width:4574;height:6547" coordorigin="3663,4927" coordsize="4574,6547" path="m5950,4927l3663,8200,5950,11473,8237,8200,5950,4927xe" filled="true" fillcolor="#e2f0ed" stroked="false">
              <v:path arrowok="t"/>
              <v:fill type="solid"/>
            </v:shape>
            <v:shape style="position:absolute;left:3762;top:5069;width:4375;height:6262" coordorigin="3763,5069" coordsize="4375,6262" path="m5950,5069l3763,8200,5950,11331,8137,8200,5950,5069xe" filled="true" fillcolor="#e3f0ee" stroked="false">
              <v:path arrowok="t"/>
              <v:fill type="solid"/>
            </v:shape>
            <v:shape style="position:absolute;left:3862;top:5211;width:4176;height:5977" coordorigin="3862,5212" coordsize="4176,5977" path="m5950,5212l3862,8200,5950,11189,8038,8200,5950,5212xe" filled="true" fillcolor="#e4f1ee" stroked="false">
              <v:path arrowok="t"/>
              <v:fill type="solid"/>
            </v:shape>
            <v:shape style="position:absolute;left:3961;top:5353;width:3977;height:5693" coordorigin="3961,5354" coordsize="3977,5693" path="m5950,5354l3961,8200,5950,11046,7938,8200,5950,5354xe" filled="true" fillcolor="#e5f1ef" stroked="false">
              <v:path arrowok="t"/>
              <v:fill type="solid"/>
            </v:shape>
            <v:shape style="position:absolute;left:4060;top:5496;width:3778;height:5408" coordorigin="4061,5496" coordsize="3778,5408" path="m5950,5496l4061,8200,5950,10904,7839,8200,5950,5496xe" filled="true" fillcolor="#e6f2ef" stroked="false">
              <v:path arrowok="t"/>
              <v:fill type="solid"/>
            </v:shape>
            <v:shape style="position:absolute;left:4160;top:5638;width:3580;height:5124" coordorigin="4160,5639" coordsize="3580,5124" path="m5950,5639l4160,8200,5950,10762,7739,8200,5950,5639xe" filled="true" fillcolor="#e7f3f0" stroked="false">
              <v:path arrowok="t"/>
              <v:fill type="solid"/>
            </v:shape>
            <v:shape style="position:absolute;left:4259;top:5780;width:3381;height:4839" coordorigin="4260,5781" coordsize="3381,4839" path="m5950,5781l4260,8200,5950,10619,7640,8200,5950,5781xe" filled="true" fillcolor="#e9f3f1" stroked="false">
              <v:path arrowok="t"/>
              <v:fill type="solid"/>
            </v:shape>
            <v:shape style="position:absolute;left:4359;top:5923;width:3182;height:4554" coordorigin="4359,5923" coordsize="3182,4554" path="m5950,5923l4359,8200,5950,10477,7541,8200,5950,5923xe" filled="true" fillcolor="#eaf4f2" stroked="false">
              <v:path arrowok="t"/>
              <v:fill type="solid"/>
            </v:shape>
            <v:shape style="position:absolute;left:4458;top:6065;width:2983;height:4270" coordorigin="4459,6065" coordsize="2983,4270" path="m5950,6065l4459,8200,5950,10335,7441,8200,5950,6065xe" filled="true" fillcolor="#ebf4f2" stroked="false">
              <v:path arrowok="t"/>
              <v:fill type="solid"/>
            </v:shape>
            <v:shape style="position:absolute;left:4558;top:6207;width:2784;height:3985" coordorigin="4558,6208" coordsize="2784,3985" path="m5950,6208l4558,8200,5950,10192,7342,8200,5950,6208xe" filled="true" fillcolor="#ecf5f3" stroked="false">
              <v:path arrowok="t"/>
              <v:fill type="solid"/>
            </v:shape>
            <v:shape style="position:absolute;left:4657;top:6350;width:2585;height:3700" coordorigin="4657,6350" coordsize="2585,3700" path="m5950,6350l4657,8200,5950,10050,7242,8200,5950,6350xe" filled="true" fillcolor="#edf6f4" stroked="false">
              <v:path arrowok="t"/>
              <v:fill type="solid"/>
            </v:shape>
            <v:shape style="position:absolute;left:4756;top:6492;width:2387;height:3416" coordorigin="4757,6492" coordsize="2387,3416" path="m5950,6492l4757,8200,5950,9908,7143,8200,5950,6492xe" filled="true" fillcolor="#eff7f5" stroked="false">
              <v:path arrowok="t"/>
              <v:fill type="solid"/>
            </v:shape>
            <v:shape style="position:absolute;left:4856;top:6634;width:2188;height:3131" coordorigin="4856,6635" coordsize="2188,3131" path="m5950,6635l4856,8200,5950,9765,7044,8200,5950,6635xe" filled="true" fillcolor="#f0f7f5" stroked="false">
              <v:path arrowok="t"/>
              <v:fill type="solid"/>
            </v:shape>
            <v:shape style="position:absolute;left:4955;top:6777;width:1989;height:2847" coordorigin="4956,6777" coordsize="1989,2847" path="m5950,6777l4956,8200,5950,9623,6944,8200,5950,6777xe" filled="true" fillcolor="#f1f8f6" stroked="false">
              <v:path arrowok="t"/>
              <v:fill type="solid"/>
            </v:shape>
            <v:shape style="position:absolute;left:5055;top:6919;width:1790;height:2562" coordorigin="5055,6919" coordsize="1790,2562" path="m5950,6919l5055,8200,5950,9481,6845,8200,5950,6919xe" filled="true" fillcolor="#f2f8f7" stroked="false">
              <v:path arrowok="t"/>
              <v:fill type="solid"/>
            </v:shape>
            <v:shape style="position:absolute;left:5154;top:7061;width:1591;height:2277" coordorigin="5155,7062" coordsize="1591,2277" path="m5950,7062l5155,8200,5950,9339,6745,8200,5950,7062xe" filled="true" fillcolor="#f3f9f8" stroked="false">
              <v:path arrowok="t"/>
              <v:fill type="solid"/>
            </v:shape>
            <v:shape style="position:absolute;left:5253;top:7203;width:1392;height:1993" coordorigin="5254,7204" coordsize="1392,1993" path="m5950,7204l5254,8200,5950,9196,6646,8200,5950,7204xe" filled="true" fillcolor="#f5f9f8" stroked="false">
              <v:path arrowok="t"/>
              <v:fill type="solid"/>
            </v:shape>
            <v:shape style="position:absolute;left:5353;top:7346;width:1194;height:1708" coordorigin="5353,7346" coordsize="1194,1708" path="m5950,7346l5353,8200,5950,9054,6546,8200,5950,7346xe" filled="true" fillcolor="#f6faf9" stroked="false">
              <v:path arrowok="t"/>
              <v:fill type="solid"/>
            </v:shape>
            <v:shape style="position:absolute;left:5452;top:7488;width:995;height:1424" coordorigin="5453,7489" coordsize="995,1424" path="m5950,7489l5453,8200,5950,8912,6447,8200,5950,7489xe" filled="true" fillcolor="#f8fbfa" stroked="false">
              <v:path arrowok="t"/>
              <v:fill type="solid"/>
            </v:shape>
            <v:shape style="position:absolute;left:5552;top:7630;width:796;height:1139" coordorigin="5552,7631" coordsize="796,1139" path="m5950,7631l5552,8200,5950,8769,6348,8200,5950,7631xe" filled="true" fillcolor="#f9fcfc" stroked="false">
              <v:path arrowok="t"/>
              <v:fill type="solid"/>
            </v:shape>
            <v:shape style="position:absolute;left:5651;top:7773;width:597;height:854" coordorigin="5652,7773" coordsize="597,854" path="m5950,7773l5652,8200,5950,8627,6248,8200,5950,7773xe" filled="true" fillcolor="#fbfdfd" stroked="false">
              <v:path arrowok="t"/>
              <v:fill type="solid"/>
            </v:shape>
            <v:shape style="position:absolute;left:5751;top:7915;width:398;height:570" coordorigin="5751,7915" coordsize="398,570" path="m5950,7915l5751,8200,5950,8485,6149,8200,5950,7915xe" filled="true" fillcolor="#fdfefe" stroked="false">
              <v:path arrowok="t"/>
              <v:fill type="solid"/>
            </v:shape>
            <v:shape style="position:absolute;left:5850;top:8057;width:199;height:285" coordorigin="5850,8058" coordsize="199,285" path="m5950,8058l5850,8200,5950,8342,6049,8200,5950,8058xe" filled="true" fillcolor="#ffffff" stroked="false">
              <v:path arrowok="t"/>
              <v:fill type="solid"/>
            </v:shape>
            <v:rect style="position:absolute;left:790;top:810;width:10320;height:14780" filled="false" stroked="true" strokeweight="1pt" strokecolor="#009483">
              <v:stroke dashstyle="solid"/>
            </v:rect>
            <v:shape style="position:absolute;left:1006;top:1273;width:4680;height:4567" coordorigin="1007,1273" coordsize="4680,4567" path="m5687,1273l1007,1273,1007,1920,1007,5840,5680,5840,5680,1920,5687,1920,5687,1273xe" filled="true" fillcolor="#ffffff" stroked="false">
              <v:path arrowok="t"/>
              <v:fill type="solid"/>
            </v:shape>
            <v:shape style="position:absolute;left:1285;top:3212;width:389;height:572" coordorigin="1286,3212" coordsize="389,572" path="m1286,3212l1392,3260m1392,3260l1480,3581m1480,3581l1586,3784m1586,3784l1674,3613e" filled="false" stroked="true" strokeweight="1pt" strokecolor="#00a995">
              <v:path arrowok="t"/>
              <v:stroke dashstyle="solid"/>
            </v:shape>
            <v:line style="position:absolute" from="1664,3615" to="1790,3615" stroked="true" strokeweight="1.199pt" strokecolor="#00a995">
              <v:stroke dashstyle="solid"/>
            </v:line>
            <v:shape style="position:absolute;left:1779;top:2755;width:3123;height:1917" coordorigin="1780,2756" coordsize="3123,1917" path="m1780,3613l1868,4002m1868,4002l1974,4185m1974,4185l2062,4403m2062,4403l2168,4673m2168,4673l2256,4387m2256,4387l2362,4204m2362,4204l2450,4185m2450,4185l2556,4101m2556,4101l2662,3915m2662,3915l2750,3831m2750,3831l2856,3680m2856,3680l2944,3462m2944,3462l3050,3343m3050,3343l3138,3176m3138,3176l3244,3057m3244,3057l3332,2875m3332,2875l3438,2756m3438,2756l3526,2823m3526,2823l3632,2974m3632,2974l3737,3212m3737,3212l3826,3462m3826,3462l3932,3514m3932,3514l4020,3363m4020,3363l4126,3379m4126,3379l4214,3343m4214,3343l4320,3327m4320,3327l4408,3343m4408,3343l4514,3109m4514,3109l4602,3010m4602,3010l4708,2990m4708,2990l4796,3042m4796,3042l4902,3244e" filled="false" stroked="true" strokeweight="1pt" strokecolor="#00a995">
              <v:path arrowok="t"/>
              <v:stroke dashstyle="solid"/>
            </v:shape>
            <v:shape style="position:absolute;left:1285;top:3192;width:1376;height:1584" coordorigin="1286,3192" coordsize="1376,1584" path="m1286,3192l1392,3228m1392,3228l1480,3597m1480,3597l1586,3784m1586,3784l1674,3732m1674,3732l1780,3696m1780,3696l1868,4002m1868,4002l1974,4220m1974,4220l2062,4490m2062,4490l2168,4776m2168,4776l2256,4538m2256,4538l2362,4335m2362,4335l2450,4355m2450,4355l2556,4220m2556,4220l2662,4034e" filled="false" stroked="true" strokeweight="1pt" strokecolor="#a6af49">
              <v:path arrowok="t"/>
              <v:stroke dashstyle="solid"/>
            </v:shape>
            <v:line style="position:absolute" from="2652,4036" to="2760,4036" stroked="true" strokeweight="1.198pt" strokecolor="#a6af49">
              <v:stroke dashstyle="solid"/>
            </v:line>
            <v:shape style="position:absolute;left:2749;top:2771;width:1182;height:1263" coordorigin="2750,2772" coordsize="1182,1263" path="m2750,4034l2856,3613m2856,3613l2944,3546m2944,3546l3050,3462m3050,3462l3138,3296m3138,3296l3244,3161m3244,3161l3332,2859m3332,2859l3438,2772m3438,2772l3526,2791m3526,2791l3632,3057m3632,3057l3737,3260m3737,3260l3826,3430m3826,3430l3932,3498e" filled="false" stroked="true" strokeweight="1pt" strokecolor="#a6af49">
              <v:path arrowok="t"/>
              <v:stroke dashstyle="solid"/>
            </v:shape>
            <v:line style="position:absolute" from="3922,3500" to="4030,3500" stroked="true" strokeweight="1.198pt" strokecolor="#a6af49">
              <v:stroke dashstyle="solid"/>
            </v:line>
            <v:shape style="position:absolute;left:4019;top:3041;width:882;height:489" coordorigin="4020,3041" coordsize="882,489" path="m4020,3498l4126,3530m4126,3530l4214,3478m4214,3478l4320,3295m4320,3295l4408,3244m4408,3244l4514,3077m4514,3077l4602,3041m4602,3041l4708,3192m4708,3192l4796,3176m4796,3176l4902,3327e" filled="false" stroked="true" strokeweight="1pt" strokecolor="#a6af49">
              <v:path arrowok="t"/>
              <v:stroke dashstyle="solid"/>
            </v:shape>
            <v:shape style="position:absolute;left:1120;top:2454;width:3951;height:2880" coordorigin="1120,2454" coordsize="3951,2880" path="m4964,2720l5071,2720m4964,2454l5071,2454m4964,2974l5071,2974m4964,3241l5071,3241m4964,3501l5071,3501m4964,3760l5071,3760m4964,4020l5071,4020m4964,4287l5071,4287m4964,4540l5071,4540m4964,4807l5071,4807m4964,5054l5071,5054m4964,5333l5071,5333m1120,2721l1227,2721m1120,2455l1227,2455m1120,2975l1227,2975m1120,3241l1227,3241m1120,3501l1227,3501m1120,3761l1227,3761m1120,4020l1227,4020m1120,4288l1227,4288m1120,4541l1227,4541m1120,4808l1227,4808m1120,5054l1227,5054m1120,5334l1227,5334e" filled="false" stroked="true" strokeweight=".5pt" strokecolor="#000000">
              <v:path arrowok="t"/>
              <v:stroke dashstyle="solid"/>
            </v:shape>
            <v:line style="position:absolute" from="2547,4707" to="2547,4373" stroked="true" strokeweight=".5pt" strokecolor="#000000">
              <v:stroke dashstyle="solid"/>
            </v:line>
            <v:shape style="position:absolute;left:2521;top:4305;width:51;height:85" coordorigin="2521,4306" coordsize="51,85" path="m2547,4306l2521,4390,2572,4390,2550,4325,2548,4314,2547,4306xe" filled="true" fillcolor="#000000" stroked="false">
              <v:path arrowok="t"/>
              <v:fill type="solid"/>
            </v:shape>
            <v:line style="position:absolute" from="1560,5342" to="1560,5222" stroked="true" strokeweight=".5pt" strokecolor="#000000">
              <v:stroke dashstyle="solid"/>
            </v:line>
            <v:shape style="position:absolute;left:1276;top:5213;width:3585;height:125" coordorigin="1277,5213" coordsize="3585,125" path="m1287,5338l1287,5263m1277,5338l4862,5338m1967,5338l1967,5263m2382,5338l2382,5263m2797,5338l2797,5263m3217,5338l3217,5263m3632,5338l3632,5213m4022,5338l4022,5263m4407,5338l4407,5263m4797,5338l4797,5263e" filled="false" stroked="true" strokeweight=".5pt" strokecolor="#000000">
              <v:path arrowok="t"/>
              <v:stroke dashstyle="solid"/>
            </v:shape>
            <v:shape style="position:absolute;left:6160;top:1260;width:4680;height:4100" coordorigin="6160,1260" coordsize="4680,4100" path="m10840,1880l10833,1880,10833,1260,6160,1260,6160,1880,6160,5360,10840,5360,10840,1880xe" filled="true" fillcolor="#ffffff" stroked="false">
              <v:path arrowok="t"/>
              <v:fill type="solid"/>
            </v:shape>
            <v:shape style="position:absolute;left:6378;top:3941;width:103;height:35" coordorigin="6378,3941" coordsize="103,35" path="m6378,3975l6422,3960m6422,3960l6481,3941e" filled="false" stroked="true" strokeweight="1pt" strokecolor="#ed1b2d">
              <v:path arrowok="t"/>
              <v:stroke dashstyle="solid"/>
            </v:shape>
            <v:line style="position:absolute" from="6471,3943" to="6536,3943" stroked="true" strokeweight="1.154pt" strokecolor="#ed1b2d">
              <v:stroke dashstyle="solid"/>
            </v:line>
            <v:shape style="position:absolute;left:6526;top:3823;width:533;height:118" coordorigin="6526,3824" coordsize="533,118" path="m6526,3941l6569,3926m6569,3926l6629,3907m6629,3907l6674,3892m6674,3892l6717,3907m6717,3907l6763,3873m6763,3873l6822,3858m6822,3858l6865,3873m6865,3873l6911,3858m6911,3858l6970,3824m6970,3824l7013,3858m7013,3858l7059,3839e" filled="false" stroked="true" strokeweight="1pt" strokecolor="#ed1b2d">
              <v:path arrowok="t"/>
              <v:stroke dashstyle="solid"/>
            </v:shape>
            <v:shape style="position:absolute;left:7049;top:3840;width:123;height:2" coordorigin="7049,3841" coordsize="123,0" path="m7049,3841l7128,3841m7108,3841l7171,3841e" filled="false" stroked="true" strokeweight="1.155pt" strokecolor="#ed1b2d">
              <v:path arrowok="t"/>
              <v:stroke dashstyle="solid"/>
            </v:shape>
            <v:line style="position:absolute" from="7161,3839" to="7207,3771" stroked="true" strokeweight="1.0pt" strokecolor="#ed1b2d">
              <v:stroke dashstyle="solid"/>
            </v:line>
            <v:line style="position:absolute" from="7197,3772" to="7260,3772" stroked="true" strokeweight="1.155pt" strokecolor="#ed1b2d">
              <v:stroke dashstyle="solid"/>
            </v:line>
            <v:line style="position:absolute" from="7250,3771" to="7309,3755" stroked="true" strokeweight="1.0pt" strokecolor="#ed1b2d">
              <v:stroke dashstyle="solid"/>
            </v:line>
            <v:line style="position:absolute" from="7299,3757" to="7365,3757" stroked="true" strokeweight="1.155pt" strokecolor="#ed1b2d">
              <v:stroke dashstyle="solid"/>
            </v:line>
            <v:line style="position:absolute" from="7355,3755" to="7398,3789" stroked="true" strokeweight="1pt" strokecolor="#ed1b2d">
              <v:stroke dashstyle="solid"/>
            </v:line>
            <v:line style="position:absolute" from="7388,3791" to="7467,3791" stroked="true" strokeweight="1.154pt" strokecolor="#ed1b2d">
              <v:stroke dashstyle="solid"/>
            </v:line>
            <v:shape style="position:absolute;left:7457;top:3770;width:194;height:87" coordorigin="7457,3771" coordsize="194,87" path="m7457,3789l7503,3805m7503,3805l7549,3771m7549,3771l7608,3805m7608,3805l7651,3858e" filled="false" stroked="true" strokeweight="1pt" strokecolor="#ed1b2d">
              <v:path arrowok="t"/>
              <v:stroke dashstyle="solid"/>
            </v:shape>
            <v:line style="position:absolute" from="7641,3859" to="7707,3859" stroked="true" strokeweight="1.155pt" strokecolor="#ed1b2d">
              <v:stroke dashstyle="solid"/>
            </v:line>
            <v:shape style="position:absolute;left:7696;top:3702;width:399;height:307" coordorigin="7697,3703" coordsize="399,307" path="m7697,3858l7740,3960m7740,3960l7799,3907m7799,3907l7845,3805m7845,3805l7888,4009m7888,4009l7947,3703m7947,3703l7993,3892m7993,3892l8036,3755m8036,3755l8095,3839e" filled="false" stroked="true" strokeweight="1pt" strokecolor="#ed1b2d">
              <v:path arrowok="t"/>
              <v:stroke dashstyle="solid"/>
            </v:shape>
            <v:shape style="position:absolute;left:8085;top:3840;width:109;height:2" coordorigin="8085,3841" coordsize="109,0" path="m8085,3841l8151,3841m8131,3841l8194,3841e" filled="false" stroked="true" strokeweight="1.155pt" strokecolor="#ed1b2d">
              <v:path arrowok="t"/>
              <v:stroke dashstyle="solid"/>
            </v:shape>
            <v:shape style="position:absolute;left:8183;top:2510;width:1763;height:1329" coordorigin="8184,2510" coordsize="1763,1329" path="m8184,3839l8230,3755m8230,3755l8289,3703m8289,3703l8332,3771m8332,3771l8378,3755m8378,3755l8437,3585m8437,3585l8480,3498m8480,3498l8526,3517m8526,3517l8585,3635m8585,3635l8628,3669m8628,3669l8674,3585m8674,3585l8717,3517m8717,3517l8776,3483m8776,3483l8822,3362m8822,3362l8865,3721m8865,3721l8924,3669m8924,3669l8970,3483m8970,3483l9015,3449m9015,3449l9075,3381m9075,3381l9118,3396m9118,3396l9163,3619m9163,3619l9206,3532m9206,3532l9266,3669m9266,3669l9311,3464m9311,3464l9354,3635m9354,3635l9414,3158m9414,3158l9459,3244m9459,3244l9502,2870m9502,2870l9562,3089m9562,3089l9607,2919m9607,2919l9650,2904m9650,2904l9696,2972m9696,2972l9755,2835m9755,2835l9798,2749m9798,2749l9844,2526m9844,2526l9903,2563m9903,2563l9946,2510e" filled="false" stroked="true" strokeweight="1pt" strokecolor="#ed1b2d">
              <v:path arrowok="t"/>
              <v:stroke dashstyle="solid"/>
            </v:shape>
            <v:shape style="position:absolute;left:6378;top:4319;width:635;height:239" coordorigin="6378,4319" coordsize="635,239" path="m6378,4558l6422,4490m6422,4490l6481,4335m6481,4335l6526,4319m6526,4319l6570,4490m6570,4490l6629,4403m6629,4403l6674,4335m6674,4335l6717,4421m6717,4421l6763,4490m6763,4490l6822,4353m6822,4353l6865,4335m6865,4335l6911,4353m6911,4353l6970,4319m6970,4319l7013,4387e" filled="false" stroked="true" strokeweight="1pt" strokecolor="#008256">
              <v:path arrowok="t"/>
              <v:stroke dashstyle="solid"/>
            </v:shape>
            <v:line style="position:absolute" from="7003,4389" to="7069,4389" stroked="true" strokeweight="1.155pt" strokecolor="#008256">
              <v:stroke dashstyle="solid"/>
            </v:line>
            <v:shape style="position:absolute;left:7059;top:4027;width:1467;height:632" coordorigin="7059,4028" coordsize="1467,632" path="m7059,4387l7118,4319m7118,4319l7161,4387m7161,4387l7207,4285m7207,4285l7250,4266m7250,4266l7309,4301m7309,4301l7355,4232m7355,4232l7398,4217m7398,4217l7457,4353m7457,4353l7503,4319m7503,4319l7549,4251m7549,4251l7608,4285m7608,4285l7651,4335m7651,4335l7697,4421m7697,4421l7740,4607m7740,4607l7799,4660m7799,4660l7845,4524m7845,4524l7888,4437m7888,4437l7947,4505m7947,4505l7993,4455m7993,4455l8036,4437m8036,4437l8095,4455m8095,4455l8141,4592m8141,4592l8184,4505m8184,4505l8230,4421m8230,4421l8289,4471m8289,4471l8332,4251m8332,4251l8378,4301m8378,4301l8437,4421m8437,4421l8480,4353m8480,4353l8526,4028e" filled="false" stroked="true" strokeweight="1pt" strokecolor="#008256">
              <v:path arrowok="t"/>
              <v:stroke dashstyle="solid"/>
            </v:shape>
            <v:line style="position:absolute" from="8516,4030" to="8595,4030" stroked="true" strokeweight="1.155pt" strokecolor="#008256">
              <v:stroke dashstyle="solid"/>
            </v:line>
            <v:shape style="position:absolute;left:8584;top:2850;width:1066;height:1178" coordorigin="8585,2851" coordsize="1066,1178" path="m8585,4028l8628,4009m8628,4009l8674,3975m8674,3975l8717,3601m8717,3601l8776,3721m8776,3721l8822,3687m8822,3687l8865,3449m8865,3449l8924,3755m8924,3755l8970,3483m8970,3483l9015,3396m9015,3396l9075,3142m9075,3142l9118,3464m9118,3464l9163,3483m9163,3483l9206,3312m9206,3312l9266,3192m9266,3192l9311,3226m9311,3226l9354,3328m9354,3328l9414,3362m9414,3362l9459,3260m9459,3260l9502,2851m9502,2851l9562,2885m9562,2885l9607,2938m9607,2938l9650,3328e" filled="false" stroked="true" strokeweight="1pt" strokecolor="#008256">
              <v:path arrowok="t"/>
              <v:stroke dashstyle="solid"/>
            </v:shape>
            <v:shape style="position:absolute;left:9640;top:2655;width:316;height:683" type="#_x0000_t75" stroked="false">
              <v:imagedata r:id="rId41" o:title=""/>
            </v:shape>
            <v:shape style="position:absolute;left:6373;top:5004;width:3581;height:2" coordorigin="6374,5005" coordsize="3581,0" path="m9954,5005l6374,5005e" filled="true" fillcolor="#000000" stroked="false">
              <v:path arrowok="t"/>
              <v:fill type="solid"/>
            </v:shape>
            <v:line style="position:absolute" from="6374,5005" to="9954,5005" stroked="true" strokeweight=".5pt" strokecolor="#000000">
              <v:stroke dashstyle="solid"/>
            </v:line>
            <v:shape style="position:absolute;left:6762;top:4909;width:2;height:100" coordorigin="6762,4910" coordsize="0,100" path="m6762,4910l6762,5009e" filled="true" fillcolor="#000000" stroked="false">
              <v:path arrowok="t"/>
              <v:fill type="solid"/>
            </v:shape>
            <v:line style="position:absolute" from="6762,4910" to="6762,5009" stroked="true" strokeweight=".5pt" strokecolor="#000000">
              <v:stroke dashstyle="solid"/>
            </v:line>
            <v:shape style="position:absolute;left:6374;top:4909;width:2;height:100" coordorigin="6374,4910" coordsize="0,100" path="m6374,4910l6374,5009e" filled="true" fillcolor="#000000" stroked="false">
              <v:path arrowok="t"/>
              <v:fill type="solid"/>
            </v:shape>
            <v:line style="position:absolute" from="6374,4910" to="6374,5009" stroked="true" strokeweight=".5pt" strokecolor="#000000">
              <v:stroke dashstyle="solid"/>
            </v:line>
            <v:shape style="position:absolute;left:7156;top:4909;width:2;height:100" coordorigin="7156,4910" coordsize="0,100" path="m7156,4910l7156,5009e" filled="true" fillcolor="#000000" stroked="false">
              <v:path arrowok="t"/>
              <v:fill type="solid"/>
            </v:shape>
            <v:line style="position:absolute" from="7156,4910" to="7156,5009" stroked="true" strokeweight=".5pt" strokecolor="#000000">
              <v:stroke dashstyle="solid"/>
            </v:line>
            <v:shape style="position:absolute;left:7551;top:4909;width:2;height:100" coordorigin="7551,4910" coordsize="0,100" path="m7551,4910l7551,5009e" filled="true" fillcolor="#000000" stroked="false">
              <v:path arrowok="t"/>
              <v:fill type="solid"/>
            </v:shape>
            <v:line style="position:absolute" from="7551,4910" to="7551,5009" stroked="true" strokeweight=".5pt" strokecolor="#000000">
              <v:stroke dashstyle="solid"/>
            </v:line>
            <v:shape style="position:absolute;left:7946;top:4909;width:2;height:100" coordorigin="7946,4910" coordsize="0,100" path="m7946,4910l7946,5009e" filled="true" fillcolor="#000000" stroked="false">
              <v:path arrowok="t"/>
              <v:fill type="solid"/>
            </v:shape>
            <v:line style="position:absolute" from="7946,4910" to="7946,5009" stroked="true" strokeweight=".5pt" strokecolor="#000000">
              <v:stroke dashstyle="solid"/>
            </v:line>
            <v:shape style="position:absolute;left:8333;top:4909;width:2;height:100" coordorigin="8333,4910" coordsize="0,100" path="m8333,4910l8333,5009e" filled="true" fillcolor="#000000" stroked="false">
              <v:path arrowok="t"/>
              <v:fill type="solid"/>
            </v:shape>
            <v:line style="position:absolute" from="8333,4910" to="8333,5009" stroked="true" strokeweight=".5pt" strokecolor="#000000">
              <v:stroke dashstyle="solid"/>
            </v:line>
            <v:shape style="position:absolute;left:8714;top:4909;width:2;height:100" coordorigin="8714,4910" coordsize="0,100" path="m8714,4910l8714,5009e" filled="true" fillcolor="#000000" stroked="false">
              <v:path arrowok="t"/>
              <v:fill type="solid"/>
            </v:shape>
            <v:line style="position:absolute" from="8714,4910" to="8714,5009" stroked="true" strokeweight=".5pt" strokecolor="#000000">
              <v:stroke dashstyle="solid"/>
            </v:line>
            <v:shape style="position:absolute;left:9114;top:4909;width:2;height:100" coordorigin="9115,4910" coordsize="0,100" path="m9115,4910l9115,5009e" filled="true" fillcolor="#000000" stroked="false">
              <v:path arrowok="t"/>
              <v:fill type="solid"/>
            </v:shape>
            <v:line style="position:absolute" from="9115,4910" to="9115,5009" stroked="true" strokeweight=".5pt" strokecolor="#000000">
              <v:stroke dashstyle="solid"/>
            </v:line>
            <v:shape style="position:absolute;left:9502;top:4909;width:2;height:100" coordorigin="9503,4910" coordsize="0,100" path="m9503,4910l9503,5009e" filled="true" fillcolor="#000000" stroked="false">
              <v:path arrowok="t"/>
              <v:fill type="solid"/>
            </v:shape>
            <v:line style="position:absolute" from="9503,4910" to="9503,5009" stroked="true" strokeweight=".5pt" strokecolor="#000000">
              <v:stroke dashstyle="solid"/>
            </v:line>
            <v:shape style="position:absolute;left:9904;top:4909;width:2;height:100" coordorigin="9905,4910" coordsize="0,100" path="m9905,4910l9905,5009e" filled="true" fillcolor="#000000" stroked="false">
              <v:path arrowok="t"/>
              <v:fill type="solid"/>
            </v:shape>
            <v:line style="position:absolute" from="9905,4910" to="9905,5009" stroked="true" strokeweight=".5pt" strokecolor="#000000">
              <v:stroke dashstyle="solid"/>
            </v:line>
            <v:shape style="position:absolute;left:6221;top:2080;width:3914;height:2927" coordorigin="6222,2080" coordsize="3914,2927" path="m10022,2494l10135,2494m10022,2080l10135,2080m10022,2920l10135,2920m10022,3333l10135,3333m10022,3756l10135,3756m10022,4594l10135,4594m10022,5007l10135,5007m6222,2081l6335,2081m6222,2920l6335,2920m6222,3334l6335,3334m6222,3756l6335,3756m6222,5007l6335,5007e" filled="false" stroked="true" strokeweight=".5pt" strokecolor="#231f20">
              <v:path arrowok="t"/>
              <v:stroke dashstyle="solid"/>
            </v:shape>
            <v:shape style="position:absolute;left:1006;top:10460;width:4680;height:4581" coordorigin="1007,10460" coordsize="4680,4581" path="m5687,10460l1007,10460,1007,11053,1007,11080,1007,15040,5680,15040,5680,11080,5687,11080,5687,10460xe" filled="true" fillcolor="#ffffff" stroked="false">
              <v:path arrowok="t"/>
              <v:fill type="solid"/>
            </v:shape>
            <v:shape style="position:absolute;left:1149;top:12694;width:843;height:869" coordorigin="1150,12694" coordsize="843,869" path="m1992,12694l1912,12698,1835,12708,1759,12725,1686,12748,1616,12778,1550,12813,1487,12854,1427,12900,1372,12952,1322,13008,1276,13069,1236,13134,1201,13203,1172,13276,1150,13352,1992,13562,1992,12694xe" filled="true" fillcolor="#ed1b2d" stroked="false">
              <v:path arrowok="t"/>
              <v:fill type="solid"/>
            </v:shape>
            <v:shape style="position:absolute;left:1149;top:12694;width:843;height:869" coordorigin="1150,12694" coordsize="843,869" path="m1992,13562l1150,13352,1172,13276,1201,13203,1236,13134,1276,13069,1322,13008,1372,12952,1427,12900,1487,12854,1550,12813,1616,12778,1686,12748,1759,12725,1835,12708,1912,12698,1992,12694,1992,13562xe" filled="false" stroked="true" strokeweight=".5pt" strokecolor="#000000">
              <v:path arrowok="t"/>
              <v:stroke dashstyle="solid"/>
            </v:shape>
            <v:shape style="position:absolute;left:1122;top:13352;width:870;height:913" coordorigin="1122,13352" coordsize="870,913" path="m1150,13352l1134,13428,1125,13503,1122,13577,1126,13650,1135,13722,1151,13792,1172,13861,1200,13927,1233,13991,1272,14052,1316,14110,1366,14165,1421,14217,1482,14264,1992,13562,1150,13352xe" filled="true" fillcolor="#a790c4" stroked="false">
              <v:path arrowok="t"/>
              <v:fill type="solid"/>
            </v:shape>
            <v:shape style="position:absolute;left:1122;top:13352;width:870;height:913" coordorigin="1122,13352" coordsize="870,913" path="m1992,13562l1482,14264,1421,14217,1366,14165,1316,14110,1272,14052,1233,13991,1200,13927,1172,13861,1151,13792,1135,13722,1126,13650,1122,13577,1125,13503,1134,13428,1150,13352,1992,13562xe" filled="false" stroked="true" strokeweight=".5pt" strokecolor="#000000">
              <v:path arrowok="t"/>
              <v:stroke dashstyle="solid"/>
            </v:shape>
            <v:shape style="position:absolute;left:1481;top:13562;width:511;height:867" coordorigin="1482,13562" coordsize="511,867" path="m1992,13562l1482,14264,1553,14311,1626,14350,1702,14381,1781,14405,1862,14421,1947,14429,1992,13562xe" filled="true" fillcolor="#0099d8" stroked="false">
              <v:path arrowok="t"/>
              <v:fill type="solid"/>
            </v:shape>
            <v:shape style="position:absolute;left:1481;top:13562;width:511;height:867" coordorigin="1482,13562" coordsize="511,867" path="m1992,13562l1947,14429,1862,14421,1781,14405,1702,14381,1626,14350,1553,14311,1482,14264,1992,13562xe" filled="false" stroked="true" strokeweight=".5pt" strokecolor="#000000">
              <v:path arrowok="t"/>
              <v:stroke dashstyle="solid"/>
            </v:shape>
            <v:shape style="position:absolute;left:1946;top:13562;width:681;height:868" coordorigin="1947,13562" coordsize="681,868" path="m1992,13562l1947,14429,2026,14430,2103,14425,2177,14413,2249,14395,2319,14371,2386,14340,2450,14303,2512,14260,2571,14210,2627,14154,1992,13562xe" filled="true" fillcolor="#952e40" stroked="false">
              <v:path arrowok="t"/>
              <v:fill type="solid"/>
            </v:shape>
            <v:shape style="position:absolute;left:1946;top:13562;width:681;height:868" coordorigin="1947,13562" coordsize="681,868" path="m1992,13562l2627,14154,2571,14210,2512,14260,2450,14303,2386,14340,2319,14371,2249,14395,2177,14413,2103,14425,2026,14430,1947,14429,1992,13562xe" filled="false" stroked="true" strokeweight=".5pt" strokecolor="#000000">
              <v:path arrowok="t"/>
              <v:stroke dashstyle="solid"/>
            </v:shape>
            <v:shape style="position:absolute;left:1992;top:13562;width:826;height:593" coordorigin="1992,13562" coordsize="826,593" path="m1992,13562l2627,14154,2678,14095,2722,14035,2759,13971,2791,13904,2818,13830,1992,13562xe" filled="true" fillcolor="#75442b" stroked="false">
              <v:path arrowok="t"/>
              <v:fill type="solid"/>
            </v:shape>
            <v:shape style="position:absolute;left:1992;top:13562;width:826;height:593" coordorigin="1992,13562" coordsize="826,593" path="m1992,13562l2818,13830,2791,13904,2759,13971,2722,14035,2678,14095,2627,14154,1992,13562xe" filled="false" stroked="true" strokeweight=".5pt" strokecolor="#000000">
              <v:path arrowok="t"/>
              <v:stroke dashstyle="solid"/>
            </v:shape>
            <v:shape style="position:absolute;left:1992;top:13562;width:855;height:269" coordorigin="1992,13562" coordsize="855,269" path="m1992,13562l2818,13830,2826,13802,2834,13772,2841,13742,2847,13713,1992,13562xe" filled="true" fillcolor="#ffc40c" stroked="false">
              <v:path arrowok="t"/>
              <v:fill type="solid"/>
            </v:shape>
            <v:shape style="position:absolute;left:1992;top:13562;width:855;height:269" coordorigin="1992,13562" coordsize="855,269" path="m2818,13830l2826,13802,2834,13772,2841,13742,2847,13713,1992,13562,2818,13830xe" filled="false" stroked="true" strokeweight=".5pt" strokecolor="#000000">
              <v:path arrowok="t"/>
              <v:stroke dashstyle="solid"/>
            </v:shape>
            <v:shape style="position:absolute;left:1992;top:12736;width:869;height:977" coordorigin="1992,12737" coordsize="869,977" path="m2260,12737l1992,13562,2847,13713,2857,13637,2861,13561,2858,13487,2850,13414,2835,13343,2815,13274,2789,13208,2757,13144,2721,13083,2679,13025,2633,12971,2581,12921,2525,12874,2465,12833,2401,12795,2333,12763,2260,12737xe" filled="true" fillcolor="#0066a5" stroked="false">
              <v:path arrowok="t"/>
              <v:fill type="solid"/>
            </v:shape>
            <v:shape style="position:absolute;left:1992;top:12736;width:869;height:977" coordorigin="1992,12737" coordsize="869,977" path="m2847,13713l2857,13637,2861,13561,2858,13487,2850,13414,2835,13343,2815,13274,2789,13208,2757,13144,2721,13083,2679,13025,2633,12971,2581,12921,2525,12874,2465,12833,2401,12795,2333,12763,2260,12737,1992,13562,2847,13713xe" filled="false" stroked="true" strokeweight=".5pt" strokecolor="#000000">
              <v:path arrowok="t"/>
              <v:stroke dashstyle="solid"/>
            </v:shape>
            <v:shape style="position:absolute;left:1992;top:12700;width:269;height:862" coordorigin="1992,12701" coordsize="269,862" path="m2098,12701l1992,13562,2260,12737,2220,12724,2180,12714,2140,12707,2098,12701xe" filled="true" fillcolor="#b8babc" stroked="false">
              <v:path arrowok="t"/>
              <v:fill type="solid"/>
            </v:shape>
            <v:shape style="position:absolute;left:1992;top:12700;width:269;height:862" coordorigin="1992,12701" coordsize="269,862" path="m2260,12737l2220,12724,2180,12714,2140,12707,2098,12701,1992,13562,2260,12737xe" filled="false" stroked="true" strokeweight=".5pt" strokecolor="#000000">
              <v:path arrowok="t"/>
              <v:stroke dashstyle="solid"/>
            </v:shape>
            <v:shape style="position:absolute;left:1992;top:12694;width:106;height:869" coordorigin="1992,12694" coordsize="106,869" path="m1992,12694l1992,13562,2098,12700,2071,12698,2045,12696,2019,12694,1992,12694xe" filled="true" fillcolor="#008256" stroked="false">
              <v:path arrowok="t"/>
              <v:fill type="solid"/>
            </v:shape>
            <v:shape style="position:absolute;left:1992;top:12694;width:106;height:869" coordorigin="1992,12694" coordsize="106,869" path="m2098,12700l2071,12698,2045,12696,2019,12694,1992,12694,1992,13562,2098,12700xe" filled="false" stroked="true" strokeweight=".5pt" strokecolor="#000000">
              <v:path arrowok="t"/>
              <v:stroke dashstyle="solid"/>
            </v:shape>
            <v:shape style="position:absolute;left:3410;top:12694;width:862;height:869" coordorigin="3410,12694" coordsize="862,869" path="m4272,12694l4195,12697,4120,12707,4047,12723,3976,12745,3908,12773,3843,12806,3782,12844,3724,12888,3669,12936,3619,12988,3574,13044,3533,13105,3497,13169,3467,13236,3442,13307,3423,13380,3410,13456,4272,13562,4272,12694xe" filled="true" fillcolor="#ed1b2d" stroked="false">
              <v:path arrowok="t"/>
              <v:fill type="solid"/>
            </v:shape>
            <v:shape style="position:absolute;left:3410;top:12694;width:862;height:869" coordorigin="3410,12694" coordsize="862,869" path="m4272,13562l3410,13456,3423,13380,3442,13307,3467,13236,3497,13169,3533,13105,3574,13044,3619,12988,3669,12936,3724,12888,3782,12844,3843,12806,3908,12773,3976,12745,4047,12723,4120,12707,4195,12697,4272,12694,4272,13562xe" filled="false" stroked="true" strokeweight=".5pt" strokecolor="#000000">
              <v:path arrowok="t"/>
              <v:stroke dashstyle="solid"/>
            </v:shape>
            <v:shape style="position:absolute;left:3404;top:13456;width:868;height:917" coordorigin="3404,13456" coordsize="868,917" path="m3411,13456l3404,13536,3405,13614,3413,13691,3427,13766,3448,13839,3475,13910,3508,13978,3546,14042,3591,14103,3640,14160,3695,14212,3755,14260,3819,14303,3888,14341,3961,14373,4272,13562,3411,13456xe" filled="true" fillcolor="#a790c4" stroked="false">
              <v:path arrowok="t"/>
              <v:fill type="solid"/>
            </v:shape>
            <v:shape style="position:absolute;left:3404;top:13456;width:868;height:917" coordorigin="3404,13456" coordsize="868,917" path="m4272,13562l3961,14373,3888,14341,3819,14303,3755,14260,3695,14212,3640,14160,3591,14103,3546,14042,3508,13978,3475,13910,3448,13839,3427,13766,3413,13691,3405,13614,3404,13536,3411,13456,4272,13562xe" filled="false" stroked="true" strokeweight=".5pt" strokecolor="#000000">
              <v:path arrowok="t"/>
              <v:stroke dashstyle="solid"/>
            </v:shape>
            <v:shape style="position:absolute;left:3961;top:13562;width:432;height:869" coordorigin="3961,13562" coordsize="432,869" path="m4272,13562l3961,14373,4032,14397,4103,14415,4174,14426,4245,14431,4318,14429,4393,14422,4272,13562xe" filled="true" fillcolor="#0099d8" stroked="false">
              <v:path arrowok="t"/>
              <v:fill type="solid"/>
            </v:shape>
            <v:shape style="position:absolute;left:3961;top:13562;width:432;height:869" coordorigin="3961,13562" coordsize="432,869" path="m4272,13562l4393,14422,4318,14429,4245,14431,4174,14426,4103,14415,4032,14397,3961,14373,4272,13562xe" filled="false" stroked="true" strokeweight=".5pt" strokecolor="#000000">
              <v:path arrowok="t"/>
              <v:stroke dashstyle="solid"/>
            </v:shape>
            <v:shape style="position:absolute;left:4272;top:13562;width:767;height:860" coordorigin="4272,13562" coordsize="767,860" path="m4272,13562l4393,14422,4469,14408,4542,14388,4612,14363,4679,14332,4742,14296,4801,14255,4857,14208,4909,14156,4956,14099,5000,14037,5039,13970,4272,13562xe" filled="true" fillcolor="#952e40" stroked="false">
              <v:path arrowok="t"/>
              <v:fill type="solid"/>
            </v:shape>
            <v:shape style="position:absolute;left:4272;top:13562;width:767;height:860" coordorigin="4272,13562" coordsize="767,860" path="m4272,13562l5039,13970,5000,14037,4956,14099,4909,14156,4857,14208,4801,14255,4742,14296,4679,14332,4612,14363,4542,14388,4469,14408,4393,14422,4272,13562xe" filled="false" stroked="true" strokeweight=".5pt" strokecolor="#000000">
              <v:path arrowok="t"/>
              <v:stroke dashstyle="solid"/>
            </v:shape>
            <v:shape style="position:absolute;left:4272;top:13562;width:855;height:408" coordorigin="4272,13562" coordsize="855,408" path="m4272,13562l5039,13970,5069,13907,5093,13845,5113,13781,5127,13713,4272,13562xe" filled="true" fillcolor="#75442b" stroked="false">
              <v:path arrowok="t"/>
              <v:fill type="solid"/>
            </v:shape>
            <v:shape style="position:absolute;left:4272;top:13562;width:855;height:408" coordorigin="4272,13562" coordsize="855,408" path="m5039,13970l5069,13907,5093,13845,5113,13781,5127,13713,4272,13562,5039,13970xe" filled="false" stroked="true" strokeweight=".5pt" strokecolor="#000000">
              <v:path arrowok="t"/>
              <v:stroke dashstyle="solid"/>
            </v:shape>
            <v:shape style="position:absolute;left:4272;top:13562;width:867;height:151" coordorigin="4272,13562" coordsize="867,151" path="m4272,13562l5127,13713,5131,13686,5135,13660,5137,13635,5139,13608,4272,13562xe" filled="true" fillcolor="#ffc40c" stroked="false">
              <v:path arrowok="t"/>
              <v:fill type="solid"/>
            </v:shape>
            <v:shape style="position:absolute;left:4272;top:13562;width:867;height:151" coordorigin="4272,13562" coordsize="867,151" path="m5127,13713l5131,13686,5135,13660,5137,13635,5139,13608,4272,13562,5127,13713xe" filled="false" stroked="true" strokeweight=".5pt" strokecolor="#000000">
              <v:path arrowok="t"/>
              <v:stroke dashstyle="solid"/>
            </v:shape>
            <v:shape style="position:absolute;left:4272;top:12719;width:868;height:888" coordorigin="4272,12720" coordsize="868,888" path="m4482,12720l4272,13562,5139,13608,5140,13529,5134,13453,5122,13378,5103,13305,5079,13236,5049,13168,5013,13104,4972,13044,4926,12987,4876,12934,4820,12886,4761,12842,4697,12804,4629,12770,4557,12742,4482,12720xe" filled="true" fillcolor="#0066a5" stroked="false">
              <v:path arrowok="t"/>
              <v:fill type="solid"/>
            </v:shape>
            <v:shape style="position:absolute;left:4272;top:12719;width:868;height:888" coordorigin="4272,12720" coordsize="868,888" path="m5139,13608l5140,13529,5134,13453,5122,13378,5103,13305,5079,13236,5049,13168,5013,13104,4972,13044,4926,12987,4876,12934,4820,12886,4761,12842,4697,12804,4629,12770,4557,12742,4482,12720,4272,13562,5139,13608xe" filled="false" stroked="true" strokeweight=".5pt" strokecolor="#000000">
              <v:path arrowok="t"/>
              <v:stroke dashstyle="solid"/>
            </v:shape>
            <v:shape style="position:absolute;left:4272;top:12700;width:211;height:862" coordorigin="4272,12701" coordsize="211,862" path="m4378,12701l4272,13562,4482,12720,4456,12714,4430,12708,4405,12704,4378,12701xe" filled="true" fillcolor="#b8babc" stroked="false">
              <v:path arrowok="t"/>
              <v:fill type="solid"/>
            </v:shape>
            <v:shape style="position:absolute;left:4272;top:12700;width:211;height:862" coordorigin="4272,12701" coordsize="211,862" path="m4482,12720l4456,12714,4430,12708,4405,12704,4378,12701,4272,13562,4482,12720xe" filled="false" stroked="true" strokeweight=".5pt" strokecolor="#000000">
              <v:path arrowok="t"/>
              <v:stroke dashstyle="solid"/>
            </v:shape>
            <v:shape style="position:absolute;left:4272;top:12694;width:106;height:869" coordorigin="4272,12694" coordsize="106,869" path="m4272,12694l4272,13562,4378,12700,4351,12698,4325,12696,4299,12694,4272,12694xe" filled="true" fillcolor="#008256" stroked="false">
              <v:path arrowok="t"/>
              <v:fill type="solid"/>
            </v:shape>
            <v:shape style="position:absolute;left:4272;top:12694;width:106;height:869" coordorigin="4272,12694" coordsize="106,869" path="m4272,13562l4272,12694,4299,12694,4325,12696,4351,12698,4378,12700,4272,13562xe" filled="false" stroked="true" strokeweight=".5pt" strokecolor="#000000">
              <v:path arrowok="t"/>
              <v:stroke dashstyle="solid"/>
            </v:shape>
            <v:shape style="position:absolute;left:1306;top:13037;width:3761;height:1320" coordorigin="1307,13037" coordsize="3761,1320" path="m1587,13628l1307,13628,1307,13788,1587,13788,1587,13628xm1810,13037l1543,13037,1543,13197,1810,13197,1810,13037xm1877,14093l1670,14093,1670,14273,1877,14273,1877,14093xm2330,14053l2083,14053,2083,14233,2330,14233,2330,14053xm2553,13220l2287,13220,2287,13380,2553,13380,2553,13220xm2723,13831l2523,13831,2523,13991,2723,13991,2723,13831xm3923,13774l3643,13774,3643,13934,3923,13934,3923,13774xm4003,13051l3737,13051,3737,13211,4003,13211,4003,13051xm4287,14177l4080,14177,4080,14357,4287,14357,4287,14177xm4723,13961l4477,13961,4477,14141,4723,14141,4723,13961xm4823,13117l4557,13117,4557,13277,4823,13277,4823,13117xm5067,13717l4867,13717,4867,13851,5067,13851,5067,13717xe" filled="true" fillcolor="#ffffff" stroked="false">
              <v:path arrowok="t"/>
              <v:fill type="solid"/>
            </v:shape>
            <v:shape style="position:absolute;left:1006;top:5840;width:4680;height:4620" coordorigin="1007,5840" coordsize="4680,4620" path="m5687,5840l1007,5840,1007,6453,1007,6460,1007,10460,5680,10460,5680,6460,5687,6460,5687,5840xe" filled="true" fillcolor="#ffffff" stroked="false">
              <v:path arrowok="t"/>
              <v:fill type="solid"/>
            </v:shape>
            <v:shape style="position:absolute;left:1313;top:7380;width:3487;height:1760" coordorigin="1313,7380" coordsize="3487,1760" path="m1420,8820l1313,8820,1313,9140,1420,9140,1420,8820xm1980,8240l1860,8240,1860,9140,1980,9140,1980,8240xm2540,7700l2440,7700,2440,8800,2540,8800,2540,7700xm3120,8420l3000,8420,3000,9140,3120,9140,3120,8420xm3673,7880l3560,7880,3560,9140,3673,9140,3673,7880xm4240,7540l4140,7540,4140,9140,4240,9140,4240,7540xm4800,7380l4700,7380,4700,9140,4800,9140,4800,7380xe" filled="true" fillcolor="#522e91" stroked="false">
              <v:path arrowok="t"/>
              <v:fill type="solid"/>
            </v:shape>
            <v:shape style="position:absolute;left:1420;top:7400;width:3480;height:1740" coordorigin="1420,7400" coordsize="3480,1740" path="m1525,9080l1420,9080,1420,9140,1525,9140,1525,9080xm2080,8320l1980,8320,1980,9140,2080,9140,2080,8320xm2640,7720l2540,7720,2540,8800,2640,8800,2640,7720xm3230,8400l3120,8400,3120,9140,3230,9140,3230,8400xm3777,8120l3673,8120,3673,9140,3777,9140,3777,8120xm4340,7600l4240,7600,4240,9140,4340,9140,4340,7600xm4900,7400l4800,7400,4800,9140,4900,9140,4900,7400xe" filled="true" fillcolor="#ac6e90" stroked="false">
              <v:path arrowok="t"/>
              <v:fill type="solid"/>
            </v:shape>
            <v:shape style="position:absolute;left:1310;top:8740;width:3490;height:860" coordorigin="1311,8741" coordsize="3490,860" path="m1416,9141l1311,9141,1311,9481,1416,9481,1416,9141xm1978,9101l1866,9101,1866,9141,1978,9141,1978,9101xm2540,8800l2441,8800,2441,9140,2540,9140,2540,8800xm3118,8741l3002,8741,3002,9141,3118,9141,3118,8741xm3673,9140l3561,9140,3561,9360,3673,9360,3673,9140xm4240,9142l4140,9142,4140,9322,4240,9322,4240,9142xm4801,9140l4701,9140,4701,9600,4801,9600,4801,9140xe" filled="true" fillcolor="#009483" stroked="false">
              <v:path arrowok="t"/>
              <v:fill type="solid"/>
            </v:shape>
            <v:shape style="position:absolute;left:1416;top:8780;width:3484;height:662" coordorigin="1417,8780" coordsize="3484,662" path="m1517,9142l1417,9142,1417,9442,1517,9442,1517,9142xm2640,8800l2540,8800,2540,9140,2640,9140,2640,8800xm3226,8780l3121,8780,3121,9140,3226,9140,3226,8780xm3778,9142l3678,9142,3678,9362,3778,9362,3778,9142xm4338,9142l4241,9142,4241,9342,4338,9342,4338,9142xm4900,9140l4800,9140,4800,9160,4900,9160,4900,9140xe" filled="true" fillcolor="#9bd3ae" stroked="false">
              <v:path arrowok="t"/>
              <v:fill type="solid"/>
            </v:shape>
            <v:shape style="position:absolute;left:1220;top:7100;width:4060;height:2880" coordorigin="1220,7100" coordsize="4060,2880" path="m5220,9980l5280,9980m5220,9560l5280,9560m5220,9140l5280,9140m5220,8740l5280,8740m5220,8340l5280,8340m5220,7920l5280,7920m5220,7500l5280,7500m5220,7100l5280,7100m1220,9140l5200,9140m1417,9978l1417,9918m2537,9978l2537,9918m3677,9978l3677,9918m4802,9978l4802,9918e" filled="false" stroked="true" strokeweight=".5pt" strokecolor="#231f20">
              <v:path arrowok="t"/>
              <v:stroke dashstyle="solid"/>
            </v:shape>
            <v:rect style="position:absolute;left:2790;top:6746;width:147;height:147" filled="true" fillcolor="#ac6e90" stroked="false">
              <v:fill type="solid"/>
            </v:rect>
            <v:rect style="position:absolute;left:2790;top:6746;width:147;height:147" filled="false" stroked="true" strokeweight=".5pt" strokecolor="#231f20">
              <v:stroke dashstyle="solid"/>
            </v:rect>
            <v:shape style="position:absolute;left:4125;top:6588;width:157;height:310" type="#_x0000_t75" stroked="false">
              <v:imagedata r:id="rId42" o:title=""/>
            </v:shape>
            <v:rect style="position:absolute;left:2790;top:6600;width:147;height:147" filled="true" fillcolor="#522e91" stroked="false">
              <v:fill type="solid"/>
            </v:rect>
            <v:rect style="position:absolute;left:2790;top:6600;width:147;height:147" filled="false" stroked="true" strokeweight=".5pt" strokecolor="#231f20">
              <v:stroke dashstyle="solid"/>
            </v:rect>
            <v:shape style="position:absolute;left:1123;top:7096;width:4084;height:2881" coordorigin="1123,7097" coordsize="4084,2881" path="m1227,9973l5207,9973m1123,9977l1183,9977m1123,9557l1183,9557m1123,9137l1183,9137m1123,8737l1183,8737m1123,8337l1183,8337m1123,7917l1183,7917m1123,7497l1183,7497m1123,7097l1183,7097m1975,9978l1975,9918m3120,9978l3120,9918m4240,9978l4240,9918e" filled="false" stroked="true" strokeweight=".5pt" strokecolor="#231f20">
              <v:path arrowok="t"/>
              <v:stroke dashstyle="solid"/>
            </v:shape>
            <v:shape style="position:absolute;left:6166;top:5840;width:4674;height:4614" coordorigin="6167,5840" coordsize="4674,4614" path="m10840,5840l6167,5840,6167,6420,6167,6440,6167,10453,10840,10453,10840,6440,10840,6420,10840,5840xe" filled="true" fillcolor="#ffffff" stroked="false">
              <v:path arrowok="t"/>
              <v:fill type="solid"/>
            </v:shape>
            <v:shape style="position:absolute;left:6447;top:7679;width:1563;height:1594" coordorigin="6448,7680" coordsize="1563,1594" path="m6448,8859l6596,9118m6596,9118l6730,9032m6730,9032l6878,9085m6878,9085l7023,9273m7023,9273l7157,9187m7157,9187l7305,8982m7305,8982l7449,8880m7449,8880l7584,8347m7584,8347l7732,8483m7732,8483l7880,8003m7880,8003l8010,7680e" filled="false" stroked="true" strokeweight="1pt" strokecolor="#0099d8">
              <v:path arrowok="t"/>
              <v:stroke dashstyle="solid"/>
            </v:shape>
            <v:line style="position:absolute" from="8000,7688" to="8169,7688" stroked="true" strokeweight="1.819pt" strokecolor="#0099d8">
              <v:stroke dashstyle="solid"/>
            </v:line>
            <v:shape style="position:absolute;left:8158;top:7130;width:1285;height:1869" coordorigin="8159,7131" coordsize="1285,1869" path="m8159,7696l8307,8999m8307,8999l8455,8552m8455,8552l8585,8229m8585,8229l8734,8622m8734,8622l8882,7938m8882,7938l9012,8175m9012,8175l9160,7442m9160,7442l9309,7200m9309,7200l9443,7131e" filled="false" stroked="true" strokeweight="1pt" strokecolor="#0099d8">
              <v:path arrowok="t"/>
              <v:stroke dashstyle="solid"/>
            </v:shape>
            <v:line style="position:absolute" from="9433,7122" to="9597,7122" stroked="true" strokeweight="1.82pt" strokecolor="#0099d8">
              <v:stroke dashstyle="solid"/>
            </v:line>
            <v:shape style="position:absolute;left:9587;top:7114;width:431;height:1062" coordorigin="9587,7114" coordsize="431,1062" path="m9587,7114l9735,7167m9735,7167l9870,8175m9870,8175l10018,7733e" filled="false" stroked="true" strokeweight="1pt" strokecolor="#0099d8">
              <v:path arrowok="t"/>
              <v:stroke dashstyle="solid"/>
            </v:shape>
            <v:shape style="position:absolute;left:6447;top:8810;width:858;height:529" coordorigin="6448,8810" coordsize="858,529" path="m6448,8810l6596,8945m6596,8945l6730,9015m6730,9015l6878,9339m6878,9339l7023,9273m7023,9273l7157,8945m7157,8945l7305,8982e" filled="false" stroked="true" strokeweight="1pt" strokecolor="#df6f1d">
              <v:path arrowok="t"/>
              <v:stroke dashstyle="solid"/>
            </v:shape>
            <v:line style="position:absolute" from="7295,8984" to="7459,8984" stroked="true" strokeweight="1.205pt" strokecolor="#df6f1d">
              <v:stroke dashstyle="solid"/>
            </v:line>
            <v:shape style="position:absolute;left:7449;top:7286;width:2421;height:2020" coordorigin="7449,7286" coordsize="2421,2020" path="m7449,8982l7584,8450m7584,8450l7732,8192m7732,8192l7880,8024m7880,8024l8010,7938m8010,7938l8159,7733m8159,7733l8307,8655m8307,8655l8455,8536m8455,8536l8585,8503m8585,8503l8734,8622m8734,8622l8882,7954m8882,7954l9012,8261m9012,8261l9160,7835m9160,7835l9309,7405m9309,7405l9443,7286m9443,7286l9587,7405m9587,7405l9735,7954m9735,7954l9869,9306e" filled="false" stroked="true" strokeweight="1pt" strokecolor="#df6f1d">
              <v:path arrowok="t"/>
              <v:stroke dashstyle="solid"/>
            </v:shape>
            <v:line style="position:absolute" from="6440,9629" to="10030,9629" stroked="true" strokeweight=".5pt" strokecolor="#231f20">
              <v:stroke dashstyle="solid"/>
            </v:line>
            <v:shape style="position:absolute;left:6440;top:9549;width:3430;height:80" coordorigin="6441,9549" coordsize="3430,80" path="m6441,9549l6441,9629m7024,9549l7024,9629m7584,9549l7584,9629m8157,9549l8157,9629m9871,9549l9871,9629m8737,9549l8737,9629m9310,9549l9310,9629e" filled="false" stroked="true" strokeweight=".5pt" strokecolor="#000000">
              <v:path arrowok="t"/>
              <v:stroke dashstyle="solid"/>
            </v:shape>
            <v:shape style="position:absolute;left:10135;top:6742;width:114;height:2888" coordorigin="10136,6743" coordsize="114,2888" path="m10136,6743l10249,6743m10136,7157l10249,7157m10136,7563l10249,7563m10136,8406l10249,8406m10136,8810l10249,8810m10136,9630l10249,9630m10136,9222l10249,9222e" filled="false" stroked="true" strokeweight=".5pt" strokecolor="#231f20">
              <v:path arrowok="t"/>
              <v:stroke dashstyle="solid"/>
            </v:shape>
            <v:shape style="position:absolute;left:6166;top:10440;width:4674;height:4600" coordorigin="6167,10440" coordsize="4674,4600" path="m10840,10440l6167,10440,6167,11020,6173,11020,6173,15040,10840,15040,10840,11020,10840,10440xe" filled="true" fillcolor="#ffffff" stroked="false">
              <v:path arrowok="t"/>
              <v:fill type="solid"/>
            </v:shape>
            <v:rect style="position:absolute;left:7328;top:14477;width:514;height:69" filled="true" fillcolor="#0066a5" stroked="false">
              <v:fill type="solid"/>
            </v:rect>
            <v:rect style="position:absolute;left:7328;top:14477;width:514;height:69" filled="false" stroked="true" strokeweight=".5pt" strokecolor="#000000">
              <v:stroke dashstyle="solid"/>
            </v:rect>
            <v:rect style="position:absolute;left:7842;top:14244;width:1706;height:69" filled="true" fillcolor="#0066a5" stroked="false">
              <v:fill type="solid"/>
            </v:rect>
            <v:rect style="position:absolute;left:7842;top:14244;width:1706;height:69" filled="false" stroked="true" strokeweight=".5pt" strokecolor="#000000">
              <v:stroke dashstyle="solid"/>
            </v:rect>
            <v:rect style="position:absolute;left:7842;top:14012;width:380;height:69" filled="true" fillcolor="#0066a5" stroked="false">
              <v:fill type="solid"/>
            </v:rect>
            <v:rect style="position:absolute;left:7842;top:14012;width:380;height:69" filled="false" stroked="true" strokeweight=".5pt" strokecolor="#000000">
              <v:stroke dashstyle="solid"/>
            </v:rect>
            <v:rect style="position:absolute;left:7842;top:13784;width:991;height:66" filled="true" fillcolor="#0066a5" stroked="false">
              <v:fill type="solid"/>
            </v:rect>
            <v:rect style="position:absolute;left:7842;top:13784;width:991;height:66" filled="false" stroked="true" strokeweight=".5pt" strokecolor="#000000">
              <v:stroke dashstyle="solid"/>
            </v:rect>
            <v:rect style="position:absolute;left:7842;top:13551;width:552;height:66" filled="true" fillcolor="#0066a5" stroked="false">
              <v:fill type="solid"/>
            </v:rect>
            <v:rect style="position:absolute;left:7842;top:13551;width:552;height:66" filled="false" stroked="true" strokeweight=".5pt" strokecolor="#000000">
              <v:stroke dashstyle="solid"/>
            </v:rect>
            <v:rect style="position:absolute;left:7842;top:13308;width:259;height:77" filled="true" fillcolor="#0066a5" stroked="false">
              <v:fill type="solid"/>
            </v:rect>
            <v:rect style="position:absolute;left:7842;top:13308;width:259;height:77" filled="false" stroked="true" strokeweight=".5pt" strokecolor="#000000">
              <v:stroke dashstyle="solid"/>
            </v:rect>
            <v:rect style="position:absolute;left:7842;top:13076;width:832;height:69" filled="true" fillcolor="#0066a5" stroked="false">
              <v:fill type="solid"/>
            </v:rect>
            <v:rect style="position:absolute;left:7842;top:13076;width:832;height:69" filled="false" stroked="true" strokeweight=".5pt" strokecolor="#000000">
              <v:stroke dashstyle="solid"/>
            </v:rect>
            <v:rect style="position:absolute;left:7842;top:12844;width:1521;height:69" filled="true" fillcolor="#0066a5" stroked="false">
              <v:fill type="solid"/>
            </v:rect>
            <v:rect style="position:absolute;left:7842;top:12844;width:1521;height:69" filled="false" stroked="true" strokeweight=".5pt" strokecolor="#000000">
              <v:stroke dashstyle="solid"/>
            </v:rect>
            <v:rect style="position:absolute;left:7842;top:12612;width:1349;height:69" filled="true" fillcolor="#0066a5" stroked="false">
              <v:fill type="solid"/>
            </v:rect>
            <v:rect style="position:absolute;left:7842;top:12612;width:1349;height:69" filled="false" stroked="true" strokeweight=".5pt" strokecolor="#000000">
              <v:stroke dashstyle="solid"/>
            </v:rect>
            <v:rect style="position:absolute;left:7842;top:12379;width:288;height:69" filled="true" fillcolor="#0066a5" stroked="false">
              <v:fill type="solid"/>
            </v:rect>
            <v:rect style="position:absolute;left:7842;top:12379;width:288;height:69" filled="false" stroked="true" strokeweight=".5pt" strokecolor="#000000">
              <v:stroke dashstyle="solid"/>
            </v:rect>
            <v:rect style="position:absolute;left:7842;top:12147;width:888;height:69" filled="true" fillcolor="#0066a5" stroked="false">
              <v:fill type="solid"/>
            </v:rect>
            <v:rect style="position:absolute;left:7842;top:12147;width:888;height:69" filled="false" stroked="true" strokeweight=".5pt" strokecolor="#000000">
              <v:stroke dashstyle="solid"/>
            </v:rect>
            <v:rect style="position:absolute;left:7842;top:11919;width:716;height:66" filled="true" fillcolor="#0066a5" stroked="false">
              <v:fill type="solid"/>
            </v:rect>
            <v:rect style="position:absolute;left:7842;top:11919;width:716;height:66" filled="false" stroked="true" strokeweight=".5pt" strokecolor="#000000">
              <v:stroke dashstyle="solid"/>
            </v:rect>
            <v:rect style="position:absolute;left:7600;top:14411;width:243;height:66" filled="true" fillcolor="#9aca3c" stroked="false">
              <v:fill type="solid"/>
            </v:rect>
            <v:rect style="position:absolute;left:7600;top:14411;width:243;height:66" filled="false" stroked="true" strokeweight=".5pt" strokecolor="#000000">
              <v:stroke dashstyle="solid"/>
            </v:rect>
            <v:rect style="position:absolute;left:7842;top:14179;width:1440;height:66" filled="true" fillcolor="#9aca3c" stroked="false">
              <v:fill type="solid"/>
            </v:rect>
            <v:rect style="position:absolute;left:7842;top:14179;width:1440;height:66" filled="false" stroked="true" strokeweight=".5pt" strokecolor="#000000">
              <v:stroke dashstyle="solid"/>
            </v:rect>
            <v:rect style="position:absolute;left:7842;top:13947;width:380;height:66" filled="true" fillcolor="#9aca3c" stroked="false">
              <v:fill type="solid"/>
            </v:rect>
            <v:rect style="position:absolute;left:7842;top:13947;width:380;height:66" filled="false" stroked="true" strokeweight=".5pt" strokecolor="#000000">
              <v:stroke dashstyle="solid"/>
            </v:rect>
            <v:rect style="position:absolute;left:7842;top:13715;width:781;height:69" filled="true" fillcolor="#9aca3c" stroked="false">
              <v:fill type="solid"/>
            </v:rect>
            <v:rect style="position:absolute;left:7842;top:13715;width:781;height:69" filled="false" stroked="true" strokeweight=".5pt" strokecolor="#000000">
              <v:stroke dashstyle="solid"/>
            </v:rect>
            <v:rect style="position:absolute;left:7842;top:13482;width:509;height:69" filled="true" fillcolor="#9aca3c" stroked="false">
              <v:fill type="solid"/>
            </v:rect>
            <v:rect style="position:absolute;left:7842;top:13482;width:509;height:69" filled="false" stroked="true" strokeweight=".5pt" strokecolor="#000000">
              <v:stroke dashstyle="solid"/>
            </v:rect>
            <v:rect style="position:absolute;left:7842;top:13239;width:237;height:69" filled="true" fillcolor="#9aca3c" stroked="false">
              <v:fill type="solid"/>
            </v:rect>
            <v:rect style="position:absolute;left:7842;top:13239;width:237;height:69" filled="false" stroked="true" strokeweight=".5pt" strokecolor="#000000">
              <v:stroke dashstyle="solid"/>
            </v:rect>
            <v:rect style="position:absolute;left:7842;top:13007;width:853;height:69" filled="true" fillcolor="#9aca3c" stroked="false">
              <v:fill type="solid"/>
            </v:rect>
            <v:rect style="position:absolute;left:7842;top:13007;width:853;height:69" filled="false" stroked="true" strokeweight=".5pt" strokecolor="#000000">
              <v:stroke dashstyle="solid"/>
            </v:rect>
            <v:rect style="position:absolute;left:7842;top:12779;width:1642;height:66" filled="true" fillcolor="#9aca3c" stroked="false">
              <v:fill type="solid"/>
            </v:rect>
            <v:rect style="position:absolute;left:7842;top:12779;width:1642;height:66" filled="false" stroked="true" strokeweight=".5pt" strokecolor="#000000">
              <v:stroke dashstyle="solid"/>
            </v:rect>
            <v:rect style="position:absolute;left:7842;top:12546;width:1211;height:66" filled="true" fillcolor="#9aca3c" stroked="false">
              <v:fill type="solid"/>
            </v:rect>
            <v:rect style="position:absolute;left:7842;top:12546;width:1211;height:66" filled="false" stroked="true" strokeweight=".5pt" strokecolor="#000000">
              <v:stroke dashstyle="solid"/>
            </v:rect>
            <v:rect style="position:absolute;left:7842;top:12314;width:525;height:66" filled="true" fillcolor="#9aca3c" stroked="false">
              <v:fill type="solid"/>
            </v:rect>
            <v:rect style="position:absolute;left:7842;top:12314;width:525;height:66" filled="false" stroked="true" strokeweight=".5pt" strokecolor="#000000">
              <v:stroke dashstyle="solid"/>
            </v:rect>
            <v:rect style="position:absolute;left:7842;top:12082;width:948;height:66" filled="true" fillcolor="#9aca3c" stroked="false">
              <v:fill type="solid"/>
            </v:rect>
            <v:rect style="position:absolute;left:7842;top:12082;width:948;height:66" filled="false" stroked="true" strokeweight=".5pt" strokecolor="#000000">
              <v:stroke dashstyle="solid"/>
            </v:rect>
            <v:rect style="position:absolute;left:7842;top:11850;width:754;height:69" filled="true" fillcolor="#9aca3c" stroked="false">
              <v:fill type="solid"/>
            </v:rect>
            <v:shape style="position:absolute;left:7084;top:11802;width:2643;height:2964" coordorigin="7084,11803" coordsize="2643,2964" path="m7842,11850l8596,11850,8596,11919,7842,11919,7842,11850xm7084,14715l9727,14715m7084,14715l7084,14766m7464,14715l7464,14766m7835,14715l7835,14766m8214,14715l8214,14766m8594,14715l8594,14766m8976,14715l8976,14766m9347,14715l9347,14766m9727,14715l9727,14766m7842,11803l7842,14593m7842,14593l7872,14593m7842,14361l7872,14361m7842,14129l7872,14129m7842,13897l7872,13897m7842,13668l7872,13668m7842,13436l7872,13436m7842,13193l7872,13193m7842,12960l7872,12960m7842,12728l7872,12728m7842,12496l7872,12496m7842,12264l7872,12264m7842,12035l7872,12035m7842,11803l7872,11803e" filled="false" stroked="true" strokeweight=".5pt" strokecolor="#000000">
              <v:path arrowok="t"/>
              <v:stroke dashstyle="solid"/>
            </v:shape>
            <v:shape style="position:absolute;left:7828;top:11096;width:184;height:351" type="#_x0000_t75" stroked="false">
              <v:imagedata r:id="rId43" o:title=""/>
            </v:shape>
            <v:shape style="position:absolute;left:1006;top:5360;width:9834;height:9960" coordorigin="1007,5360" coordsize="9834,9960" path="m5687,15040l1007,15040,1007,15320,5687,15320,5687,15040xm10833,5360l6160,5360,6160,5840,10833,5840,10833,5360xm10840,15033l6160,15033,6160,15300,10840,15300,10840,15033xe" filled="true" fillcolor="#ffffff" stroked="false">
              <v:path arrowok="t"/>
              <v:fill type="solid"/>
            </v:shape>
            <v:shape style="position:absolute;left:6180;top:1241;width:2876;height:462" type="#_x0000_t202" filled="false" stroked="false">
              <v:textbox inset="0,0,0,0">
                <w:txbxContent>
                  <w:p>
                    <w:pPr>
                      <w:spacing w:line="221" w:lineRule="exact" w:before="0"/>
                      <w:ind w:left="0" w:right="0" w:firstLine="0"/>
                      <w:jc w:val="left"/>
                      <w:rPr>
                        <w:b/>
                        <w:sz w:val="20"/>
                      </w:rPr>
                    </w:pPr>
                    <w:r>
                      <w:rPr>
                        <w:b/>
                        <w:color w:val="0093C1"/>
                        <w:sz w:val="20"/>
                      </w:rPr>
                      <w:t>Chart 2</w:t>
                    </w:r>
                  </w:p>
                  <w:p>
                    <w:pPr>
                      <w:spacing w:before="10"/>
                      <w:ind w:left="0" w:right="0" w:firstLine="0"/>
                      <w:jc w:val="left"/>
                      <w:rPr>
                        <w:b/>
                        <w:sz w:val="20"/>
                      </w:rPr>
                    </w:pPr>
                    <w:r>
                      <w:rPr>
                        <w:b/>
                        <w:color w:val="0093C1"/>
                        <w:sz w:val="20"/>
                      </w:rPr>
                      <w:t>Revisions to GDP and investment</w:t>
                    </w:r>
                  </w:p>
                </w:txbxContent>
              </v:textbox>
              <w10:wrap type="none"/>
            </v:shape>
            <v:shape style="position:absolute;left:9414;top:1921;width:741;height:134" type="#_x0000_t202" filled="false" stroked="false">
              <v:textbox inset="0,0,0,0">
                <w:txbxContent>
                  <w:p>
                    <w:pPr>
                      <w:spacing w:line="133" w:lineRule="exact" w:before="0"/>
                      <w:ind w:left="0" w:right="0" w:firstLine="0"/>
                      <w:jc w:val="left"/>
                      <w:rPr>
                        <w:sz w:val="12"/>
                      </w:rPr>
                    </w:pPr>
                    <w:r>
                      <w:rPr>
                        <w:sz w:val="12"/>
                      </w:rPr>
                      <w:t>1995 £ billions</w:t>
                    </w:r>
                  </w:p>
                </w:txbxContent>
              </v:textbox>
              <w10:wrap type="none"/>
            </v:shape>
            <v:shape style="position:absolute;left:10174;top:2016;width:81;height:133" type="#_x0000_t202" filled="false" stroked="false">
              <v:textbox inset="0,0,0,0">
                <w:txbxContent>
                  <w:p>
                    <w:pPr>
                      <w:spacing w:line="133" w:lineRule="exact" w:before="0"/>
                      <w:ind w:left="0" w:right="0" w:firstLine="0"/>
                      <w:jc w:val="left"/>
                      <w:rPr>
                        <w:sz w:val="12"/>
                      </w:rPr>
                    </w:pPr>
                    <w:r>
                      <w:rPr>
                        <w:sz w:val="12"/>
                      </w:rPr>
                      <w:t>5</w:t>
                    </w:r>
                  </w:p>
                </w:txbxContent>
              </v:textbox>
              <w10:wrap type="none"/>
            </v:shape>
            <v:shape style="position:absolute;left:6221;top:2387;width:134;height:133" type="#_x0000_t202" filled="false" stroked="false">
              <v:textbox inset="0,0,0,0">
                <w:txbxContent>
                  <w:p>
                    <w:pPr>
                      <w:spacing w:line="133" w:lineRule="exact" w:before="0"/>
                      <w:ind w:left="0" w:right="0" w:firstLine="0"/>
                      <w:jc w:val="left"/>
                      <w:rPr>
                        <w:sz w:val="12"/>
                      </w:rPr>
                    </w:pPr>
                    <w:r>
                      <w:rPr>
                        <w:sz w:val="12"/>
                        <w:u w:val="single" w:color="231F20"/>
                      </w:rPr>
                      <w:t> </w:t>
                    </w:r>
                    <w:r>
                      <w:rPr>
                        <w:spacing w:val="-7"/>
                        <w:sz w:val="12"/>
                        <w:u w:val="single" w:color="231F20"/>
                      </w:rPr>
                      <w:t> </w:t>
                    </w:r>
                  </w:p>
                </w:txbxContent>
              </v:textbox>
              <w10:wrap type="none"/>
            </v:shape>
            <v:shape style="position:absolute;left:10174;top:2425;width:81;height:133" type="#_x0000_t202" filled="false" stroked="false">
              <v:textbox inset="0,0,0,0">
                <w:txbxContent>
                  <w:p>
                    <w:pPr>
                      <w:spacing w:line="133" w:lineRule="exact" w:before="0"/>
                      <w:ind w:left="0" w:right="0" w:firstLine="0"/>
                      <w:jc w:val="left"/>
                      <w:rPr>
                        <w:sz w:val="12"/>
                      </w:rPr>
                    </w:pPr>
                    <w:r>
                      <w:rPr>
                        <w:sz w:val="12"/>
                      </w:rPr>
                      <w:t>4</w:t>
                    </w:r>
                  </w:p>
                </w:txbxContent>
              </v:textbox>
              <w10:wrap type="none"/>
            </v:shape>
            <v:shape style="position:absolute;left:10174;top:2853;width:81;height:133" type="#_x0000_t202" filled="false" stroked="false">
              <v:textbox inset="0,0,0,0">
                <w:txbxContent>
                  <w:p>
                    <w:pPr>
                      <w:spacing w:line="133" w:lineRule="exact" w:before="0"/>
                      <w:ind w:left="0" w:right="0" w:firstLine="0"/>
                      <w:jc w:val="left"/>
                      <w:rPr>
                        <w:sz w:val="12"/>
                      </w:rPr>
                    </w:pPr>
                    <w:r>
                      <w:rPr>
                        <w:sz w:val="12"/>
                      </w:rPr>
                      <w:t>3</w:t>
                    </w:r>
                  </w:p>
                </w:txbxContent>
              </v:textbox>
              <w10:wrap type="none"/>
            </v:shape>
            <v:shape style="position:absolute;left:10174;top:3262;width:81;height:133" type="#_x0000_t202" filled="false" stroked="false">
              <v:textbox inset="0,0,0,0">
                <w:txbxContent>
                  <w:p>
                    <w:pPr>
                      <w:spacing w:line="133" w:lineRule="exact" w:before="0"/>
                      <w:ind w:left="0" w:right="0" w:firstLine="0"/>
                      <w:jc w:val="left"/>
                      <w:rPr>
                        <w:sz w:val="12"/>
                      </w:rPr>
                    </w:pPr>
                    <w:r>
                      <w:rPr>
                        <w:sz w:val="12"/>
                      </w:rPr>
                      <w:t>2</w:t>
                    </w:r>
                  </w:p>
                </w:txbxContent>
              </v:textbox>
              <w10:wrap type="none"/>
            </v:shape>
            <v:shape style="position:absolute;left:7872;top:3455;width:554;height:134" type="#_x0000_t202" filled="false" stroked="false">
              <v:textbox inset="0,0,0,0">
                <w:txbxContent>
                  <w:p>
                    <w:pPr>
                      <w:spacing w:line="133" w:lineRule="exact" w:before="0"/>
                      <w:ind w:left="0" w:right="0" w:firstLine="0"/>
                      <w:jc w:val="left"/>
                      <w:rPr>
                        <w:sz w:val="12"/>
                      </w:rPr>
                    </w:pPr>
                    <w:r>
                      <w:rPr>
                        <w:sz w:val="12"/>
                      </w:rPr>
                      <w:t>Investment</w:t>
                    </w:r>
                  </w:p>
                </w:txbxContent>
              </v:textbox>
              <w10:wrap type="none"/>
            </v:shape>
            <v:shape style="position:absolute;left:10174;top:3686;width:81;height:133" type="#_x0000_t202" filled="false" stroked="false">
              <v:textbox inset="0,0,0,0">
                <w:txbxContent>
                  <w:p>
                    <w:pPr>
                      <w:spacing w:line="133" w:lineRule="exact" w:before="0"/>
                      <w:ind w:left="0" w:right="0" w:firstLine="0"/>
                      <w:jc w:val="left"/>
                      <w:rPr>
                        <w:sz w:val="12"/>
                      </w:rPr>
                    </w:pPr>
                    <w:r>
                      <w:rPr>
                        <w:sz w:val="12"/>
                      </w:rPr>
                      <w:t>1</w:t>
                    </w:r>
                  </w:p>
                </w:txbxContent>
              </v:textbox>
              <w10:wrap type="none"/>
            </v:shape>
            <v:shape style="position:absolute;left:6221;top:3837;width:3990;height:590" type="#_x0000_t202" filled="false" stroked="false">
              <v:textbox inset="0,0,0,0">
                <w:txbxContent>
                  <w:p>
                    <w:pPr>
                      <w:spacing w:line="143" w:lineRule="exact" w:before="0"/>
                      <w:ind w:left="0" w:right="18" w:firstLine="0"/>
                      <w:jc w:val="right"/>
                      <w:rPr>
                        <w:sz w:val="16"/>
                      </w:rPr>
                    </w:pPr>
                    <w:r>
                      <w:rPr>
                        <w:color w:val="231F20"/>
                        <w:sz w:val="16"/>
                      </w:rPr>
                      <w:t>+</w:t>
                    </w:r>
                  </w:p>
                  <w:p>
                    <w:pPr>
                      <w:tabs>
                        <w:tab w:pos="3731" w:val="left" w:leader="none"/>
                      </w:tabs>
                      <w:spacing w:line="104" w:lineRule="exact" w:before="0"/>
                      <w:ind w:left="0" w:right="0" w:firstLine="0"/>
                      <w:jc w:val="left"/>
                      <w:rPr>
                        <w:sz w:val="12"/>
                      </w:rPr>
                    </w:pPr>
                    <w:r>
                      <w:rPr>
                        <w:sz w:val="12"/>
                        <w:u w:val="single" w:color="231F20"/>
                      </w:rPr>
                      <w:t>   </w:t>
                    </w:r>
                    <w:r>
                      <w:rPr>
                        <w:spacing w:val="-7"/>
                        <w:sz w:val="12"/>
                        <w:u w:val="single" w:color="231F20"/>
                      </w:rPr>
                      <w:t> </w:t>
                    </w:r>
                    <w:r>
                      <w:rPr>
                        <w:spacing w:val="7"/>
                        <w:sz w:val="12"/>
                      </w:rPr>
                      <w:t> </w:t>
                    </w:r>
                    <w:r>
                      <w:rPr>
                        <w:sz w:val="12"/>
                        <w:u w:val="single"/>
                      </w:rPr>
                      <w:t> </w:t>
                      <w:tab/>
                    </w:r>
                    <w:r>
                      <w:rPr>
                        <w:sz w:val="12"/>
                      </w:rPr>
                      <w:t> </w:t>
                    </w:r>
                    <w:r>
                      <w:rPr>
                        <w:spacing w:val="8"/>
                        <w:sz w:val="12"/>
                      </w:rPr>
                      <w:t> </w:t>
                    </w:r>
                    <w:r>
                      <w:rPr>
                        <w:sz w:val="12"/>
                        <w:u w:val="single" w:color="231F20"/>
                      </w:rPr>
                      <w:t> </w:t>
                    </w:r>
                    <w:r>
                      <w:rPr>
                        <w:spacing w:val="-7"/>
                        <w:sz w:val="12"/>
                        <w:u w:val="single" w:color="231F20"/>
                      </w:rPr>
                      <w:t> </w:t>
                    </w:r>
                  </w:p>
                  <w:p>
                    <w:pPr>
                      <w:spacing w:line="240" w:lineRule="auto" w:before="8"/>
                      <w:rPr>
                        <w:sz w:val="17"/>
                      </w:rPr>
                    </w:pPr>
                  </w:p>
                  <w:p>
                    <w:pPr>
                      <w:spacing w:before="0"/>
                      <w:ind w:left="2283" w:right="0" w:firstLine="0"/>
                      <w:jc w:val="left"/>
                      <w:rPr>
                        <w:sz w:val="12"/>
                      </w:rPr>
                    </w:pPr>
                    <w:r>
                      <w:rPr>
                        <w:sz w:val="12"/>
                      </w:rPr>
                      <w:t>GDP (a)</w:t>
                    </w:r>
                  </w:p>
                </w:txbxContent>
              </v:textbox>
              <w10:wrap type="none"/>
            </v:shape>
            <v:shape style="position:absolute;left:6221;top:4475;width:134;height:133" type="#_x0000_t202" filled="false" stroked="false">
              <v:textbox inset="0,0,0,0">
                <w:txbxContent>
                  <w:p>
                    <w:pPr>
                      <w:spacing w:line="133" w:lineRule="exact" w:before="0"/>
                      <w:ind w:left="0" w:right="0" w:firstLine="0"/>
                      <w:jc w:val="left"/>
                      <w:rPr>
                        <w:sz w:val="12"/>
                      </w:rPr>
                    </w:pPr>
                    <w:r>
                      <w:rPr>
                        <w:sz w:val="12"/>
                        <w:u w:val="single" w:color="231F20"/>
                      </w:rPr>
                      <w:t> </w:t>
                    </w:r>
                    <w:r>
                      <w:rPr>
                        <w:spacing w:val="-7"/>
                        <w:sz w:val="12"/>
                        <w:u w:val="single" w:color="231F20"/>
                      </w:rPr>
                      <w:t> </w:t>
                    </w:r>
                  </w:p>
                </w:txbxContent>
              </v:textbox>
              <w10:wrap type="none"/>
            </v:shape>
            <v:shape style="position:absolute;left:10110;top:4095;width:145;height:561" type="#_x0000_t202" filled="false" stroked="false">
              <v:textbox inset="0,0,0,0">
                <w:txbxContent>
                  <w:p>
                    <w:pPr>
                      <w:spacing w:line="132" w:lineRule="exact" w:before="0"/>
                      <w:ind w:left="64" w:right="0" w:firstLine="0"/>
                      <w:jc w:val="left"/>
                      <w:rPr>
                        <w:sz w:val="12"/>
                      </w:rPr>
                    </w:pPr>
                    <w:r>
                      <w:rPr>
                        <w:sz w:val="12"/>
                      </w:rPr>
                      <w:t>0</w:t>
                    </w:r>
                  </w:p>
                  <w:p>
                    <w:pPr>
                      <w:spacing w:line="183" w:lineRule="exact" w:before="0"/>
                      <w:ind w:left="0" w:right="0" w:firstLine="0"/>
                      <w:jc w:val="left"/>
                      <w:rPr>
                        <w:sz w:val="16"/>
                      </w:rPr>
                    </w:pPr>
                    <w:r>
                      <w:rPr>
                        <w:color w:val="231F20"/>
                        <w:sz w:val="16"/>
                      </w:rPr>
                      <w:t>_</w:t>
                    </w:r>
                  </w:p>
                  <w:p>
                    <w:pPr>
                      <w:spacing w:before="108"/>
                      <w:ind w:left="64" w:right="0" w:firstLine="0"/>
                      <w:jc w:val="left"/>
                      <w:rPr>
                        <w:sz w:val="12"/>
                      </w:rPr>
                    </w:pPr>
                    <w:r>
                      <w:rPr>
                        <w:sz w:val="12"/>
                      </w:rPr>
                      <w:t>1</w:t>
                    </w:r>
                  </w:p>
                </w:txbxContent>
              </v:textbox>
              <w10:wrap type="none"/>
            </v:shape>
            <v:shape style="position:absolute;left:10174;top:4931;width:81;height:133" type="#_x0000_t202" filled="false" stroked="false">
              <v:textbox inset="0,0,0,0">
                <w:txbxContent>
                  <w:p>
                    <w:pPr>
                      <w:spacing w:line="133" w:lineRule="exact" w:before="0"/>
                      <w:ind w:left="0" w:right="0" w:firstLine="0"/>
                      <w:jc w:val="left"/>
                      <w:rPr>
                        <w:sz w:val="12"/>
                      </w:rPr>
                    </w:pPr>
                    <w:r>
                      <w:rPr>
                        <w:sz w:val="12"/>
                      </w:rPr>
                      <w:t>2</w:t>
                    </w:r>
                  </w:p>
                </w:txbxContent>
              </v:textbox>
              <w10:wrap type="none"/>
            </v:shape>
            <v:shape style="position:absolute;left:6299;top:5048;width:1308;height:134" type="#_x0000_t202" filled="false" stroked="false">
              <v:textbox inset="0,0,0,0">
                <w:txbxContent>
                  <w:p>
                    <w:pPr>
                      <w:tabs>
                        <w:tab w:pos="782" w:val="left" w:leader="none"/>
                        <w:tab w:pos="1167" w:val="left" w:leader="none"/>
                      </w:tabs>
                      <w:spacing w:line="133" w:lineRule="exact" w:before="0"/>
                      <w:ind w:left="0" w:right="0" w:firstLine="0"/>
                      <w:jc w:val="left"/>
                      <w:rPr>
                        <w:sz w:val="12"/>
                      </w:rPr>
                    </w:pPr>
                    <w:r>
                      <w:rPr>
                        <w:sz w:val="12"/>
                      </w:rPr>
                      <w:t>1980    </w:t>
                    </w:r>
                    <w:r>
                      <w:rPr>
                        <w:spacing w:val="21"/>
                        <w:sz w:val="12"/>
                      </w:rPr>
                      <w:t> </w:t>
                    </w:r>
                    <w:r>
                      <w:rPr>
                        <w:sz w:val="12"/>
                      </w:rPr>
                      <w:t>82</w:t>
                      <w:tab/>
                      <w:t>84</w:t>
                      <w:tab/>
                      <w:t>86</w:t>
                    </w:r>
                  </w:p>
                </w:txbxContent>
              </v:textbox>
              <w10:wrap type="none"/>
            </v:shape>
            <v:shape style="position:absolute;left:7868;top:5048;width:910;height:134" type="#_x0000_t202" filled="false" stroked="false">
              <v:textbox inset="0,0,0,0">
                <w:txbxContent>
                  <w:p>
                    <w:pPr>
                      <w:tabs>
                        <w:tab w:pos="384" w:val="left" w:leader="none"/>
                        <w:tab w:pos="769" w:val="left" w:leader="none"/>
                      </w:tabs>
                      <w:spacing w:line="133" w:lineRule="exact" w:before="0"/>
                      <w:ind w:left="0" w:right="0" w:firstLine="0"/>
                      <w:jc w:val="left"/>
                      <w:rPr>
                        <w:sz w:val="12"/>
                      </w:rPr>
                    </w:pPr>
                    <w:r>
                      <w:rPr>
                        <w:sz w:val="12"/>
                      </w:rPr>
                      <w:t>88</w:t>
                      <w:tab/>
                      <w:t>90</w:t>
                      <w:tab/>
                      <w:t>92</w:t>
                    </w:r>
                  </w:p>
                </w:txbxContent>
              </v:textbox>
              <w10:wrap type="none"/>
            </v:shape>
            <v:shape style="position:absolute;left:9038;top:5048;width:525;height:134" type="#_x0000_t202" filled="false" stroked="false">
              <v:textbox inset="0,0,0,0">
                <w:txbxContent>
                  <w:p>
                    <w:pPr>
                      <w:tabs>
                        <w:tab w:pos="384" w:val="left" w:leader="none"/>
                      </w:tabs>
                      <w:spacing w:line="133" w:lineRule="exact" w:before="0"/>
                      <w:ind w:left="0" w:right="0" w:firstLine="0"/>
                      <w:jc w:val="left"/>
                      <w:rPr>
                        <w:sz w:val="12"/>
                      </w:rPr>
                    </w:pPr>
                    <w:r>
                      <w:rPr>
                        <w:sz w:val="12"/>
                      </w:rPr>
                      <w:t>94</w:t>
                      <w:tab/>
                      <w:t>96</w:t>
                    </w:r>
                  </w:p>
                </w:txbxContent>
              </v:textbox>
              <w10:wrap type="none"/>
            </v:shape>
            <v:shape style="position:absolute;left:9824;top:5048;width:141;height:133" type="#_x0000_t202" filled="false" stroked="false">
              <v:textbox inset="0,0,0,0">
                <w:txbxContent>
                  <w:p>
                    <w:pPr>
                      <w:spacing w:line="133" w:lineRule="exact" w:before="0"/>
                      <w:ind w:left="0" w:right="0" w:firstLine="0"/>
                      <w:jc w:val="left"/>
                      <w:rPr>
                        <w:sz w:val="12"/>
                      </w:rPr>
                    </w:pPr>
                    <w:r>
                      <w:rPr>
                        <w:sz w:val="12"/>
                      </w:rPr>
                      <w:t>98</w:t>
                    </w:r>
                  </w:p>
                </w:txbxContent>
              </v:textbox>
              <w10:wrap type="none"/>
            </v:shape>
            <v:shape style="position:absolute;left:6180;top:5356;width:1090;height:133" type="#_x0000_t202" filled="false" stroked="false">
              <v:textbox inset="0,0,0,0">
                <w:txbxContent>
                  <w:p>
                    <w:pPr>
                      <w:spacing w:line="133" w:lineRule="exact" w:before="0"/>
                      <w:ind w:left="0" w:right="0" w:firstLine="0"/>
                      <w:jc w:val="left"/>
                      <w:rPr>
                        <w:sz w:val="12"/>
                      </w:rPr>
                    </w:pPr>
                    <w:r>
                      <w:rPr>
                        <w:color w:val="231F20"/>
                        <w:sz w:val="12"/>
                      </w:rPr>
                      <w:t>(a) At market prices.</w:t>
                    </w:r>
                  </w:p>
                </w:txbxContent>
              </v:textbox>
              <w10:wrap type="none"/>
            </v:shape>
            <v:shape style="position:absolute;left:6186;top:5821;width:2776;height:462" type="#_x0000_t202" filled="false" stroked="false">
              <v:textbox inset="0,0,0,0">
                <w:txbxContent>
                  <w:p>
                    <w:pPr>
                      <w:spacing w:line="221" w:lineRule="exact" w:before="0"/>
                      <w:ind w:left="0" w:right="0" w:firstLine="0"/>
                      <w:jc w:val="left"/>
                      <w:rPr>
                        <w:b/>
                        <w:sz w:val="20"/>
                      </w:rPr>
                    </w:pPr>
                    <w:r>
                      <w:rPr>
                        <w:b/>
                        <w:color w:val="0093C1"/>
                        <w:sz w:val="20"/>
                      </w:rPr>
                      <w:t>Chart 4</w:t>
                    </w:r>
                  </w:p>
                  <w:p>
                    <w:pPr>
                      <w:spacing w:before="10"/>
                      <w:ind w:left="0" w:right="0" w:firstLine="0"/>
                      <w:jc w:val="left"/>
                      <w:rPr>
                        <w:b/>
                        <w:sz w:val="20"/>
                      </w:rPr>
                    </w:pPr>
                    <w:r>
                      <w:rPr>
                        <w:b/>
                        <w:color w:val="0093C1"/>
                        <w:sz w:val="20"/>
                      </w:rPr>
                      <w:t>Revisions to the current account</w:t>
                    </w:r>
                  </w:p>
                </w:txbxContent>
              </v:textbox>
              <w10:wrap type="none"/>
            </v:shape>
            <v:shape style="position:absolute;left:6240;top:6588;width:134;height:156" type="#_x0000_t202" filled="false" stroked="false">
              <v:textbox inset="0,0,0,0">
                <w:txbxContent>
                  <w:p>
                    <w:pPr>
                      <w:spacing w:line="155" w:lineRule="exact" w:before="0"/>
                      <w:ind w:left="0" w:right="0" w:firstLine="0"/>
                      <w:jc w:val="left"/>
                      <w:rPr>
                        <w:sz w:val="14"/>
                      </w:rPr>
                    </w:pPr>
                    <w:r>
                      <w:rPr>
                        <w:color w:val="231F20"/>
                        <w:sz w:val="14"/>
                        <w:u w:val="single" w:color="231F20"/>
                      </w:rPr>
                      <w:t> </w:t>
                    </w:r>
                    <w:r>
                      <w:rPr>
                        <w:color w:val="231F20"/>
                        <w:spacing w:val="8"/>
                        <w:sz w:val="14"/>
                        <w:u w:val="single" w:color="231F20"/>
                      </w:rPr>
                      <w:t> </w:t>
                    </w:r>
                  </w:p>
                </w:txbxContent>
              </v:textbox>
              <w10:wrap type="none"/>
            </v:shape>
            <v:shape style="position:absolute;left:9799;top:6561;width:471;height:134" type="#_x0000_t202" filled="false" stroked="false">
              <v:textbox inset="0,0,0,0">
                <w:txbxContent>
                  <w:p>
                    <w:pPr>
                      <w:spacing w:line="133" w:lineRule="exact" w:before="0"/>
                      <w:ind w:left="0" w:right="0" w:firstLine="0"/>
                      <w:jc w:val="left"/>
                      <w:rPr>
                        <w:sz w:val="12"/>
                      </w:rPr>
                    </w:pPr>
                    <w:r>
                      <w:rPr>
                        <w:sz w:val="12"/>
                      </w:rPr>
                      <w:t>£ billions</w:t>
                    </w:r>
                  </w:p>
                </w:txbxContent>
              </v:textbox>
              <w10:wrap type="none"/>
            </v:shape>
            <v:shape style="position:absolute;left:10281;top:6684;width:81;height:133" type="#_x0000_t202" filled="false" stroked="false">
              <v:textbox inset="0,0,0,0">
                <w:txbxContent>
                  <w:p>
                    <w:pPr>
                      <w:spacing w:line="133" w:lineRule="exact" w:before="0"/>
                      <w:ind w:left="0" w:right="0" w:firstLine="0"/>
                      <w:jc w:val="left"/>
                      <w:rPr>
                        <w:sz w:val="12"/>
                      </w:rPr>
                    </w:pPr>
                    <w:r>
                      <w:rPr>
                        <w:sz w:val="12"/>
                      </w:rPr>
                      <w:t>3</w:t>
                    </w:r>
                  </w:p>
                </w:txbxContent>
              </v:textbox>
              <w10:wrap type="none"/>
            </v:shape>
            <v:shape style="position:absolute;left:6240;top:7039;width:134;height:133" type="#_x0000_t202" filled="false" stroked="false">
              <v:textbox inset="0,0,0,0">
                <w:txbxContent>
                  <w:p>
                    <w:pPr>
                      <w:spacing w:line="133" w:lineRule="exact" w:before="0"/>
                      <w:ind w:left="0" w:right="0" w:firstLine="0"/>
                      <w:jc w:val="left"/>
                      <w:rPr>
                        <w:sz w:val="12"/>
                      </w:rPr>
                    </w:pPr>
                    <w:r>
                      <w:rPr>
                        <w:color w:val="231F20"/>
                        <w:sz w:val="12"/>
                        <w:u w:val="single" w:color="231F20"/>
                      </w:rPr>
                      <w:t> </w:t>
                    </w:r>
                    <w:r>
                      <w:rPr>
                        <w:color w:val="231F20"/>
                        <w:spacing w:val="-7"/>
                        <w:sz w:val="12"/>
                        <w:u w:val="single" w:color="231F20"/>
                      </w:rPr>
                      <w:t> </w:t>
                    </w:r>
                  </w:p>
                </w:txbxContent>
              </v:textbox>
              <w10:wrap type="none"/>
            </v:shape>
            <v:shape style="position:absolute;left:8278;top:7117;width:1013;height:134" type="#_x0000_t202" filled="false" stroked="false">
              <v:textbox inset="0,0,0,0">
                <w:txbxContent>
                  <w:p>
                    <w:pPr>
                      <w:spacing w:line="133" w:lineRule="exact" w:before="0"/>
                      <w:ind w:left="0" w:right="0" w:firstLine="0"/>
                      <w:jc w:val="left"/>
                      <w:rPr>
                        <w:sz w:val="12"/>
                      </w:rPr>
                    </w:pPr>
                    <w:r>
                      <w:rPr>
                        <w:sz w:val="12"/>
                      </w:rPr>
                      <w:t>New current balance</w:t>
                    </w:r>
                  </w:p>
                </w:txbxContent>
              </v:textbox>
              <w10:wrap type="none"/>
            </v:shape>
            <v:shape style="position:absolute;left:10281;top:7093;width:81;height:133" type="#_x0000_t202" filled="false" stroked="false">
              <v:textbox inset="0,0,0,0">
                <w:txbxContent>
                  <w:p>
                    <w:pPr>
                      <w:spacing w:line="133" w:lineRule="exact" w:before="0"/>
                      <w:ind w:left="0" w:right="0" w:firstLine="0"/>
                      <w:jc w:val="left"/>
                      <w:rPr>
                        <w:sz w:val="12"/>
                      </w:rPr>
                    </w:pPr>
                    <w:r>
                      <w:rPr>
                        <w:sz w:val="12"/>
                      </w:rPr>
                      <w:t>2</w:t>
                    </w:r>
                  </w:p>
                </w:txbxContent>
              </v:textbox>
              <w10:wrap type="none"/>
            </v:shape>
            <v:shape style="position:absolute;left:6240;top:7459;width:134;height:133" type="#_x0000_t202" filled="false" stroked="false">
              <v:textbox inset="0,0,0,0">
                <w:txbxContent>
                  <w:p>
                    <w:pPr>
                      <w:spacing w:line="133" w:lineRule="exact" w:before="0"/>
                      <w:ind w:left="0" w:right="0" w:firstLine="0"/>
                      <w:jc w:val="left"/>
                      <w:rPr>
                        <w:sz w:val="12"/>
                      </w:rPr>
                    </w:pPr>
                    <w:r>
                      <w:rPr>
                        <w:color w:val="231F20"/>
                        <w:sz w:val="12"/>
                        <w:u w:val="single" w:color="231F20"/>
                      </w:rPr>
                      <w:t> </w:t>
                    </w:r>
                    <w:r>
                      <w:rPr>
                        <w:color w:val="231F20"/>
                        <w:spacing w:val="-7"/>
                        <w:sz w:val="12"/>
                        <w:u w:val="single" w:color="231F20"/>
                      </w:rPr>
                      <w:t> </w:t>
                    </w:r>
                  </w:p>
                </w:txbxContent>
              </v:textbox>
              <w10:wrap type="none"/>
            </v:shape>
            <v:shape style="position:absolute;left:10210;top:7507;width:152;height:317" type="#_x0000_t202" filled="false" stroked="false">
              <v:textbox inset="0,0,0,0">
                <w:txbxContent>
                  <w:p>
                    <w:pPr>
                      <w:spacing w:line="133" w:lineRule="exact" w:before="0"/>
                      <w:ind w:left="71" w:right="0" w:firstLine="0"/>
                      <w:jc w:val="left"/>
                      <w:rPr>
                        <w:sz w:val="12"/>
                      </w:rPr>
                    </w:pPr>
                    <w:r>
                      <w:rPr>
                        <w:sz w:val="12"/>
                      </w:rPr>
                      <w:t>1</w:t>
                    </w:r>
                  </w:p>
                  <w:p>
                    <w:pPr>
                      <w:spacing w:line="184" w:lineRule="exact" w:before="0"/>
                      <w:ind w:left="0" w:right="0" w:firstLine="0"/>
                      <w:jc w:val="left"/>
                      <w:rPr>
                        <w:sz w:val="16"/>
                      </w:rPr>
                    </w:pPr>
                    <w:r>
                      <w:rPr>
                        <w:color w:val="231F20"/>
                        <w:sz w:val="16"/>
                      </w:rPr>
                      <w:t>+</w:t>
                    </w:r>
                  </w:p>
                </w:txbxContent>
              </v:textbox>
              <w10:wrap type="none"/>
            </v:shape>
            <v:shape style="position:absolute;left:6240;top:7859;width:4122;height:398" type="#_x0000_t202" filled="false" stroked="false">
              <v:textbox inset="0,0,0,0">
                <w:txbxContent>
                  <w:p>
                    <w:pPr>
                      <w:tabs>
                        <w:tab w:pos="3782" w:val="left" w:leader="none"/>
                      </w:tabs>
                      <w:spacing w:before="55"/>
                      <w:ind w:left="0" w:right="18" w:firstLine="0"/>
                      <w:jc w:val="right"/>
                      <w:rPr>
                        <w:sz w:val="12"/>
                      </w:rPr>
                    </w:pPr>
                    <w:r>
                      <w:rPr>
                        <w:color w:val="231F20"/>
                        <w:sz w:val="12"/>
                        <w:u w:val="single" w:color="231F20"/>
                      </w:rPr>
                      <w:t>   </w:t>
                    </w:r>
                    <w:r>
                      <w:rPr>
                        <w:color w:val="231F20"/>
                        <w:spacing w:val="-7"/>
                        <w:sz w:val="12"/>
                        <w:u w:val="single" w:color="231F20"/>
                      </w:rPr>
                      <w:t> </w:t>
                    </w:r>
                    <w:r>
                      <w:rPr>
                        <w:color w:val="231F20"/>
                        <w:sz w:val="12"/>
                      </w:rPr>
                      <w:t>  </w:t>
                    </w:r>
                    <w:r>
                      <w:rPr>
                        <w:color w:val="231F20"/>
                        <w:spacing w:val="-1"/>
                        <w:sz w:val="12"/>
                      </w:rPr>
                      <w:t> </w:t>
                    </w:r>
                    <w:r>
                      <w:rPr>
                        <w:color w:val="231F20"/>
                        <w:sz w:val="12"/>
                        <w:u w:val="single" w:color="000000"/>
                      </w:rPr>
                      <w:t> </w:t>
                      <w:tab/>
                    </w:r>
                    <w:r>
                      <w:rPr>
                        <w:color w:val="231F20"/>
                        <w:sz w:val="12"/>
                      </w:rPr>
                      <w:t>   </w:t>
                    </w:r>
                    <w:r>
                      <w:rPr>
                        <w:color w:val="231F20"/>
                        <w:spacing w:val="-7"/>
                        <w:sz w:val="12"/>
                      </w:rPr>
                      <w:t> </w:t>
                    </w:r>
                    <w:r>
                      <w:rPr>
                        <w:color w:val="231F20"/>
                        <w:sz w:val="12"/>
                        <w:u w:val="single" w:color="231F20"/>
                      </w:rPr>
                      <w:t>   </w:t>
                    </w:r>
                    <w:r>
                      <w:rPr>
                        <w:color w:val="231F20"/>
                        <w:spacing w:val="-7"/>
                        <w:sz w:val="12"/>
                        <w:u w:val="single" w:color="231F20"/>
                      </w:rPr>
                      <w:t> </w:t>
                    </w:r>
                    <w:r>
                      <w:rPr>
                        <w:color w:val="231F20"/>
                        <w:spacing w:val="2"/>
                        <w:sz w:val="12"/>
                      </w:rPr>
                      <w:t> </w:t>
                    </w:r>
                    <w:r>
                      <w:rPr>
                        <w:spacing w:val="-17"/>
                        <w:position w:val="-5"/>
                        <w:sz w:val="12"/>
                      </w:rPr>
                      <w:t>0</w:t>
                    </w:r>
                  </w:p>
                  <w:p>
                    <w:pPr>
                      <w:spacing w:before="20"/>
                      <w:ind w:left="0" w:right="69" w:firstLine="0"/>
                      <w:jc w:val="right"/>
                      <w:rPr>
                        <w:sz w:val="16"/>
                      </w:rPr>
                    </w:pPr>
                    <w:r>
                      <w:rPr>
                        <w:color w:val="231F20"/>
                        <w:sz w:val="16"/>
                      </w:rPr>
                      <w:t>–</w:t>
                    </w:r>
                  </w:p>
                </w:txbxContent>
              </v:textbox>
              <w10:wrap type="none"/>
            </v:shape>
            <v:shape style="position:absolute;left:6240;top:8279;width:134;height:133" type="#_x0000_t202" filled="false" stroked="false">
              <v:textbox inset="0,0,0,0">
                <w:txbxContent>
                  <w:p>
                    <w:pPr>
                      <w:spacing w:line="133" w:lineRule="exact" w:before="0"/>
                      <w:ind w:left="0" w:right="0" w:firstLine="0"/>
                      <w:jc w:val="left"/>
                      <w:rPr>
                        <w:sz w:val="12"/>
                      </w:rPr>
                    </w:pPr>
                    <w:r>
                      <w:rPr>
                        <w:color w:val="231F20"/>
                        <w:sz w:val="12"/>
                        <w:u w:val="single" w:color="231F20"/>
                      </w:rPr>
                      <w:t> </w:t>
                    </w:r>
                    <w:r>
                      <w:rPr>
                        <w:color w:val="231F20"/>
                        <w:spacing w:val="-7"/>
                        <w:sz w:val="12"/>
                        <w:u w:val="single" w:color="231F20"/>
                      </w:rPr>
                      <w:t> </w:t>
                    </w:r>
                  </w:p>
                </w:txbxContent>
              </v:textbox>
              <w10:wrap type="none"/>
            </v:shape>
            <v:shape style="position:absolute;left:10281;top:8343;width:81;height:133" type="#_x0000_t202" filled="false" stroked="false">
              <v:textbox inset="0,0,0,0">
                <w:txbxContent>
                  <w:p>
                    <w:pPr>
                      <w:spacing w:line="133" w:lineRule="exact" w:before="0"/>
                      <w:ind w:left="0" w:right="0" w:firstLine="0"/>
                      <w:jc w:val="left"/>
                      <w:rPr>
                        <w:sz w:val="12"/>
                      </w:rPr>
                    </w:pPr>
                    <w:r>
                      <w:rPr>
                        <w:sz w:val="12"/>
                      </w:rPr>
                      <w:t>1</w:t>
                    </w:r>
                  </w:p>
                </w:txbxContent>
              </v:textbox>
              <w10:wrap type="none"/>
            </v:shape>
            <v:shape style="position:absolute;left:6240;top:8679;width:134;height:133" type="#_x0000_t202" filled="false" stroked="false">
              <v:textbox inset="0,0,0,0">
                <w:txbxContent>
                  <w:p>
                    <w:pPr>
                      <w:spacing w:line="133" w:lineRule="exact" w:before="0"/>
                      <w:ind w:left="0" w:right="0" w:firstLine="0"/>
                      <w:jc w:val="left"/>
                      <w:rPr>
                        <w:sz w:val="12"/>
                      </w:rPr>
                    </w:pPr>
                    <w:r>
                      <w:rPr>
                        <w:color w:val="231F20"/>
                        <w:sz w:val="12"/>
                        <w:u w:val="single" w:color="231F20"/>
                      </w:rPr>
                      <w:t> </w:t>
                    </w:r>
                    <w:r>
                      <w:rPr>
                        <w:color w:val="231F20"/>
                        <w:spacing w:val="-7"/>
                        <w:sz w:val="12"/>
                        <w:u w:val="single" w:color="231F20"/>
                      </w:rPr>
                      <w:t> </w:t>
                    </w:r>
                  </w:p>
                </w:txbxContent>
              </v:textbox>
              <w10:wrap type="none"/>
            </v:shape>
            <v:shape style="position:absolute;left:10281;top:8757;width:81;height:133" type="#_x0000_t202" filled="false" stroked="false">
              <v:textbox inset="0,0,0,0">
                <w:txbxContent>
                  <w:p>
                    <w:pPr>
                      <w:spacing w:line="133" w:lineRule="exact" w:before="0"/>
                      <w:ind w:left="0" w:right="0" w:firstLine="0"/>
                      <w:jc w:val="left"/>
                      <w:rPr>
                        <w:sz w:val="12"/>
                      </w:rPr>
                    </w:pPr>
                    <w:r>
                      <w:rPr>
                        <w:sz w:val="12"/>
                      </w:rPr>
                      <w:t>2</w:t>
                    </w:r>
                  </w:p>
                </w:txbxContent>
              </v:textbox>
              <w10:wrap type="none"/>
            </v:shape>
            <v:shape style="position:absolute;left:8852;top:8884;width:967;height:134" type="#_x0000_t202" filled="false" stroked="false">
              <v:textbox inset="0,0,0,0">
                <w:txbxContent>
                  <w:p>
                    <w:pPr>
                      <w:spacing w:line="133" w:lineRule="exact" w:before="0"/>
                      <w:ind w:left="0" w:right="0" w:firstLine="0"/>
                      <w:jc w:val="left"/>
                      <w:rPr>
                        <w:sz w:val="12"/>
                      </w:rPr>
                    </w:pPr>
                    <w:r>
                      <w:rPr>
                        <w:sz w:val="12"/>
                      </w:rPr>
                      <w:t>Old current balance</w:t>
                    </w:r>
                  </w:p>
                </w:txbxContent>
              </v:textbox>
              <w10:wrap type="none"/>
            </v:shape>
            <v:shape style="position:absolute;left:6240;top:9099;width:134;height:133" type="#_x0000_t202" filled="false" stroked="false">
              <v:textbox inset="0,0,0,0">
                <w:txbxContent>
                  <w:p>
                    <w:pPr>
                      <w:spacing w:line="133" w:lineRule="exact" w:before="0"/>
                      <w:ind w:left="0" w:right="0" w:firstLine="0"/>
                      <w:jc w:val="left"/>
                      <w:rPr>
                        <w:sz w:val="12"/>
                      </w:rPr>
                    </w:pPr>
                    <w:r>
                      <w:rPr>
                        <w:color w:val="231F20"/>
                        <w:sz w:val="12"/>
                        <w:u w:val="single" w:color="231F20"/>
                      </w:rPr>
                      <w:t> </w:t>
                    </w:r>
                    <w:r>
                      <w:rPr>
                        <w:color w:val="231F20"/>
                        <w:spacing w:val="-7"/>
                        <w:sz w:val="12"/>
                        <w:u w:val="single" w:color="231F20"/>
                      </w:rPr>
                      <w:t> </w:t>
                    </w:r>
                  </w:p>
                </w:txbxContent>
              </v:textbox>
              <w10:wrap type="none"/>
            </v:shape>
            <v:shape style="position:absolute;left:10281;top:9166;width:81;height:133" type="#_x0000_t202" filled="false" stroked="false">
              <v:textbox inset="0,0,0,0">
                <w:txbxContent>
                  <w:p>
                    <w:pPr>
                      <w:spacing w:line="133" w:lineRule="exact" w:before="0"/>
                      <w:ind w:left="0" w:right="0" w:firstLine="0"/>
                      <w:jc w:val="left"/>
                      <w:rPr>
                        <w:sz w:val="12"/>
                      </w:rPr>
                    </w:pPr>
                    <w:r>
                      <w:rPr>
                        <w:sz w:val="12"/>
                      </w:rPr>
                      <w:t>3</w:t>
                    </w:r>
                  </w:p>
                </w:txbxContent>
              </v:textbox>
              <w10:wrap type="none"/>
            </v:shape>
            <v:shape style="position:absolute;left:6240;top:9499;width:134;height:133" type="#_x0000_t202" filled="false" stroked="false">
              <v:textbox inset="0,0,0,0">
                <w:txbxContent>
                  <w:p>
                    <w:pPr>
                      <w:spacing w:line="133" w:lineRule="exact" w:before="0"/>
                      <w:ind w:left="0" w:right="0" w:firstLine="0"/>
                      <w:jc w:val="left"/>
                      <w:rPr>
                        <w:sz w:val="12"/>
                      </w:rPr>
                    </w:pPr>
                    <w:r>
                      <w:rPr>
                        <w:color w:val="231F20"/>
                        <w:sz w:val="12"/>
                        <w:u w:val="single" w:color="231F20"/>
                      </w:rPr>
                      <w:t> </w:t>
                    </w:r>
                    <w:r>
                      <w:rPr>
                        <w:color w:val="231F20"/>
                        <w:spacing w:val="-7"/>
                        <w:sz w:val="12"/>
                        <w:u w:val="single" w:color="231F20"/>
                      </w:rPr>
                      <w:t> </w:t>
                    </w:r>
                  </w:p>
                </w:txbxContent>
              </v:textbox>
              <w10:wrap type="none"/>
            </v:shape>
            <v:shape style="position:absolute;left:10281;top:9576;width:81;height:133" type="#_x0000_t202" filled="false" stroked="false">
              <v:textbox inset="0,0,0,0">
                <w:txbxContent>
                  <w:p>
                    <w:pPr>
                      <w:spacing w:line="133" w:lineRule="exact" w:before="0"/>
                      <w:ind w:left="0" w:right="0" w:firstLine="0"/>
                      <w:jc w:val="left"/>
                      <w:rPr>
                        <w:sz w:val="12"/>
                      </w:rPr>
                    </w:pPr>
                    <w:r>
                      <w:rPr>
                        <w:sz w:val="12"/>
                      </w:rPr>
                      <w:t>4</w:t>
                    </w:r>
                  </w:p>
                </w:txbxContent>
              </v:textbox>
              <w10:wrap type="none"/>
            </v:shape>
            <v:shape style="position:absolute;left:6619;top:9688;width:261;height:133" type="#_x0000_t202" filled="false" stroked="false">
              <v:textbox inset="0,0,0,0">
                <w:txbxContent>
                  <w:p>
                    <w:pPr>
                      <w:spacing w:line="133" w:lineRule="exact" w:before="0"/>
                      <w:ind w:left="0" w:right="0" w:firstLine="0"/>
                      <w:jc w:val="left"/>
                      <w:rPr>
                        <w:sz w:val="12"/>
                      </w:rPr>
                    </w:pPr>
                    <w:r>
                      <w:rPr>
                        <w:sz w:val="12"/>
                      </w:rPr>
                      <w:t>1992</w:t>
                    </w:r>
                  </w:p>
                </w:txbxContent>
              </v:textbox>
              <w10:wrap type="none"/>
            </v:shape>
            <v:shape style="position:absolute;left:7276;top:9688;width:141;height:133" type="#_x0000_t202" filled="false" stroked="false">
              <v:textbox inset="0,0,0,0">
                <w:txbxContent>
                  <w:p>
                    <w:pPr>
                      <w:spacing w:line="133" w:lineRule="exact" w:before="0"/>
                      <w:ind w:left="0" w:right="0" w:firstLine="0"/>
                      <w:jc w:val="left"/>
                      <w:rPr>
                        <w:sz w:val="12"/>
                      </w:rPr>
                    </w:pPr>
                    <w:r>
                      <w:rPr>
                        <w:sz w:val="12"/>
                      </w:rPr>
                      <w:t>93</w:t>
                    </w:r>
                  </w:p>
                </w:txbxContent>
              </v:textbox>
              <w10:wrap type="none"/>
            </v:shape>
            <v:shape style="position:absolute;left:7837;top:9688;width:141;height:133" type="#_x0000_t202" filled="false" stroked="false">
              <v:textbox inset="0,0,0,0">
                <w:txbxContent>
                  <w:p>
                    <w:pPr>
                      <w:spacing w:line="133" w:lineRule="exact" w:before="0"/>
                      <w:ind w:left="0" w:right="0" w:firstLine="0"/>
                      <w:jc w:val="left"/>
                      <w:rPr>
                        <w:sz w:val="12"/>
                      </w:rPr>
                    </w:pPr>
                    <w:r>
                      <w:rPr>
                        <w:sz w:val="12"/>
                      </w:rPr>
                      <w:t>94</w:t>
                    </w:r>
                  </w:p>
                </w:txbxContent>
              </v:textbox>
              <w10:wrap type="none"/>
            </v:shape>
            <v:shape style="position:absolute;left:8412;top:9688;width:141;height:133" type="#_x0000_t202" filled="false" stroked="false">
              <v:textbox inset="0,0,0,0">
                <w:txbxContent>
                  <w:p>
                    <w:pPr>
                      <w:spacing w:line="133" w:lineRule="exact" w:before="0"/>
                      <w:ind w:left="0" w:right="0" w:firstLine="0"/>
                      <w:jc w:val="left"/>
                      <w:rPr>
                        <w:sz w:val="12"/>
                      </w:rPr>
                    </w:pPr>
                    <w:r>
                      <w:rPr>
                        <w:sz w:val="12"/>
                      </w:rPr>
                      <w:t>95</w:t>
                    </w:r>
                  </w:p>
                </w:txbxContent>
              </v:textbox>
              <w10:wrap type="none"/>
            </v:shape>
            <v:shape style="position:absolute;left:8987;top:9688;width:141;height:133" type="#_x0000_t202" filled="false" stroked="false">
              <v:textbox inset="0,0,0,0">
                <w:txbxContent>
                  <w:p>
                    <w:pPr>
                      <w:spacing w:line="133" w:lineRule="exact" w:before="0"/>
                      <w:ind w:left="0" w:right="0" w:firstLine="0"/>
                      <w:jc w:val="left"/>
                      <w:rPr>
                        <w:sz w:val="12"/>
                      </w:rPr>
                    </w:pPr>
                    <w:r>
                      <w:rPr>
                        <w:sz w:val="12"/>
                      </w:rPr>
                      <w:t>96</w:t>
                    </w:r>
                  </w:p>
                </w:txbxContent>
              </v:textbox>
              <w10:wrap type="none"/>
            </v:shape>
            <v:shape style="position:absolute;left:9562;top:9688;width:495;height:134" type="#_x0000_t202" filled="false" stroked="false">
              <v:textbox inset="0,0,0,0">
                <w:txbxContent>
                  <w:p>
                    <w:pPr>
                      <w:tabs>
                        <w:tab w:pos="354" w:val="left" w:leader="none"/>
                      </w:tabs>
                      <w:spacing w:line="133" w:lineRule="exact" w:before="0"/>
                      <w:ind w:left="0" w:right="0" w:firstLine="0"/>
                      <w:jc w:val="left"/>
                      <w:rPr>
                        <w:sz w:val="12"/>
                      </w:rPr>
                    </w:pPr>
                    <w:r>
                      <w:rPr>
                        <w:sz w:val="12"/>
                      </w:rPr>
                      <w:t>97</w:t>
                      <w:tab/>
                      <w:t>98</w:t>
                    </w:r>
                  </w:p>
                </w:txbxContent>
              </v:textbox>
              <w10:wrap type="none"/>
            </v:shape>
            <v:shape style="position:absolute;left:6186;top:10421;width:3043;height:4434" type="#_x0000_t202" filled="false" stroked="false">
              <v:textbox inset="0,0,0,0">
                <w:txbxContent>
                  <w:p>
                    <w:pPr>
                      <w:spacing w:line="221" w:lineRule="exact" w:before="0"/>
                      <w:ind w:left="0" w:right="0" w:firstLine="0"/>
                      <w:jc w:val="left"/>
                      <w:rPr>
                        <w:b/>
                        <w:sz w:val="20"/>
                      </w:rPr>
                    </w:pPr>
                    <w:r>
                      <w:rPr>
                        <w:b/>
                        <w:color w:val="0093C1"/>
                        <w:sz w:val="20"/>
                      </w:rPr>
                      <w:t>Chart 6</w:t>
                    </w:r>
                  </w:p>
                  <w:p>
                    <w:pPr>
                      <w:spacing w:before="10"/>
                      <w:ind w:left="0" w:right="0" w:firstLine="0"/>
                      <w:jc w:val="left"/>
                      <w:rPr>
                        <w:b/>
                        <w:sz w:val="20"/>
                      </w:rPr>
                    </w:pPr>
                    <w:r>
                      <w:rPr>
                        <w:b/>
                        <w:color w:val="0093C1"/>
                        <w:sz w:val="20"/>
                      </w:rPr>
                      <w:t>Cumulative growth 1992 Q2–98 Q2</w:t>
                    </w:r>
                  </w:p>
                  <w:p>
                    <w:pPr>
                      <w:spacing w:line="240" w:lineRule="auto" w:before="5"/>
                      <w:rPr>
                        <w:b/>
                        <w:sz w:val="19"/>
                      </w:rPr>
                    </w:pPr>
                  </w:p>
                  <w:p>
                    <w:pPr>
                      <w:spacing w:before="1"/>
                      <w:ind w:left="1615" w:right="416" w:firstLine="0"/>
                      <w:jc w:val="center"/>
                      <w:rPr>
                        <w:sz w:val="12"/>
                      </w:rPr>
                    </w:pPr>
                    <w:r>
                      <w:rPr>
                        <w:color w:val="231F20"/>
                        <w:sz w:val="12"/>
                      </w:rPr>
                      <w:t>1990 = 100</w:t>
                    </w:r>
                  </w:p>
                  <w:p>
                    <w:pPr>
                      <w:spacing w:before="28"/>
                      <w:ind w:left="1615" w:right="416" w:firstLine="0"/>
                      <w:jc w:val="center"/>
                      <w:rPr>
                        <w:sz w:val="12"/>
                      </w:rPr>
                    </w:pPr>
                    <w:r>
                      <w:rPr>
                        <w:color w:val="231F20"/>
                        <w:sz w:val="12"/>
                      </w:rPr>
                      <w:t>1995 = 100</w:t>
                    </w:r>
                  </w:p>
                  <w:p>
                    <w:pPr>
                      <w:spacing w:line="240" w:lineRule="auto" w:before="0"/>
                      <w:rPr>
                        <w:sz w:val="12"/>
                      </w:rPr>
                    </w:pPr>
                  </w:p>
                  <w:p>
                    <w:pPr>
                      <w:spacing w:before="92"/>
                      <w:ind w:left="1615" w:right="490" w:firstLine="0"/>
                      <w:jc w:val="center"/>
                      <w:rPr>
                        <w:sz w:val="12"/>
                      </w:rPr>
                    </w:pPr>
                    <w:r>
                      <w:rPr>
                        <w:sz w:val="12"/>
                      </w:rPr>
                      <w:t>Percentage change</w:t>
                    </w:r>
                  </w:p>
                  <w:p>
                    <w:pPr>
                      <w:spacing w:before="75"/>
                      <w:ind w:left="680" w:right="0" w:firstLine="0"/>
                      <w:jc w:val="left"/>
                      <w:rPr>
                        <w:sz w:val="12"/>
                      </w:rPr>
                    </w:pPr>
                    <w:r>
                      <w:rPr>
                        <w:sz w:val="12"/>
                      </w:rPr>
                      <w:t>GDP</w:t>
                    </w:r>
                    <w:r>
                      <w:rPr>
                        <w:spacing w:val="-1"/>
                        <w:sz w:val="12"/>
                      </w:rPr>
                      <w:t> </w:t>
                    </w:r>
                    <w:r>
                      <w:rPr>
                        <w:sz w:val="12"/>
                      </w:rPr>
                      <w:t>(a)</w:t>
                    </w:r>
                  </w:p>
                  <w:p>
                    <w:pPr>
                      <w:spacing w:line="415" w:lineRule="auto" w:before="64"/>
                      <w:ind w:left="67" w:right="1959" w:firstLine="343"/>
                      <w:jc w:val="right"/>
                      <w:rPr>
                        <w:sz w:val="12"/>
                      </w:rPr>
                    </w:pPr>
                    <w:r>
                      <w:rPr>
                        <w:sz w:val="12"/>
                      </w:rPr>
                      <w:t>Total</w:t>
                    </w:r>
                    <w:r>
                      <w:rPr>
                        <w:spacing w:val="-17"/>
                        <w:sz w:val="12"/>
                      </w:rPr>
                      <w:t> </w:t>
                    </w:r>
                    <w:r>
                      <w:rPr>
                        <w:sz w:val="12"/>
                      </w:rPr>
                      <w:t>services Government Business and</w:t>
                    </w:r>
                    <w:r>
                      <w:rPr>
                        <w:spacing w:val="4"/>
                        <w:sz w:val="12"/>
                      </w:rPr>
                      <w:t> </w:t>
                    </w:r>
                    <w:r>
                      <w:rPr>
                        <w:spacing w:val="-3"/>
                        <w:sz w:val="12"/>
                      </w:rPr>
                      <w:t>finance</w:t>
                    </w:r>
                  </w:p>
                  <w:p>
                    <w:pPr>
                      <w:spacing w:line="412" w:lineRule="auto" w:before="0"/>
                      <w:ind w:left="460" w:right="1959" w:firstLine="150"/>
                      <w:jc w:val="both"/>
                      <w:rPr>
                        <w:sz w:val="12"/>
                      </w:rPr>
                    </w:pPr>
                    <w:r>
                      <w:rPr>
                        <w:sz w:val="12"/>
                      </w:rPr>
                      <w:t>Transport Distribution Construction</w:t>
                    </w:r>
                  </w:p>
                  <w:p>
                    <w:pPr>
                      <w:spacing w:line="117" w:lineRule="exact" w:before="0"/>
                      <w:ind w:left="0" w:right="1953" w:firstLine="0"/>
                      <w:jc w:val="right"/>
                      <w:rPr>
                        <w:sz w:val="12"/>
                      </w:rPr>
                    </w:pPr>
                    <w:r>
                      <w:rPr>
                        <w:sz w:val="12"/>
                      </w:rPr>
                      <w:t>Industrial</w:t>
                    </w:r>
                    <w:r>
                      <w:rPr>
                        <w:spacing w:val="-1"/>
                        <w:sz w:val="12"/>
                      </w:rPr>
                      <w:t> </w:t>
                    </w:r>
                    <w:r>
                      <w:rPr>
                        <w:sz w:val="12"/>
                      </w:rPr>
                      <w:t>production</w:t>
                    </w:r>
                  </w:p>
                  <w:p>
                    <w:pPr>
                      <w:spacing w:line="398" w:lineRule="auto" w:before="107"/>
                      <w:ind w:left="27" w:right="1959" w:firstLine="666"/>
                      <w:jc w:val="right"/>
                      <w:rPr>
                        <w:sz w:val="12"/>
                      </w:rPr>
                    </w:pPr>
                    <w:r>
                      <w:rPr>
                        <w:sz w:val="12"/>
                      </w:rPr>
                      <w:t>Utilities Manufacturing Mining and</w:t>
                    </w:r>
                    <w:r>
                      <w:rPr>
                        <w:spacing w:val="-17"/>
                        <w:sz w:val="12"/>
                      </w:rPr>
                      <w:t> </w:t>
                    </w:r>
                    <w:r>
                      <w:rPr>
                        <w:sz w:val="12"/>
                      </w:rPr>
                      <w:t>quarrying</w:t>
                    </w:r>
                  </w:p>
                  <w:p>
                    <w:pPr>
                      <w:spacing w:before="10"/>
                      <w:ind w:left="0" w:right="1959" w:firstLine="0"/>
                      <w:jc w:val="right"/>
                      <w:rPr>
                        <w:sz w:val="12"/>
                      </w:rPr>
                    </w:pPr>
                    <w:r>
                      <w:rPr>
                        <w:sz w:val="12"/>
                      </w:rPr>
                      <w:t>Agriculture</w:t>
                    </w:r>
                  </w:p>
                  <w:p>
                    <w:pPr>
                      <w:spacing w:line="240" w:lineRule="auto" w:before="0"/>
                      <w:rPr>
                        <w:sz w:val="11"/>
                      </w:rPr>
                    </w:pPr>
                  </w:p>
                  <w:p>
                    <w:pPr>
                      <w:spacing w:before="0"/>
                      <w:ind w:left="0" w:right="93" w:firstLine="0"/>
                      <w:jc w:val="center"/>
                      <w:rPr>
                        <w:sz w:val="16"/>
                      </w:rPr>
                    </w:pPr>
                    <w:r>
                      <w:rPr>
                        <w:color w:val="231F20"/>
                        <w:sz w:val="16"/>
                      </w:rPr>
                      <w:t>_</w:t>
                    </w:r>
                  </w:p>
                </w:txbxContent>
              </v:textbox>
              <w10:wrap type="none"/>
            </v:shape>
            <v:shape style="position:absolute;left:6998;top:14830;width:141;height:133" type="#_x0000_t202" filled="false" stroked="false">
              <v:textbox inset="0,0,0,0">
                <w:txbxContent>
                  <w:p>
                    <w:pPr>
                      <w:spacing w:line="133" w:lineRule="exact" w:before="0"/>
                      <w:ind w:left="0" w:right="0" w:firstLine="0"/>
                      <w:jc w:val="left"/>
                      <w:rPr>
                        <w:sz w:val="12"/>
                      </w:rPr>
                    </w:pPr>
                    <w:r>
                      <w:rPr>
                        <w:sz w:val="12"/>
                      </w:rPr>
                      <w:t>20</w:t>
                    </w:r>
                  </w:p>
                </w:txbxContent>
              </v:textbox>
              <w10:wrap type="none"/>
            </v:shape>
            <v:shape style="position:absolute;left:7377;top:14830;width:907;height:134" type="#_x0000_t202" filled="false" stroked="false">
              <v:textbox inset="0,0,0,0">
                <w:txbxContent>
                  <w:p>
                    <w:pPr>
                      <w:tabs>
                        <w:tab w:pos="414" w:val="left" w:leader="none"/>
                        <w:tab w:pos="766" w:val="left" w:leader="none"/>
                      </w:tabs>
                      <w:spacing w:line="133" w:lineRule="exact" w:before="0"/>
                      <w:ind w:left="0" w:right="0" w:firstLine="0"/>
                      <w:jc w:val="left"/>
                      <w:rPr>
                        <w:sz w:val="12"/>
                      </w:rPr>
                    </w:pPr>
                    <w:r>
                      <w:rPr>
                        <w:sz w:val="12"/>
                      </w:rPr>
                      <w:t>10</w:t>
                      <w:tab/>
                      <w:t>0</w:t>
                      <w:tab/>
                      <w:t>10</w:t>
                    </w:r>
                  </w:p>
                </w:txbxContent>
              </v:textbox>
              <w10:wrap type="none"/>
            </v:shape>
            <v:shape style="position:absolute;left:7953;top:14717;width:111;height:178" type="#_x0000_t202" filled="false" stroked="false">
              <v:textbox inset="0,0,0,0">
                <w:txbxContent>
                  <w:p>
                    <w:pPr>
                      <w:spacing w:line="177" w:lineRule="exact" w:before="0"/>
                      <w:ind w:left="0" w:right="0" w:firstLine="0"/>
                      <w:jc w:val="left"/>
                      <w:rPr>
                        <w:sz w:val="16"/>
                      </w:rPr>
                    </w:pPr>
                    <w:r>
                      <w:rPr>
                        <w:color w:val="231F20"/>
                        <w:sz w:val="16"/>
                      </w:rPr>
                      <w:t>+</w:t>
                    </w:r>
                  </w:p>
                </w:txbxContent>
              </v:textbox>
              <w10:wrap type="none"/>
            </v:shape>
            <v:shape style="position:absolute;left:8523;top:14830;width:1273;height:134" type="#_x0000_t202" filled="false" stroked="false">
              <v:textbox inset="0,0,0,0">
                <w:txbxContent>
                  <w:p>
                    <w:pPr>
                      <w:tabs>
                        <w:tab w:pos="379" w:val="left" w:leader="none"/>
                        <w:tab w:pos="750" w:val="left" w:leader="none"/>
                        <w:tab w:pos="1132" w:val="left" w:leader="none"/>
                      </w:tabs>
                      <w:spacing w:line="133" w:lineRule="exact" w:before="0"/>
                      <w:ind w:left="0" w:right="0" w:firstLine="0"/>
                      <w:jc w:val="left"/>
                      <w:rPr>
                        <w:sz w:val="12"/>
                      </w:rPr>
                    </w:pPr>
                    <w:r>
                      <w:rPr>
                        <w:sz w:val="12"/>
                      </w:rPr>
                      <w:t>20</w:t>
                      <w:tab/>
                      <w:t>30</w:t>
                      <w:tab/>
                      <w:t>40</w:t>
                      <w:tab/>
                      <w:t>50</w:t>
                    </w:r>
                  </w:p>
                </w:txbxContent>
              </v:textbox>
              <w10:wrap type="none"/>
            </v:shape>
            <v:shape style="position:absolute;left:6180;top:15030;width:2553;height:133" type="#_x0000_t202" filled="false" stroked="false">
              <v:textbox inset="0,0,0,0">
                <w:txbxContent>
                  <w:p>
                    <w:pPr>
                      <w:spacing w:line="133" w:lineRule="exact" w:before="0"/>
                      <w:ind w:left="0" w:right="0" w:firstLine="0"/>
                      <w:jc w:val="left"/>
                      <w:rPr>
                        <w:sz w:val="12"/>
                      </w:rPr>
                    </w:pPr>
                    <w:r>
                      <w:rPr>
                        <w:color w:val="231F20"/>
                        <w:sz w:val="12"/>
                      </w:rPr>
                      <w:t>(a) 1990 at factor cost, 1995 at basic market prices.</w:t>
                    </w:r>
                  </w:p>
                </w:txbxContent>
              </v:textbox>
              <w10:wrap type="none"/>
            </v:shape>
            <w10:wrap type="none"/>
          </v:group>
        </w:pict>
      </w:r>
    </w:p>
    <w:p>
      <w:pPr>
        <w:tabs>
          <w:tab w:pos="3553" w:val="left" w:leader="none"/>
        </w:tabs>
        <w:spacing w:before="95"/>
        <w:ind w:left="1186" w:right="0" w:firstLine="0"/>
        <w:jc w:val="left"/>
        <w:rPr>
          <w:sz w:val="12"/>
        </w:rPr>
      </w:pPr>
      <w:r>
        <w:rPr>
          <w:sz w:val="12"/>
        </w:rPr>
        <w:t>1990</w:t>
        <w:tab/>
        <w:t>1995</w:t>
      </w:r>
    </w:p>
    <w:p>
      <w:pPr>
        <w:pStyle w:val="BodyText"/>
        <w:spacing w:before="6"/>
        <w:rPr>
          <w:sz w:val="19"/>
        </w:rPr>
      </w:pPr>
    </w:p>
    <w:p>
      <w:pPr>
        <w:spacing w:before="102"/>
        <w:ind w:left="406" w:right="0" w:firstLine="0"/>
        <w:jc w:val="left"/>
        <w:rPr>
          <w:sz w:val="12"/>
        </w:rPr>
      </w:pPr>
      <w:r>
        <w:rPr>
          <w:color w:val="231F20"/>
          <w:sz w:val="12"/>
        </w:rPr>
        <w:t>(a) Figures do not sum to 100 because of rounding.</w:t>
      </w:r>
    </w:p>
    <w:p>
      <w:pPr>
        <w:spacing w:after="0"/>
        <w:jc w:val="left"/>
        <w:rPr>
          <w:sz w:val="12"/>
        </w:rPr>
        <w:sectPr>
          <w:type w:val="continuous"/>
          <w:pgSz w:w="11900" w:h="16840"/>
          <w:pgMar w:top="1220" w:bottom="280" w:left="620" w:right="520"/>
        </w:sectPr>
      </w:pPr>
    </w:p>
    <w:p>
      <w:pPr>
        <w:pStyle w:val="BodyText"/>
        <w:rPr>
          <w:sz w:val="20"/>
        </w:rPr>
      </w:pPr>
    </w:p>
    <w:p>
      <w:pPr>
        <w:spacing w:after="0"/>
        <w:rPr>
          <w:sz w:val="20"/>
        </w:rPr>
        <w:sectPr>
          <w:headerReference w:type="even" r:id="rId44"/>
          <w:headerReference w:type="default" r:id="rId45"/>
          <w:footerReference w:type="even" r:id="rId46"/>
          <w:footerReference w:type="default" r:id="rId47"/>
          <w:pgSz w:w="11900" w:h="16840"/>
          <w:pgMar w:header="586" w:footer="597" w:top="780" w:bottom="780" w:left="620" w:right="520"/>
          <w:pgNumType w:start="16"/>
        </w:sectPr>
      </w:pPr>
    </w:p>
    <w:p>
      <w:pPr>
        <w:pStyle w:val="BodyText"/>
        <w:spacing w:before="6"/>
        <w:rPr>
          <w:sz w:val="20"/>
        </w:rPr>
      </w:pPr>
    </w:p>
    <w:p>
      <w:pPr>
        <w:pStyle w:val="Heading7"/>
        <w:spacing w:before="0"/>
        <w:ind w:left="215"/>
      </w:pPr>
      <w:bookmarkStart w:name="Domestic demand" w:id="37"/>
      <w:bookmarkEnd w:id="37"/>
      <w:r>
        <w:rPr>
          <w:b w:val="0"/>
        </w:rPr>
      </w:r>
      <w:bookmarkStart w:name="Consumption" w:id="38"/>
      <w:bookmarkEnd w:id="38"/>
      <w:r>
        <w:rPr>
          <w:b w:val="0"/>
        </w:rPr>
      </w:r>
      <w:bookmarkStart w:name="_bookmark11" w:id="39"/>
      <w:bookmarkEnd w:id="39"/>
      <w:r>
        <w:rPr>
          <w:b w:val="0"/>
        </w:rPr>
      </w:r>
      <w:r>
        <w:rPr>
          <w:color w:val="0093C1"/>
        </w:rPr>
        <w:t>Chart 2.2</w:t>
      </w:r>
    </w:p>
    <w:p>
      <w:pPr>
        <w:spacing w:before="10"/>
        <w:ind w:left="215" w:right="0" w:firstLine="0"/>
        <w:jc w:val="left"/>
        <w:rPr>
          <w:sz w:val="12"/>
        </w:rPr>
      </w:pPr>
      <w:r>
        <w:rPr>
          <w:b/>
          <w:color w:val="0093C1"/>
          <w:sz w:val="20"/>
        </w:rPr>
        <w:t>UK share of goods export markets</w:t>
      </w:r>
      <w:r>
        <w:rPr>
          <w:color w:val="231F20"/>
          <w:position w:val="4"/>
          <w:sz w:val="12"/>
        </w:rPr>
        <w:t>(a)</w:t>
      </w:r>
    </w:p>
    <w:p>
      <w:pPr>
        <w:spacing w:before="119"/>
        <w:ind w:left="3057" w:right="0" w:firstLine="0"/>
        <w:jc w:val="left"/>
        <w:rPr>
          <w:sz w:val="12"/>
        </w:rPr>
      </w:pPr>
      <w:r>
        <w:rPr/>
        <w:pict>
          <v:group style="position:absolute;margin-left:198.707993pt;margin-top:13.710964pt;width:4.7pt;height:.5pt;mso-position-horizontal-relative:page;mso-position-vertical-relative:paragraph;z-index:-21637120" coordorigin="3974,274" coordsize="94,10">
            <v:shape style="position:absolute;left:3974;top:279;width:94;height:2" coordorigin="3974,279" coordsize="94,0" path="m4067,279l3974,279e" filled="true" fillcolor="#000000" stroked="false">
              <v:path arrowok="t"/>
              <v:fill type="solid"/>
            </v:shape>
            <v:line style="position:absolute" from="3974,279" to="4067,279" stroked="true" strokeweight=".5pt" strokecolor="#000000">
              <v:stroke dashstyle="solid"/>
            </v:line>
            <w10:wrap type="none"/>
          </v:group>
        </w:pict>
      </w:r>
      <w:r>
        <w:rPr/>
        <w:pict>
          <v:group style="position:absolute;margin-left:45.125pt;margin-top:14.014964pt;width:4.7pt;height:.5pt;mso-position-horizontal-relative:page;mso-position-vertical-relative:paragraph;z-index:15852032" coordorigin="903,280" coordsize="94,10">
            <v:shape style="position:absolute;left:902;top:285;width:94;height:2" coordorigin="903,285" coordsize="94,0" path="m996,285l903,285e" filled="true" fillcolor="#000000" stroked="false">
              <v:path arrowok="t"/>
              <v:fill type="solid"/>
            </v:shape>
            <v:line style="position:absolute" from="903,285" to="996,285" stroked="true" strokeweight=".5pt" strokecolor="#000000">
              <v:stroke dashstyle="solid"/>
            </v:line>
            <w10:wrap type="none"/>
          </v:group>
        </w:pict>
      </w:r>
      <w:r>
        <w:rPr>
          <w:sz w:val="12"/>
        </w:rPr>
        <w:t>Per cent</w:t>
      </w:r>
      <w:r>
        <w:rPr>
          <w:spacing w:val="20"/>
          <w:sz w:val="12"/>
        </w:rPr>
        <w:t> </w:t>
      </w:r>
      <w:r>
        <w:rPr>
          <w:position w:val="-8"/>
          <w:sz w:val="12"/>
        </w:rPr>
        <w:t>10.0</w:t>
      </w:r>
    </w:p>
    <w:p>
      <w:pPr>
        <w:pStyle w:val="BodyText"/>
        <w:spacing w:before="1"/>
      </w:pPr>
    </w:p>
    <w:p>
      <w:pPr>
        <w:spacing w:before="0"/>
        <w:ind w:left="0" w:right="38" w:firstLine="0"/>
        <w:jc w:val="right"/>
        <w:rPr>
          <w:sz w:val="12"/>
        </w:rPr>
      </w:pPr>
      <w:r>
        <w:rPr/>
        <w:pict>
          <v:group style="position:absolute;margin-left:45.125pt;margin-top:-.752437pt;width:158.25pt;height:60.5pt;mso-position-horizontal-relative:page;mso-position-vertical-relative:paragraph;z-index:15851008" coordorigin="903,-15" coordsize="3165,1210">
            <v:shape style="position:absolute;left:1036;top:-6;width:2308;height:1183" coordorigin="1036,-5" coordsize="2308,1183" path="m1036,812l1186,957m1186,957l1324,1177m1324,1177l1474,946m1474,946l1612,988m1612,988l1761,790m1761,790l1899,759m1899,759l2046,686m2046,686l2184,770m2184,770l2334,633m2334,633l2484,424m2484,424l2621,508m2621,508l2771,288m2771,288l2909,433m2909,433l3059,265m3059,265l3197,48m3197,48l3344,-5e" filled="false" stroked="true" strokeweight="1pt" strokecolor="#ed1b2d">
              <v:path arrowok="t"/>
              <v:stroke dashstyle="solid"/>
            </v:shape>
            <v:shape style="position:absolute;left:3333;top:-4;width:308;height:2" coordorigin="3334,-4" coordsize="308,0" path="m3334,-4l3491,-4m3471,-4l3641,-4e" filled="false" stroked="true" strokeweight="1.140pt" strokecolor="#ed1b2d">
              <v:path arrowok="t"/>
              <v:stroke dashstyle="solid"/>
            </v:shape>
            <v:shape style="position:absolute;left:3631;top:-6;width:288;height:198" coordorigin="3631,-5" coordsize="288,198" path="m3631,-5l3769,132m3769,132l3919,193e" filled="false" stroked="true" strokeweight="1pt" strokecolor="#ed1b2d">
              <v:path arrowok="t"/>
              <v:stroke dashstyle="solid"/>
            </v:shape>
            <v:shape style="position:absolute;left:3974;top:449;width:94;height:2" coordorigin="3974,449" coordsize="94,0" path="m4067,449l3974,449e" filled="true" fillcolor="#000000" stroked="false">
              <v:path arrowok="t"/>
              <v:fill type="solid"/>
            </v:shape>
            <v:line style="position:absolute" from="3974,449" to="4067,449" stroked="true" strokeweight=".5pt" strokecolor="#000000">
              <v:stroke dashstyle="solid"/>
            </v:line>
            <v:shape style="position:absolute;left:3974;top:1174;width:94;height:2" coordorigin="3974,1174" coordsize="94,0" path="m4067,1174l3974,1174e" filled="true" fillcolor="#000000" stroked="false">
              <v:path arrowok="t"/>
              <v:fill type="solid"/>
            </v:shape>
            <v:line style="position:absolute" from="3974,1174" to="4067,1174" stroked="true" strokeweight=".5pt" strokecolor="#000000">
              <v:stroke dashstyle="solid"/>
            </v:line>
            <v:shape style="position:absolute;left:902;top:1189;width:94;height:2" coordorigin="903,1189" coordsize="94,0" path="m996,1189l903,1189e" filled="true" fillcolor="#000000" stroked="false">
              <v:path arrowok="t"/>
              <v:fill type="solid"/>
            </v:shape>
            <v:line style="position:absolute" from="903,1189" to="996,1189" stroked="true" strokeweight=".5pt" strokecolor="#000000">
              <v:stroke dashstyle="solid"/>
            </v:line>
            <v:shape style="position:absolute;left:902;top:436;width:94;height:2" coordorigin="903,437" coordsize="94,0" path="m996,437l903,437e" filled="true" fillcolor="#000000" stroked="false">
              <v:path arrowok="t"/>
              <v:fill type="solid"/>
            </v:shape>
            <v:line style="position:absolute" from="903,437" to="996,437" stroked="true" strokeweight=".5pt" strokecolor="#000000">
              <v:stroke dashstyle="solid"/>
            </v:line>
            <v:shape style="position:absolute;left:3974;top:811;width:94;height:2" coordorigin="3974,812" coordsize="94,0" path="m4067,812l3974,812e" filled="true" fillcolor="#000000" stroked="false">
              <v:path arrowok="t"/>
              <v:fill type="solid"/>
            </v:shape>
            <v:line style="position:absolute" from="3974,812" to="4067,812" stroked="true" strokeweight=".5pt" strokecolor="#000000">
              <v:stroke dashstyle="solid"/>
            </v:line>
            <v:shape style="position:absolute;left:3974;top:86;width:94;height:2" coordorigin="3974,87" coordsize="94,0" path="m4067,87l3974,87e" filled="true" fillcolor="#000000" stroked="false">
              <v:path arrowok="t"/>
              <v:fill type="solid"/>
            </v:shape>
            <v:line style="position:absolute" from="3974,87" to="4067,87" stroked="true" strokeweight=".5pt" strokecolor="#000000">
              <v:stroke dashstyle="solid"/>
            </v:line>
            <v:shape style="position:absolute;left:905;top:808;width:94;height:2" coordorigin="905,809" coordsize="94,0" path="m998,809l905,809e" filled="true" fillcolor="#000000" stroked="false">
              <v:path arrowok="t"/>
              <v:fill type="solid"/>
            </v:shape>
            <v:line style="position:absolute" from="905,809" to="998,809" stroked="true" strokeweight=".5pt" strokecolor="#000000">
              <v:stroke dashstyle="solid"/>
            </v:line>
            <v:shape style="position:absolute;left:905;top:83;width:94;height:2" coordorigin="905,83" coordsize="94,0" path="m998,83l905,83e" filled="true" fillcolor="#000000" stroked="false">
              <v:path arrowok="t"/>
              <v:fill type="solid"/>
            </v:shape>
            <v:line style="position:absolute" from="905,83" to="998,83" stroked="true" strokeweight=".5pt" strokecolor="#000000">
              <v:stroke dashstyle="solid"/>
            </v:line>
            <v:shape style="position:absolute;left:3094;top:253;width:180;height:133" type="#_x0000_t202" filled="false" stroked="false">
              <v:textbox inset="0,0,0,0">
                <w:txbxContent>
                  <w:p>
                    <w:pPr>
                      <w:spacing w:line="133" w:lineRule="exact" w:before="0"/>
                      <w:ind w:left="0" w:right="0" w:firstLine="0"/>
                      <w:jc w:val="left"/>
                      <w:rPr>
                        <w:sz w:val="12"/>
                      </w:rPr>
                    </w:pPr>
                    <w:r>
                      <w:rPr>
                        <w:sz w:val="12"/>
                      </w:rPr>
                      <w:t>EU</w:t>
                    </w:r>
                  </w:p>
                </w:txbxContent>
              </v:textbox>
              <w10:wrap type="none"/>
            </v:shape>
            <w10:wrap type="none"/>
          </v:group>
        </w:pict>
      </w:r>
      <w:r>
        <w:rPr>
          <w:color w:val="231F20"/>
          <w:sz w:val="12"/>
        </w:rPr>
        <w:t>9.5</w:t>
      </w:r>
    </w:p>
    <w:p>
      <w:pPr>
        <w:pStyle w:val="BodyText"/>
        <w:rPr>
          <w:sz w:val="12"/>
        </w:rPr>
      </w:pPr>
    </w:p>
    <w:p>
      <w:pPr>
        <w:spacing w:before="97"/>
        <w:ind w:left="0" w:right="38" w:firstLine="0"/>
        <w:jc w:val="right"/>
        <w:rPr>
          <w:sz w:val="12"/>
        </w:rPr>
      </w:pPr>
      <w:r>
        <w:rPr>
          <w:sz w:val="12"/>
        </w:rPr>
        <w:t>9.0</w:t>
      </w:r>
    </w:p>
    <w:p>
      <w:pPr>
        <w:pStyle w:val="BodyText"/>
        <w:rPr>
          <w:sz w:val="12"/>
        </w:rPr>
      </w:pPr>
    </w:p>
    <w:p>
      <w:pPr>
        <w:spacing w:before="91"/>
        <w:ind w:left="0" w:right="38" w:firstLine="0"/>
        <w:jc w:val="right"/>
        <w:rPr>
          <w:sz w:val="12"/>
        </w:rPr>
      </w:pPr>
      <w:r>
        <w:rPr>
          <w:color w:val="231F20"/>
          <w:sz w:val="12"/>
        </w:rPr>
        <w:t>8.5</w:t>
      </w:r>
    </w:p>
    <w:p>
      <w:pPr>
        <w:pStyle w:val="BodyText"/>
        <w:rPr>
          <w:sz w:val="12"/>
        </w:rPr>
      </w:pPr>
    </w:p>
    <w:p>
      <w:pPr>
        <w:spacing w:before="70"/>
        <w:ind w:left="0" w:right="38" w:firstLine="0"/>
        <w:jc w:val="right"/>
        <w:rPr>
          <w:sz w:val="12"/>
        </w:rPr>
      </w:pPr>
      <w:r>
        <w:rPr>
          <w:sz w:val="12"/>
        </w:rPr>
        <w:t>8.0</w:t>
      </w:r>
    </w:p>
    <w:p>
      <w:pPr>
        <w:pStyle w:val="BodyText"/>
        <w:rPr>
          <w:sz w:val="12"/>
        </w:rPr>
      </w:pPr>
    </w:p>
    <w:p>
      <w:pPr>
        <w:spacing w:before="105"/>
        <w:ind w:left="0" w:right="38" w:firstLine="0"/>
        <w:jc w:val="right"/>
        <w:rPr>
          <w:sz w:val="12"/>
        </w:rPr>
      </w:pPr>
      <w:r>
        <w:rPr/>
        <w:pict>
          <v:group style="position:absolute;margin-left:198.707993pt;margin-top:8.522371pt;width:4.7pt;height:.5pt;mso-position-horizontal-relative:page;mso-position-vertical-relative:paragraph;z-index:15852544" coordorigin="3974,170" coordsize="94,10">
            <v:shape style="position:absolute;left:3974;top:175;width:94;height:2" coordorigin="3974,175" coordsize="94,0" path="m4067,175l3974,175e" filled="true" fillcolor="#000000" stroked="false">
              <v:path arrowok="t"/>
              <v:fill type="solid"/>
            </v:shape>
            <v:line style="position:absolute" from="3974,175" to="4067,175" stroked="true" strokeweight=".5pt" strokecolor="#000000">
              <v:stroke dashstyle="solid"/>
            </v:line>
            <w10:wrap type="none"/>
          </v:group>
        </w:pict>
      </w:r>
      <w:r>
        <w:rPr/>
        <w:pict>
          <v:group style="position:absolute;margin-left:45.25pt;margin-top:8.364371pt;width:4.7pt;height:.5pt;mso-position-horizontal-relative:page;mso-position-vertical-relative:paragraph;z-index:15853056" coordorigin="905,167" coordsize="94,10">
            <v:shape style="position:absolute;left:905;top:172;width:94;height:2" coordorigin="905,172" coordsize="94,0" path="m998,172l905,172e" filled="true" fillcolor="#000000" stroked="false">
              <v:path arrowok="t"/>
              <v:fill type="solid"/>
            </v:shape>
            <v:line style="position:absolute" from="905,172" to="998,172" stroked="true" strokeweight=".5pt" strokecolor="#000000">
              <v:stroke dashstyle="solid"/>
            </v:line>
            <w10:wrap type="none"/>
          </v:group>
        </w:pict>
      </w:r>
      <w:r>
        <w:rPr>
          <w:color w:val="231F20"/>
          <w:sz w:val="12"/>
        </w:rPr>
        <w:t>7.5</w:t>
      </w:r>
    </w:p>
    <w:p>
      <w:pPr>
        <w:pStyle w:val="BodyText"/>
        <w:spacing w:before="7"/>
        <w:rPr>
          <w:sz w:val="17"/>
        </w:rPr>
      </w:pPr>
    </w:p>
    <w:p>
      <w:pPr>
        <w:spacing w:line="134" w:lineRule="exact" w:before="1"/>
        <w:ind w:left="0" w:right="38" w:firstLine="0"/>
        <w:jc w:val="right"/>
        <w:rPr>
          <w:sz w:val="12"/>
        </w:rPr>
      </w:pPr>
      <w:r>
        <w:rPr/>
        <w:pict>
          <v:group style="position:absolute;margin-left:44.705002pt;margin-top:4.401553pt;width:159.85pt;height:5.45pt;mso-position-horizontal-relative:page;mso-position-vertical-relative:paragraph;z-index:-21638656" coordorigin="894,88" coordsize="3197,109">
            <v:line style="position:absolute" from="1899,184" to="1902,161" stroked="true" strokeweight=".125pt" strokecolor="#000000">
              <v:stroke dashstyle="solid"/>
            </v:line>
            <v:line style="position:absolute" from="1038,152" to="1038,185" stroked="true" strokeweight=".279pt" strokecolor="#000000">
              <v:stroke dashstyle="solid"/>
            </v:line>
            <v:shape style="position:absolute;left:899;top:132;width:3161;height:59" coordorigin="899,133" coordsize="3161,59" path="m899,190l4059,191m3635,133l3635,189e" filled="false" stroked="true" strokeweight=".5pt" strokecolor="#000000">
              <v:path arrowok="t"/>
              <v:stroke dashstyle="solid"/>
            </v:shape>
            <v:shape style="position:absolute;left:3974;top:93;width:94;height:2" coordorigin="3974,93" coordsize="94,0" path="m4068,93l3974,93e" filled="true" fillcolor="#000000" stroked="false">
              <v:path arrowok="t"/>
              <v:fill type="solid"/>
            </v:shape>
            <v:shape style="position:absolute;left:1039;top:93;width:3047;height:97" coordorigin="1039,93" coordsize="3047,97" path="m3974,93l4068,93m3919,133l3919,189m3347,133l3347,189m3062,133l3062,189m2769,133l2769,189m2485,133l2485,189m2186,133l2186,189m1902,133l1902,189m1615,133l1615,189m1325,133l1325,189m1039,133l1039,189m4065,94l4065,114,4045,127,4085,137,4045,152,4085,164,4062,172,4062,189e" filled="false" stroked="true" strokeweight=".5pt" strokecolor="#000000">
              <v:path arrowok="t"/>
              <v:stroke dashstyle="solid"/>
            </v:shape>
            <v:shape style="position:absolute;left:902;top:99;width:94;height:2" coordorigin="903,99" coordsize="94,0" path="m996,99l903,99e" filled="true" fillcolor="#000000" stroked="false">
              <v:path arrowok="t"/>
              <v:fill type="solid"/>
            </v:shape>
            <v:shape style="position:absolute;left:902;top:96;width:113;height:95" coordorigin="903,97" coordsize="113,95" path="m903,99l996,99m995,97l995,117,975,129,1015,139,975,154,1015,167,992,174,991,192e" filled="false" stroked="true" strokeweight=".5pt" strokecolor="#000000">
              <v:path arrowok="t"/>
              <v:stroke dashstyle="solid"/>
            </v:shape>
            <w10:wrap type="none"/>
          </v:group>
        </w:pict>
      </w:r>
      <w:r>
        <w:rPr>
          <w:sz w:val="12"/>
        </w:rPr>
        <w:t>7.0</w:t>
      </w:r>
    </w:p>
    <w:p>
      <w:pPr>
        <w:tabs>
          <w:tab w:pos="896" w:val="left" w:leader="none"/>
          <w:tab w:pos="1469" w:val="left" w:leader="none"/>
          <w:tab w:pos="2056" w:val="left" w:leader="none"/>
          <w:tab w:pos="2632" w:val="left" w:leader="none"/>
          <w:tab w:pos="3172" w:val="left" w:leader="none"/>
        </w:tabs>
        <w:spacing w:line="204" w:lineRule="exact" w:before="0"/>
        <w:ind w:left="187" w:right="0" w:firstLine="0"/>
        <w:jc w:val="left"/>
        <w:rPr>
          <w:sz w:val="12"/>
        </w:rPr>
      </w:pPr>
      <w:r>
        <w:rPr>
          <w:sz w:val="12"/>
        </w:rPr>
        <w:t>1988 H1</w:t>
        <w:tab/>
        <w:t>90 H1</w:t>
        <w:tab/>
        <w:t>92 H1</w:t>
        <w:tab/>
        <w:t>94 H1</w:t>
        <w:tab/>
        <w:t>96 H1</w:t>
        <w:tab/>
        <w:t>98 H1 </w:t>
      </w:r>
      <w:r>
        <w:rPr>
          <w:spacing w:val="28"/>
          <w:sz w:val="12"/>
        </w:rPr>
        <w:t> </w:t>
      </w:r>
      <w:r>
        <w:rPr>
          <w:color w:val="231F20"/>
          <w:position w:val="7"/>
          <w:sz w:val="12"/>
        </w:rPr>
        <w:t>0.0</w:t>
      </w:r>
    </w:p>
    <w:p>
      <w:pPr>
        <w:pStyle w:val="BodyText"/>
        <w:spacing w:before="3"/>
        <w:rPr>
          <w:sz w:val="21"/>
        </w:rPr>
      </w:pPr>
    </w:p>
    <w:p>
      <w:pPr>
        <w:spacing w:before="0"/>
        <w:ind w:left="3076" w:right="0" w:firstLine="0"/>
        <w:jc w:val="left"/>
        <w:rPr>
          <w:sz w:val="12"/>
        </w:rPr>
      </w:pPr>
      <w:r>
        <w:rPr/>
        <w:pict>
          <v:group style="position:absolute;margin-left:44.720001pt;margin-top:7.791821pt;width:59.9pt;height:36.85pt;mso-position-horizontal-relative:page;mso-position-vertical-relative:paragraph;z-index:15854592" coordorigin="894,156" coordsize="1198,737">
            <v:shape style="position:absolute;left:1063;top:243;width:287;height:194" coordorigin="1063,243" coordsize="287,194" path="m1063,243l1205,437m1205,437l1350,321e" filled="false" stroked="true" strokeweight="1pt" strokecolor="#0066a5">
              <v:path arrowok="t"/>
              <v:stroke dashstyle="solid"/>
            </v:shape>
            <v:line style="position:absolute" from="1340,323" to="1505,323" stroked="true" strokeweight="1.17pt" strokecolor="#0066a5">
              <v:stroke dashstyle="solid"/>
            </v:line>
            <v:shape style="position:absolute;left:1494;top:270;width:423;height:613" coordorigin="1495,270" coordsize="423,613" path="m1495,321l1639,270m1639,270l1784,576m1784,576l1917,883e" filled="false" stroked="true" strokeweight="1pt" strokecolor="#0066a5">
              <v:path arrowok="t"/>
              <v:stroke dashstyle="solid"/>
            </v:shape>
            <v:shape style="position:absolute;left:894;top:160;width:107;height:534" coordorigin="894,161" coordsize="107,534" path="m894,161l1001,161m894,695l1001,695e" filled="false" stroked="true" strokeweight=".5pt" strokecolor="#000000">
              <v:path arrowok="t"/>
              <v:stroke dashstyle="solid"/>
            </v:shape>
            <v:shape style="position:absolute;left:1906;top:751;width:185;height:133" type="#_x0000_t202" filled="false" stroked="false">
              <v:textbox inset="0,0,0,0">
                <w:txbxContent>
                  <w:p>
                    <w:pPr>
                      <w:spacing w:line="133" w:lineRule="exact" w:before="0"/>
                      <w:ind w:left="0" w:right="0" w:firstLine="0"/>
                      <w:jc w:val="left"/>
                      <w:rPr>
                        <w:sz w:val="12"/>
                      </w:rPr>
                    </w:pPr>
                    <w:r>
                      <w:rPr>
                        <w:sz w:val="12"/>
                        <w:u w:val="thick" w:color="0066A5"/>
                      </w:rPr>
                      <w:t> </w:t>
                    </w:r>
                    <w:r>
                      <w:rPr>
                        <w:spacing w:val="14"/>
                        <w:sz w:val="12"/>
                        <w:u w:val="thick" w:color="0066A5"/>
                      </w:rPr>
                      <w:t> </w:t>
                    </w:r>
                  </w:p>
                </w:txbxContent>
              </v:textbox>
              <w10:wrap type="none"/>
            </v:shape>
            <w10:wrap type="none"/>
          </v:group>
        </w:pict>
      </w:r>
      <w:r>
        <w:rPr>
          <w:sz w:val="12"/>
        </w:rPr>
        <w:t>Per c</w:t>
      </w:r>
      <w:r>
        <w:rPr>
          <w:sz w:val="12"/>
          <w:u w:val="single"/>
        </w:rPr>
        <w:t>en</w:t>
      </w:r>
      <w:r>
        <w:rPr>
          <w:sz w:val="12"/>
        </w:rPr>
        <w:t>t </w:t>
      </w:r>
      <w:r>
        <w:rPr>
          <w:spacing w:val="1"/>
          <w:sz w:val="12"/>
        </w:rPr>
        <w:t> </w:t>
      </w:r>
      <w:r>
        <w:rPr>
          <w:position w:val="-6"/>
          <w:sz w:val="12"/>
        </w:rPr>
        <w:t>4.0</w:t>
      </w:r>
    </w:p>
    <w:p>
      <w:pPr>
        <w:pStyle w:val="BodyText"/>
        <w:rPr>
          <w:sz w:val="20"/>
        </w:rPr>
      </w:pPr>
    </w:p>
    <w:p>
      <w:pPr>
        <w:spacing w:before="162"/>
        <w:ind w:left="0" w:right="68" w:firstLine="0"/>
        <w:jc w:val="right"/>
        <w:rPr>
          <w:sz w:val="12"/>
        </w:rPr>
      </w:pPr>
      <w:r>
        <w:rPr/>
        <w:pict>
          <v:line style="position:absolute;mso-position-horizontal-relative:page;mso-position-vertical-relative:paragraph;z-index:15855616" from="198.970001pt,12.695562pt" to="204.303001pt,12.695562pt" stroked="true" strokeweight=".5pt" strokecolor="#000000">
            <v:stroke dashstyle="solid"/>
            <w10:wrap type="none"/>
          </v:line>
        </w:pict>
      </w:r>
      <w:r>
        <w:rPr>
          <w:color w:val="231F20"/>
          <w:sz w:val="12"/>
        </w:rPr>
        <w:t>3.5</w:t>
      </w:r>
    </w:p>
    <w:p>
      <w:pPr>
        <w:pStyle w:val="Heading4"/>
        <w:spacing w:line="242" w:lineRule="auto" w:before="227"/>
        <w:ind w:left="187" w:right="214"/>
      </w:pPr>
      <w:r>
        <w:rPr/>
        <w:br w:type="column"/>
      </w:r>
      <w:r>
        <w:rPr>
          <w:color w:val="231F20"/>
        </w:rPr>
        <w:t>despite the appreciation of sterling against most EU currencies since 1996. UK export volume growth to the European Union has remained robust, as EU domestic demand has strengthened, helping to offset some of the adverse impact of sterling’s appreciation on the cost competitiveness of UK exports. However, the UK share of the EU market,</w:t>
      </w:r>
      <w:r>
        <w:rPr>
          <w:color w:val="231F20"/>
          <w:position w:val="5"/>
          <w:sz w:val="16"/>
        </w:rPr>
        <w:t>(1) </w:t>
      </w:r>
      <w:r>
        <w:rPr>
          <w:color w:val="231F20"/>
        </w:rPr>
        <w:t>which had been increasing since 1988, has fallen back since 1997 H1 (see Chart 2.2).</w:t>
      </w:r>
    </w:p>
    <w:p>
      <w:pPr>
        <w:spacing w:line="242" w:lineRule="auto" w:before="10"/>
        <w:ind w:left="187" w:right="355" w:firstLine="0"/>
        <w:jc w:val="both"/>
        <w:rPr>
          <w:sz w:val="24"/>
        </w:rPr>
      </w:pPr>
      <w:r>
        <w:rPr>
          <w:color w:val="231F20"/>
          <w:sz w:val="24"/>
        </w:rPr>
        <w:t>The UK share of the non-EU market, which has been on a downward trend over the past decade, also fell sharply in 1998 H1.</w:t>
      </w:r>
    </w:p>
    <w:p>
      <w:pPr>
        <w:pStyle w:val="BodyText"/>
        <w:spacing w:before="8"/>
        <w:rPr>
          <w:sz w:val="24"/>
        </w:rPr>
      </w:pPr>
    </w:p>
    <w:p>
      <w:pPr>
        <w:spacing w:line="242" w:lineRule="auto" w:before="0"/>
        <w:ind w:left="187" w:right="214" w:firstLine="0"/>
        <w:jc w:val="left"/>
        <w:rPr>
          <w:sz w:val="24"/>
        </w:rPr>
      </w:pPr>
      <w:r>
        <w:rPr>
          <w:color w:val="231F20"/>
          <w:sz w:val="24"/>
        </w:rPr>
        <w:t>More timely monthly data show that the UK deficit in trade in goods and services is likely to have widened in 1998 Q3, mainly reflecting a rising deficit with non-EU</w:t>
      </w:r>
    </w:p>
    <w:p>
      <w:pPr>
        <w:spacing w:after="0" w:line="242" w:lineRule="auto"/>
        <w:jc w:val="left"/>
        <w:rPr>
          <w:sz w:val="24"/>
        </w:rPr>
        <w:sectPr>
          <w:type w:val="continuous"/>
          <w:pgSz w:w="11900" w:h="16840"/>
          <w:pgMar w:top="1220" w:bottom="280" w:left="620" w:right="520"/>
          <w:cols w:num="2" w:equalWidth="0">
            <w:col w:w="3749" w:space="1064"/>
            <w:col w:w="5947"/>
          </w:cols>
        </w:sectPr>
      </w:pPr>
    </w:p>
    <w:p>
      <w:pPr>
        <w:tabs>
          <w:tab w:pos="2315" w:val="left" w:leader="none"/>
        </w:tabs>
        <w:spacing w:line="113" w:lineRule="exact" w:before="0"/>
        <w:ind w:left="1862" w:right="0" w:firstLine="0"/>
        <w:jc w:val="left"/>
        <w:rPr>
          <w:sz w:val="12"/>
        </w:rPr>
      </w:pPr>
      <w:r>
        <w:rPr/>
        <w:pict>
          <v:group style="position:absolute;margin-left:131.376007pt;margin-top:5.05825pt;width:72.95pt;height:30.45pt;mso-position-horizontal-relative:page;mso-position-vertical-relative:paragraph;z-index:15855104" coordorigin="2628,101" coordsize="1459,609">
            <v:shape style="position:absolute;left:2637;top:111;width:435;height:194" coordorigin="2638,111" coordsize="435,194" path="m2638,111l2782,176m2782,176l2927,203m2927,203l3072,305e" filled="false" stroked="true" strokeweight="1pt" strokecolor="#0066a5">
              <v:path arrowok="t"/>
              <v:stroke dashstyle="solid"/>
            </v:shape>
            <v:line style="position:absolute" from="3062,307" to="3226,307" stroked="true" strokeweight="1.17pt" strokecolor="#0066a5">
              <v:stroke dashstyle="solid"/>
            </v:line>
            <v:shape style="position:absolute;left:3216;top:305;width:278;height:52" coordorigin="3216,305" coordsize="278,52" path="m3216,305l3349,329m3349,329l3494,356e" filled="false" stroked="true" strokeweight="1pt" strokecolor="#0066a5">
              <v:path arrowok="t"/>
              <v:stroke dashstyle="solid"/>
            </v:shape>
            <v:line style="position:absolute" from="3484,358" to="3649,358" stroked="true" strokeweight="1.17pt" strokecolor="#0066a5">
              <v:stroke dashstyle="solid"/>
            </v:line>
            <v:shape style="position:absolute;left:3638;top:356;width:287;height:344" coordorigin="3639,356" coordsize="287,344" path="m3639,356l3781,431m3781,431l3925,700e" filled="false" stroked="true" strokeweight="1pt" strokecolor="#0066a5">
              <v:path arrowok="t"/>
              <v:stroke dashstyle="solid"/>
            </v:shape>
            <v:line style="position:absolute" from="3979,454" to="4086,454" stroked="true" strokeweight=".5pt" strokecolor="#000000">
              <v:stroke dashstyle="solid"/>
            </v:line>
            <w10:wrap type="none"/>
          </v:group>
        </w:pict>
      </w:r>
      <w:r>
        <w:rPr>
          <w:sz w:val="12"/>
          <w:u w:val="thick" w:color="0066A5"/>
        </w:rPr>
        <w:t>    </w:t>
      </w:r>
      <w:r>
        <w:rPr>
          <w:spacing w:val="14"/>
          <w:sz w:val="12"/>
          <w:u w:val="thick" w:color="0066A5"/>
        </w:rPr>
        <w:t> </w:t>
      </w:r>
      <w:r>
        <w:rPr>
          <w:sz w:val="12"/>
        </w:rPr>
        <w:tab/>
        <w:t>Non-EU</w:t>
      </w:r>
    </w:p>
    <w:p>
      <w:pPr>
        <w:pStyle w:val="BodyText"/>
        <w:spacing w:line="162" w:lineRule="exact"/>
        <w:ind w:left="1431"/>
        <w:rPr>
          <w:sz w:val="16"/>
        </w:rPr>
      </w:pPr>
      <w:r>
        <w:rPr>
          <w:position w:val="-2"/>
          <w:sz w:val="16"/>
        </w:rPr>
        <w:pict>
          <v:group style="width:22.6pt;height:8.15pt;mso-position-horizontal-relative:char;mso-position-vertical-relative:line" coordorigin="0,0" coordsize="452,163">
            <v:shape style="position:absolute;left:10;top:10;width:432;height:143" coordorigin="10,10" coordsize="432,143" path="m10,24l155,126m155,126l299,153m299,153l441,10e" filled="false" stroked="true" strokeweight="1pt" strokecolor="#0066a5">
              <v:path arrowok="t"/>
              <v:stroke dashstyle="solid"/>
            </v:shape>
          </v:group>
        </w:pict>
      </w:r>
      <w:r>
        <w:rPr>
          <w:position w:val="-2"/>
          <w:sz w:val="16"/>
        </w:rPr>
      </w:r>
    </w:p>
    <w:p>
      <w:pPr>
        <w:pStyle w:val="BodyText"/>
        <w:rPr>
          <w:sz w:val="12"/>
        </w:rPr>
      </w:pPr>
      <w:r>
        <w:rPr/>
        <w:pict>
          <v:shape style="position:absolute;margin-left:44.720001pt;margin-top:9.104033pt;width:5.35pt;height:.1pt;mso-position-horizontal-relative:page;mso-position-vertical-relative:paragraph;z-index:-15609344;mso-wrap-distance-left:0;mso-wrap-distance-right:0" coordorigin="894,182" coordsize="107,0" path="m894,182l1001,182e" filled="false" stroked="true" strokeweight=".5pt" strokecolor="#000000">
            <v:path arrowok="t"/>
            <v:stroke dashstyle="solid"/>
            <w10:wrap type="topAndBottom"/>
          </v:shape>
        </w:pict>
      </w:r>
    </w:p>
    <w:p>
      <w:pPr>
        <w:pStyle w:val="BodyText"/>
        <w:rPr>
          <w:sz w:val="20"/>
        </w:rPr>
      </w:pPr>
    </w:p>
    <w:p>
      <w:pPr>
        <w:pStyle w:val="BodyText"/>
        <w:spacing w:before="7"/>
        <w:rPr>
          <w:sz w:val="19"/>
        </w:rPr>
      </w:pPr>
      <w:r>
        <w:rPr/>
        <w:pict>
          <v:shape style="position:absolute;margin-left:44.720001pt;margin-top:13.492976pt;width:5.35pt;height:.1pt;mso-position-horizontal-relative:page;mso-position-vertical-relative:paragraph;z-index:-15608832;mso-wrap-distance-left:0;mso-wrap-distance-right:0" coordorigin="894,270" coordsize="107,0" path="m894,270l1001,270e" filled="false" stroked="true" strokeweight=".5pt" strokecolor="#000000">
            <v:path arrowok="t"/>
            <v:stroke dashstyle="solid"/>
            <w10:wrap type="topAndBottom"/>
          </v:shape>
        </w:pict>
      </w:r>
    </w:p>
    <w:p>
      <w:pPr>
        <w:pStyle w:val="BodyText"/>
        <w:rPr>
          <w:sz w:val="12"/>
        </w:rPr>
      </w:pPr>
    </w:p>
    <w:p>
      <w:pPr>
        <w:pStyle w:val="BodyText"/>
        <w:rPr>
          <w:sz w:val="12"/>
        </w:rPr>
      </w:pPr>
    </w:p>
    <w:p>
      <w:pPr>
        <w:pStyle w:val="BodyText"/>
        <w:rPr>
          <w:sz w:val="12"/>
        </w:rPr>
      </w:pPr>
    </w:p>
    <w:p>
      <w:pPr>
        <w:pStyle w:val="BodyText"/>
        <w:rPr>
          <w:sz w:val="12"/>
        </w:rPr>
      </w:pPr>
    </w:p>
    <w:p>
      <w:pPr>
        <w:tabs>
          <w:tab w:pos="889" w:val="left" w:leader="none"/>
          <w:tab w:pos="1453" w:val="left" w:leader="none"/>
          <w:tab w:pos="2032" w:val="left" w:leader="none"/>
          <w:tab w:pos="2599" w:val="left" w:leader="none"/>
        </w:tabs>
        <w:spacing w:before="75"/>
        <w:ind w:left="218" w:right="0" w:firstLine="0"/>
        <w:jc w:val="left"/>
        <w:rPr>
          <w:sz w:val="12"/>
        </w:rPr>
      </w:pPr>
      <w:r>
        <w:rPr/>
        <w:pict>
          <v:group style="position:absolute;margin-left:44.637001pt;margin-top:-3.186206pt;width:160.75pt;height:5.6pt;mso-position-horizontal-relative:page;mso-position-vertical-relative:paragraph;z-index:15853568" coordorigin="893,-64" coordsize="3215,112">
            <v:line style="position:absolute" from="3979,-56" to="4086,-56" stroked="true" strokeweight=".5pt" strokecolor="#000000">
              <v:stroke dashstyle="solid"/>
            </v:line>
            <v:shape style="position:absolute;left:892;top:-59;width:3210;height:102" coordorigin="893,-59" coordsize="3210,102" path="m4079,43l4079,25,4102,18,4062,5,4102,-10,4062,-20,4082,-32,4082,-52m1008,-59l1008,-39,988,-27,1028,-16,988,-1,1028,11,1004,19,1004,36m893,38l4079,38m1061,-18l1061,37m2494,-18l2494,37m2208,-18l2208,37m1922,-18l1922,37m1641,-18l1641,37m1348,-18l1348,37m2781,-18l2781,37m3075,-18l3075,37m3921,-18l3921,37m3642,-18l3642,37m3349,-18l3349,37e" filled="false" stroked="true" strokeweight=".5pt" strokecolor="#000000">
              <v:path arrowok="t"/>
              <v:stroke dashstyle="solid"/>
            </v:shape>
            <v:line style="position:absolute" from="894,-53" to="1001,-53" stroked="true" strokeweight=".5pt" strokecolor="#000000">
              <v:stroke dashstyle="solid"/>
            </v:line>
            <w10:wrap type="none"/>
          </v:group>
        </w:pict>
      </w:r>
      <w:r>
        <w:rPr>
          <w:sz w:val="12"/>
        </w:rPr>
        <w:t>1988 H1</w:t>
        <w:tab/>
        <w:t>90 H1</w:t>
        <w:tab/>
        <w:t>92 H1</w:t>
        <w:tab/>
        <w:t>94 H1</w:t>
        <w:tab/>
        <w:t>96 </w:t>
      </w:r>
      <w:r>
        <w:rPr>
          <w:spacing w:val="-10"/>
          <w:sz w:val="12"/>
        </w:rPr>
        <w:t>H1</w:t>
      </w:r>
    </w:p>
    <w:p>
      <w:pPr>
        <w:pStyle w:val="BodyText"/>
        <w:rPr>
          <w:sz w:val="12"/>
        </w:rPr>
      </w:pPr>
    </w:p>
    <w:p>
      <w:pPr>
        <w:spacing w:before="84"/>
        <w:ind w:left="174" w:right="0" w:firstLine="0"/>
        <w:jc w:val="left"/>
        <w:rPr>
          <w:sz w:val="12"/>
        </w:rPr>
      </w:pPr>
      <w:r>
        <w:rPr>
          <w:color w:val="231F20"/>
          <w:sz w:val="12"/>
        </w:rPr>
        <w:t>Source: OECD.</w:t>
      </w:r>
    </w:p>
    <w:p>
      <w:pPr>
        <w:pStyle w:val="BodyText"/>
        <w:rPr>
          <w:sz w:val="20"/>
        </w:rPr>
      </w:pPr>
      <w:r>
        <w:rPr/>
        <w:br w:type="column"/>
      </w:r>
      <w:r>
        <w:rPr>
          <w:sz w:val="20"/>
        </w:rPr>
      </w:r>
    </w:p>
    <w:p>
      <w:pPr>
        <w:pStyle w:val="BodyText"/>
        <w:rPr>
          <w:sz w:val="20"/>
        </w:rPr>
      </w:pPr>
    </w:p>
    <w:p>
      <w:pPr>
        <w:pStyle w:val="BodyText"/>
        <w:rPr>
          <w:sz w:val="20"/>
        </w:rPr>
      </w:pPr>
    </w:p>
    <w:p>
      <w:pPr>
        <w:pStyle w:val="BodyText"/>
        <w:spacing w:before="5"/>
        <w:rPr>
          <w:sz w:val="25"/>
        </w:rPr>
      </w:pPr>
    </w:p>
    <w:p>
      <w:pPr>
        <w:pStyle w:val="BodyText"/>
        <w:spacing w:line="20" w:lineRule="exact"/>
        <w:ind w:left="383" w:right="-87"/>
        <w:rPr>
          <w:sz w:val="2"/>
        </w:rPr>
      </w:pPr>
      <w:r>
        <w:rPr>
          <w:sz w:val="2"/>
        </w:rPr>
        <w:pict>
          <v:group style="width:5.35pt;height:.5pt;mso-position-horizontal-relative:char;mso-position-vertical-relative:line" coordorigin="0,0" coordsize="107,10">
            <v:line style="position:absolute" from="0,5" to="107,5" stroked="true" strokeweight=".5pt" strokecolor="#000000">
              <v:stroke dashstyle="solid"/>
            </v:line>
          </v:group>
        </w:pict>
      </w:r>
      <w:r>
        <w:rPr>
          <w:sz w:val="2"/>
        </w:rPr>
      </w:r>
    </w:p>
    <w:p>
      <w:pPr>
        <w:pStyle w:val="BodyText"/>
        <w:rPr>
          <w:sz w:val="12"/>
        </w:rPr>
      </w:pPr>
    </w:p>
    <w:p>
      <w:pPr>
        <w:pStyle w:val="BodyText"/>
        <w:rPr>
          <w:sz w:val="12"/>
        </w:rPr>
      </w:pPr>
    </w:p>
    <w:p>
      <w:pPr>
        <w:pStyle w:val="BodyText"/>
        <w:rPr>
          <w:sz w:val="12"/>
        </w:rPr>
      </w:pPr>
    </w:p>
    <w:p>
      <w:pPr>
        <w:pStyle w:val="BodyText"/>
        <w:rPr>
          <w:sz w:val="12"/>
        </w:rPr>
      </w:pPr>
    </w:p>
    <w:p>
      <w:pPr>
        <w:spacing w:before="97"/>
        <w:ind w:left="174" w:right="0" w:firstLine="0"/>
        <w:jc w:val="left"/>
        <w:rPr>
          <w:sz w:val="12"/>
        </w:rPr>
      </w:pPr>
      <w:r>
        <w:rPr>
          <w:color w:val="231F20"/>
          <w:sz w:val="12"/>
        </w:rPr>
        <w:t>98 H1</w:t>
      </w:r>
    </w:p>
    <w:p>
      <w:pPr>
        <w:pStyle w:val="BodyText"/>
        <w:rPr>
          <w:sz w:val="12"/>
        </w:rPr>
      </w:pPr>
      <w:r>
        <w:rPr/>
        <w:br w:type="column"/>
      </w:r>
      <w:r>
        <w:rPr>
          <w:sz w:val="12"/>
        </w:rPr>
      </w:r>
    </w:p>
    <w:p>
      <w:pPr>
        <w:pStyle w:val="BodyText"/>
        <w:rPr>
          <w:sz w:val="12"/>
        </w:rPr>
      </w:pPr>
    </w:p>
    <w:p>
      <w:pPr>
        <w:spacing w:before="92"/>
        <w:ind w:left="45" w:right="0" w:firstLine="0"/>
        <w:jc w:val="left"/>
        <w:rPr>
          <w:sz w:val="12"/>
        </w:rPr>
      </w:pPr>
      <w:r>
        <w:rPr>
          <w:sz w:val="12"/>
        </w:rPr>
        <w:t>3.0</w:t>
      </w:r>
    </w:p>
    <w:p>
      <w:pPr>
        <w:pStyle w:val="BodyText"/>
        <w:rPr>
          <w:sz w:val="12"/>
        </w:rPr>
      </w:pPr>
    </w:p>
    <w:p>
      <w:pPr>
        <w:pStyle w:val="BodyText"/>
        <w:rPr>
          <w:sz w:val="12"/>
        </w:rPr>
      </w:pPr>
    </w:p>
    <w:p>
      <w:pPr>
        <w:pStyle w:val="BodyText"/>
        <w:spacing w:before="11"/>
        <w:rPr>
          <w:sz w:val="10"/>
        </w:rPr>
      </w:pPr>
    </w:p>
    <w:p>
      <w:pPr>
        <w:spacing w:before="0"/>
        <w:ind w:left="45" w:right="0" w:firstLine="0"/>
        <w:jc w:val="left"/>
        <w:rPr>
          <w:sz w:val="12"/>
        </w:rPr>
      </w:pPr>
      <w:r>
        <w:rPr>
          <w:color w:val="231F20"/>
          <w:sz w:val="12"/>
        </w:rPr>
        <w:t>2.5</w:t>
      </w:r>
    </w:p>
    <w:p>
      <w:pPr>
        <w:pStyle w:val="BodyText"/>
        <w:rPr>
          <w:sz w:val="12"/>
        </w:rPr>
      </w:pPr>
    </w:p>
    <w:p>
      <w:pPr>
        <w:pStyle w:val="BodyText"/>
        <w:rPr>
          <w:sz w:val="12"/>
        </w:rPr>
      </w:pPr>
    </w:p>
    <w:p>
      <w:pPr>
        <w:spacing w:line="121" w:lineRule="exact" w:before="108"/>
        <w:ind w:left="45" w:right="0" w:firstLine="0"/>
        <w:jc w:val="left"/>
        <w:rPr>
          <w:sz w:val="12"/>
        </w:rPr>
      </w:pPr>
      <w:r>
        <w:rPr>
          <w:sz w:val="12"/>
        </w:rPr>
        <w:t>2.0</w:t>
      </w:r>
    </w:p>
    <w:p>
      <w:pPr>
        <w:spacing w:line="121" w:lineRule="exact" w:before="0"/>
        <w:ind w:left="45" w:right="0" w:firstLine="0"/>
        <w:jc w:val="left"/>
        <w:rPr>
          <w:sz w:val="12"/>
        </w:rPr>
      </w:pPr>
      <w:r>
        <w:rPr>
          <w:color w:val="231F20"/>
          <w:sz w:val="12"/>
        </w:rPr>
        <w:t>0.0</w:t>
      </w:r>
    </w:p>
    <w:p>
      <w:pPr>
        <w:pStyle w:val="Heading4"/>
        <w:spacing w:line="242" w:lineRule="auto" w:before="4"/>
        <w:ind w:left="174" w:right="349"/>
      </w:pPr>
      <w:r>
        <w:rPr/>
        <w:br w:type="column"/>
      </w:r>
      <w:r>
        <w:rPr>
          <w:color w:val="231F20"/>
        </w:rPr>
        <w:t>countries, and in particular with Asia (excluding Japan). In its assessment of the outlook for UK net exports, the MPC has considered conditions outside, as well as within, industrialised countries. The UK trade deficit is likely to continue to widen in the rest of 1998. UK export markets, including non-O</w:t>
      </w:r>
      <w:r>
        <w:rPr>
          <w:color w:val="231F20"/>
          <w:sz w:val="20"/>
        </w:rPr>
        <w:t>ECD </w:t>
      </w:r>
      <w:r>
        <w:rPr>
          <w:color w:val="231F20"/>
        </w:rPr>
        <w:t>countries, grew by more than 9% on average between 1994–97, but the MPC expects growth to slow to around 7</w:t>
      </w:r>
      <w:r>
        <w:rPr>
          <w:color w:val="231F20"/>
          <w:position w:val="8"/>
          <w:sz w:val="12"/>
        </w:rPr>
        <w:t>1</w:t>
      </w:r>
      <w:r>
        <w:rPr>
          <w:color w:val="231F20"/>
        </w:rPr>
        <w:t>/</w:t>
      </w:r>
      <w:r>
        <w:rPr>
          <w:color w:val="231F20"/>
          <w:sz w:val="12"/>
        </w:rPr>
        <w:t>2</w:t>
      </w:r>
      <w:r>
        <w:rPr>
          <w:color w:val="231F20"/>
        </w:rPr>
        <w:t>% in 1998</w:t>
      </w:r>
    </w:p>
    <w:p>
      <w:pPr>
        <w:spacing w:after="0" w:line="242" w:lineRule="auto"/>
        <w:sectPr>
          <w:type w:val="continuous"/>
          <w:pgSz w:w="11900" w:h="16840"/>
          <w:pgMar w:top="1220" w:bottom="280" w:left="620" w:right="520"/>
          <w:cols w:num="4" w:equalWidth="0">
            <w:col w:w="2897" w:space="74"/>
            <w:col w:w="472" w:space="39"/>
            <w:col w:w="236" w:space="1107"/>
            <w:col w:w="5935"/>
          </w:cols>
        </w:sectPr>
      </w:pPr>
    </w:p>
    <w:p>
      <w:pPr>
        <w:spacing w:before="18"/>
        <w:ind w:left="174" w:right="0" w:firstLine="0"/>
        <w:jc w:val="left"/>
        <w:rPr>
          <w:sz w:val="12"/>
        </w:rPr>
      </w:pPr>
      <w:r>
        <w:rPr>
          <w:color w:val="231F20"/>
          <w:sz w:val="12"/>
        </w:rPr>
        <w:t>(a) Weights based on UK shares of overseas markets in 1994.</w:t>
      </w:r>
    </w:p>
    <w:p>
      <w:pPr>
        <w:pStyle w:val="BodyText"/>
        <w:rPr>
          <w:sz w:val="12"/>
        </w:rPr>
      </w:pPr>
    </w:p>
    <w:p>
      <w:pPr>
        <w:pStyle w:val="BodyText"/>
        <w:rPr>
          <w:sz w:val="12"/>
        </w:rPr>
      </w:pPr>
    </w:p>
    <w:p>
      <w:pPr>
        <w:pStyle w:val="BodyText"/>
        <w:rPr>
          <w:sz w:val="12"/>
        </w:rPr>
      </w:pPr>
    </w:p>
    <w:p>
      <w:pPr>
        <w:pStyle w:val="BodyText"/>
        <w:spacing w:before="8"/>
        <w:rPr>
          <w:sz w:val="14"/>
        </w:rPr>
      </w:pPr>
    </w:p>
    <w:p>
      <w:pPr>
        <w:pStyle w:val="Heading7"/>
        <w:spacing w:before="0"/>
        <w:ind w:left="194"/>
      </w:pPr>
      <w:r>
        <w:rPr>
          <w:color w:val="0093C1"/>
        </w:rPr>
        <w:t>Table 2.C</w:t>
      </w:r>
    </w:p>
    <w:p>
      <w:pPr>
        <w:spacing w:before="10"/>
        <w:ind w:left="194" w:right="0" w:firstLine="0"/>
        <w:jc w:val="left"/>
        <w:rPr>
          <w:sz w:val="12"/>
        </w:rPr>
      </w:pPr>
      <w:r>
        <w:rPr>
          <w:b/>
          <w:color w:val="0093C1"/>
          <w:sz w:val="20"/>
        </w:rPr>
        <w:t>Quarterly growth rate of GDP</w:t>
      </w:r>
      <w:r>
        <w:rPr>
          <w:color w:val="231F20"/>
          <w:position w:val="4"/>
          <w:sz w:val="12"/>
        </w:rPr>
        <w:t>(a)</w:t>
      </w:r>
    </w:p>
    <w:p>
      <w:pPr>
        <w:spacing w:before="106"/>
        <w:ind w:left="194" w:right="0" w:firstLine="0"/>
        <w:jc w:val="left"/>
        <w:rPr>
          <w:sz w:val="14"/>
        </w:rPr>
      </w:pPr>
      <w:r>
        <w:rPr>
          <w:color w:val="231F20"/>
          <w:sz w:val="14"/>
        </w:rPr>
        <w:t>Percentage change</w:t>
      </w:r>
    </w:p>
    <w:p>
      <w:pPr>
        <w:pStyle w:val="Heading4"/>
        <w:spacing w:line="242" w:lineRule="auto" w:before="10"/>
        <w:ind w:left="174" w:right="181"/>
      </w:pPr>
      <w:r>
        <w:rPr/>
        <w:br w:type="column"/>
      </w:r>
      <w:r>
        <w:rPr>
          <w:color w:val="231F20"/>
        </w:rPr>
        <w:t>and to just over 6% in 1999. This has been factored into its central projection.</w:t>
      </w:r>
    </w:p>
    <w:p>
      <w:pPr>
        <w:pStyle w:val="BodyText"/>
        <w:rPr>
          <w:sz w:val="30"/>
        </w:rPr>
      </w:pPr>
    </w:p>
    <w:p>
      <w:pPr>
        <w:pStyle w:val="Heading2"/>
        <w:numPr>
          <w:ilvl w:val="1"/>
          <w:numId w:val="8"/>
        </w:numPr>
        <w:tabs>
          <w:tab w:pos="3316" w:val="left" w:leader="none"/>
          <w:tab w:pos="3317" w:val="left" w:leader="none"/>
        </w:tabs>
        <w:spacing w:line="240" w:lineRule="auto" w:before="0" w:after="0"/>
        <w:ind w:left="3316" w:right="0" w:hanging="3143"/>
        <w:jc w:val="left"/>
        <w:rPr>
          <w:color w:val="009483"/>
        </w:rPr>
      </w:pPr>
      <w:r>
        <w:rPr>
          <w:color w:val="009483"/>
          <w:u w:val="thick" w:color="0093C1"/>
        </w:rPr>
        <w:t>Domestic demand</w:t>
      </w:r>
      <w:r>
        <w:rPr>
          <w:color w:val="009483"/>
          <w:spacing w:val="-11"/>
          <w:u w:val="thick" w:color="0093C1"/>
        </w:rPr>
        <w:t> </w:t>
      </w:r>
    </w:p>
    <w:p>
      <w:pPr>
        <w:spacing w:after="0" w:line="240" w:lineRule="auto"/>
        <w:jc w:val="left"/>
        <w:sectPr>
          <w:type w:val="continuous"/>
          <w:pgSz w:w="11900" w:h="16840"/>
          <w:pgMar w:top="1220" w:bottom="280" w:left="620" w:right="520"/>
          <w:cols w:num="2" w:equalWidth="0">
            <w:col w:w="3248" w:space="1578"/>
            <w:col w:w="5934"/>
          </w:cols>
        </w:sectPr>
      </w:pPr>
    </w:p>
    <w:p>
      <w:pPr>
        <w:pStyle w:val="BodyText"/>
        <w:rPr>
          <w:b/>
          <w:sz w:val="16"/>
        </w:rPr>
      </w:pPr>
    </w:p>
    <w:p>
      <w:pPr>
        <w:pStyle w:val="BodyText"/>
        <w:rPr>
          <w:b/>
          <w:sz w:val="16"/>
        </w:rPr>
      </w:pPr>
    </w:p>
    <w:p>
      <w:pPr>
        <w:pStyle w:val="BodyText"/>
        <w:spacing w:before="2"/>
        <w:rPr>
          <w:b/>
          <w:sz w:val="13"/>
        </w:rPr>
      </w:pPr>
    </w:p>
    <w:p>
      <w:pPr>
        <w:spacing w:line="85" w:lineRule="exact" w:before="0"/>
        <w:ind w:left="194" w:right="0" w:firstLine="0"/>
        <w:jc w:val="left"/>
        <w:rPr>
          <w:sz w:val="14"/>
        </w:rPr>
      </w:pPr>
      <w:r>
        <w:rPr>
          <w:color w:val="231F20"/>
          <w:sz w:val="14"/>
        </w:rPr>
        <w:t>Consumption:</w:t>
      </w:r>
    </w:p>
    <w:p>
      <w:pPr>
        <w:tabs>
          <w:tab w:pos="854" w:val="left" w:leader="none"/>
          <w:tab w:pos="1859" w:val="left" w:leader="none"/>
        </w:tabs>
        <w:spacing w:before="119"/>
        <w:ind w:left="194" w:right="0" w:firstLine="0"/>
        <w:jc w:val="left"/>
        <w:rPr>
          <w:sz w:val="14"/>
        </w:rPr>
      </w:pPr>
      <w:r>
        <w:rPr/>
        <w:br w:type="column"/>
      </w:r>
      <w:r>
        <w:rPr>
          <w:color w:val="231F20"/>
          <w:sz w:val="14"/>
          <w:u w:val="single" w:color="231F20"/>
        </w:rPr>
        <w:t> </w:t>
      </w:r>
      <w:r>
        <w:rPr>
          <w:color w:val="231F20"/>
          <w:spacing w:val="-26"/>
          <w:sz w:val="14"/>
          <w:u w:val="single" w:color="231F20"/>
        </w:rPr>
        <w:t> </w:t>
      </w:r>
      <w:r>
        <w:rPr>
          <w:color w:val="231F20"/>
          <w:sz w:val="14"/>
          <w:u w:val="single" w:color="231F20"/>
        </w:rPr>
        <w:t>1997</w:t>
      </w:r>
      <w:r>
        <w:rPr>
          <w:color w:val="231F20"/>
          <w:sz w:val="14"/>
        </w:rPr>
        <w:tab/>
      </w:r>
      <w:r>
        <w:rPr>
          <w:color w:val="231F20"/>
          <w:sz w:val="14"/>
          <w:u w:val="single" w:color="231F20"/>
        </w:rPr>
        <w:t> 1998</w:t>
        <w:tab/>
      </w:r>
    </w:p>
    <w:p>
      <w:pPr>
        <w:tabs>
          <w:tab w:pos="879" w:val="left" w:leader="none"/>
          <w:tab w:pos="1484" w:val="left" w:leader="none"/>
        </w:tabs>
        <w:spacing w:before="39"/>
        <w:ind w:left="194" w:right="0" w:firstLine="0"/>
        <w:jc w:val="left"/>
        <w:rPr>
          <w:sz w:val="14"/>
        </w:rPr>
      </w:pPr>
      <w:r>
        <w:rPr>
          <w:color w:val="231F20"/>
          <w:sz w:val="14"/>
          <w:u w:val="single" w:color="231F20"/>
        </w:rPr>
        <w:t> </w:t>
      </w:r>
      <w:r>
        <w:rPr>
          <w:color w:val="231F20"/>
          <w:spacing w:val="-26"/>
          <w:sz w:val="14"/>
          <w:u w:val="single" w:color="231F20"/>
        </w:rPr>
        <w:t> </w:t>
      </w:r>
      <w:r>
        <w:rPr>
          <w:color w:val="231F20"/>
          <w:sz w:val="14"/>
          <w:u w:val="single" w:color="231F20"/>
        </w:rPr>
        <w:t>Q4</w:t>
      </w:r>
      <w:r>
        <w:rPr>
          <w:color w:val="231F20"/>
          <w:sz w:val="14"/>
        </w:rPr>
        <w:tab/>
      </w:r>
      <w:r>
        <w:rPr>
          <w:color w:val="231F20"/>
          <w:sz w:val="14"/>
          <w:u w:val="single" w:color="231F20"/>
        </w:rPr>
        <w:t> Q1</w:t>
      </w:r>
      <w:r>
        <w:rPr>
          <w:color w:val="231F20"/>
          <w:sz w:val="14"/>
        </w:rPr>
        <w:tab/>
      </w:r>
      <w:r>
        <w:rPr>
          <w:color w:val="231F20"/>
          <w:sz w:val="14"/>
          <w:u w:val="single" w:color="231F20"/>
        </w:rPr>
        <w:t> Q2</w:t>
      </w:r>
      <w:r>
        <w:rPr>
          <w:color w:val="231F20"/>
          <w:spacing w:val="-16"/>
          <w:sz w:val="14"/>
          <w:u w:val="single" w:color="231F20"/>
        </w:rPr>
        <w:t> </w:t>
      </w:r>
    </w:p>
    <w:p>
      <w:pPr>
        <w:pStyle w:val="Heading4"/>
        <w:spacing w:line="242" w:lineRule="auto" w:before="34"/>
        <w:ind w:left="194" w:right="281"/>
      </w:pPr>
      <w:r>
        <w:rPr/>
        <w:br w:type="column"/>
      </w:r>
      <w:r>
        <w:rPr>
          <w:color w:val="231F20"/>
        </w:rPr>
        <w:t>After growing by an average of 1.1% per quarter since 1997 Q1, domestic demand grew by 0.3% in 1998 Q2.</w:t>
      </w:r>
    </w:p>
    <w:p>
      <w:pPr>
        <w:spacing w:after="0" w:line="242" w:lineRule="auto"/>
        <w:sectPr>
          <w:type w:val="continuous"/>
          <w:pgSz w:w="11900" w:h="16840"/>
          <w:pgMar w:top="1220" w:bottom="280" w:left="620" w:right="520"/>
          <w:cols w:num="3" w:equalWidth="0">
            <w:col w:w="1028" w:space="1007"/>
            <w:col w:w="1910" w:space="861"/>
            <w:col w:w="5954"/>
          </w:cols>
        </w:sectPr>
      </w:pPr>
    </w:p>
    <w:p>
      <w:pPr>
        <w:tabs>
          <w:tab w:pos="2309" w:val="left" w:leader="none"/>
          <w:tab w:pos="3009" w:val="left" w:leader="none"/>
          <w:tab w:pos="3874" w:val="right" w:leader="none"/>
        </w:tabs>
        <w:spacing w:line="150" w:lineRule="exact" w:before="55"/>
        <w:ind w:left="334" w:right="0" w:firstLine="0"/>
        <w:jc w:val="left"/>
        <w:rPr>
          <w:i/>
          <w:sz w:val="14"/>
        </w:rPr>
      </w:pPr>
      <w:r>
        <w:rPr>
          <w:i/>
          <w:color w:val="231F20"/>
          <w:sz w:val="14"/>
        </w:rPr>
        <w:t>Households</w:t>
        <w:tab/>
        <w:t>1.5</w:t>
        <w:tab/>
        <w:t>0.5</w:t>
        <w:tab/>
        <w:t>0.4</w:t>
      </w:r>
    </w:p>
    <w:p>
      <w:pPr>
        <w:spacing w:line="140" w:lineRule="exact" w:before="0"/>
        <w:ind w:left="334" w:right="0" w:firstLine="0"/>
        <w:jc w:val="left"/>
        <w:rPr>
          <w:i/>
          <w:sz w:val="14"/>
        </w:rPr>
      </w:pPr>
      <w:r>
        <w:rPr>
          <w:i/>
          <w:color w:val="231F20"/>
          <w:sz w:val="14"/>
        </w:rPr>
        <w:t>Non profit making institutions</w:t>
      </w:r>
    </w:p>
    <w:p>
      <w:pPr>
        <w:tabs>
          <w:tab w:pos="2309" w:val="left" w:leader="none"/>
          <w:tab w:pos="3009" w:val="left" w:leader="none"/>
          <w:tab w:pos="3874" w:val="right" w:leader="none"/>
        </w:tabs>
        <w:spacing w:line="140" w:lineRule="exact" w:before="0"/>
        <w:ind w:left="404" w:right="0" w:firstLine="0"/>
        <w:jc w:val="left"/>
        <w:rPr>
          <w:i/>
          <w:sz w:val="14"/>
        </w:rPr>
      </w:pPr>
      <w:r>
        <w:rPr>
          <w:i/>
          <w:color w:val="231F20"/>
          <w:sz w:val="14"/>
        </w:rPr>
        <w:t>serving households</w:t>
        <w:tab/>
        <w:t>0.1</w:t>
        <w:tab/>
        <w:t>0.0</w:t>
        <w:tab/>
        <w:t>0.3</w:t>
      </w:r>
    </w:p>
    <w:p>
      <w:pPr>
        <w:tabs>
          <w:tab w:pos="2309" w:val="left" w:leader="none"/>
          <w:tab w:pos="3009" w:val="left" w:leader="none"/>
          <w:tab w:pos="3874" w:val="right" w:leader="none"/>
        </w:tabs>
        <w:spacing w:line="140" w:lineRule="exact" w:before="0"/>
        <w:ind w:left="299" w:right="0" w:firstLine="0"/>
        <w:jc w:val="left"/>
        <w:rPr>
          <w:i/>
          <w:sz w:val="14"/>
        </w:rPr>
      </w:pPr>
      <w:r>
        <w:rPr>
          <w:i/>
          <w:color w:val="231F20"/>
          <w:sz w:val="14"/>
        </w:rPr>
        <w:t>Government</w:t>
        <w:tab/>
        <w:t>0.4</w:t>
        <w:tab/>
        <w:t>0.9</w:t>
        <w:tab/>
        <w:t>0.9</w:t>
      </w:r>
    </w:p>
    <w:p>
      <w:pPr>
        <w:tabs>
          <w:tab w:pos="2309" w:val="left" w:leader="none"/>
          <w:tab w:pos="3009" w:val="left" w:leader="none"/>
          <w:tab w:pos="3653" w:val="left" w:leader="none"/>
        </w:tabs>
        <w:spacing w:line="150" w:lineRule="exact" w:before="0"/>
        <w:ind w:left="194" w:right="0" w:firstLine="0"/>
        <w:jc w:val="left"/>
        <w:rPr>
          <w:sz w:val="14"/>
        </w:rPr>
      </w:pPr>
      <w:r>
        <w:rPr>
          <w:color w:val="231F20"/>
          <w:sz w:val="14"/>
        </w:rPr>
        <w:t>Investment</w:t>
        <w:tab/>
        <w:t>2.7</w:t>
        <w:tab/>
        <w:t>3.1</w:t>
        <w:tab/>
        <w:t>-1.4</w:t>
      </w:r>
    </w:p>
    <w:p>
      <w:pPr>
        <w:tabs>
          <w:tab w:pos="2309" w:val="left" w:leader="none"/>
          <w:tab w:pos="3009" w:val="left" w:leader="none"/>
          <w:tab w:pos="3874" w:val="right" w:leader="none"/>
        </w:tabs>
        <w:spacing w:line="150" w:lineRule="exact" w:before="119"/>
        <w:ind w:left="194" w:right="0" w:firstLine="0"/>
        <w:jc w:val="left"/>
        <w:rPr>
          <w:sz w:val="14"/>
        </w:rPr>
      </w:pPr>
      <w:r>
        <w:rPr>
          <w:color w:val="231F20"/>
          <w:sz w:val="14"/>
        </w:rPr>
        <w:t>Final domestic demand</w:t>
        <w:tab/>
        <w:t>1.4</w:t>
        <w:tab/>
        <w:t>1.1</w:t>
        <w:tab/>
        <w:t>0.1</w:t>
      </w:r>
    </w:p>
    <w:p>
      <w:pPr>
        <w:tabs>
          <w:tab w:pos="2309" w:val="left" w:leader="none"/>
          <w:tab w:pos="3009" w:val="left" w:leader="none"/>
          <w:tab w:pos="3874" w:val="right" w:leader="none"/>
        </w:tabs>
        <w:spacing w:line="140" w:lineRule="exact" w:before="0"/>
        <w:ind w:left="194" w:right="0" w:firstLine="0"/>
        <w:jc w:val="left"/>
        <w:rPr>
          <w:sz w:val="14"/>
        </w:rPr>
      </w:pPr>
      <w:r>
        <w:rPr>
          <w:color w:val="231F20"/>
          <w:sz w:val="14"/>
        </w:rPr>
        <w:t>Change in</w:t>
      </w:r>
      <w:r>
        <w:rPr>
          <w:color w:val="231F20"/>
          <w:spacing w:val="-1"/>
          <w:sz w:val="14"/>
        </w:rPr>
        <w:t> </w:t>
      </w:r>
      <w:r>
        <w:rPr>
          <w:color w:val="231F20"/>
          <w:sz w:val="14"/>
        </w:rPr>
        <w:t>inventories</w:t>
      </w:r>
      <w:r>
        <w:rPr>
          <w:color w:val="231F20"/>
          <w:spacing w:val="-2"/>
          <w:sz w:val="14"/>
        </w:rPr>
        <w:t> </w:t>
      </w:r>
      <w:r>
        <w:rPr>
          <w:color w:val="231F20"/>
          <w:sz w:val="12"/>
        </w:rPr>
        <w:t>(b)</w:t>
        <w:tab/>
      </w:r>
      <w:r>
        <w:rPr>
          <w:color w:val="231F20"/>
          <w:sz w:val="14"/>
        </w:rPr>
        <w:t>0.1</w:t>
        <w:tab/>
        <w:t>0.0</w:t>
        <w:tab/>
        <w:t>0.3</w:t>
      </w:r>
    </w:p>
    <w:p>
      <w:pPr>
        <w:tabs>
          <w:tab w:pos="2309" w:val="left" w:leader="none"/>
          <w:tab w:pos="3009" w:val="left" w:leader="none"/>
          <w:tab w:pos="3874" w:val="right" w:leader="none"/>
        </w:tabs>
        <w:spacing w:line="140" w:lineRule="exact" w:before="0"/>
        <w:ind w:left="194" w:right="0" w:firstLine="0"/>
        <w:jc w:val="left"/>
        <w:rPr>
          <w:b/>
          <w:sz w:val="14"/>
        </w:rPr>
      </w:pPr>
      <w:r>
        <w:rPr>
          <w:b/>
          <w:color w:val="231F20"/>
          <w:sz w:val="14"/>
        </w:rPr>
        <w:t>Domestic demand</w:t>
        <w:tab/>
        <w:t>1.5</w:t>
        <w:tab/>
        <w:t>1.1</w:t>
        <w:tab/>
        <w:t>0.3</w:t>
      </w:r>
    </w:p>
    <w:p>
      <w:pPr>
        <w:tabs>
          <w:tab w:pos="2262" w:val="left" w:leader="none"/>
          <w:tab w:pos="2962" w:val="left" w:leader="none"/>
          <w:tab w:pos="3874" w:val="right" w:leader="none"/>
        </w:tabs>
        <w:spacing w:line="140" w:lineRule="exact" w:before="0"/>
        <w:ind w:left="194" w:right="0" w:firstLine="0"/>
        <w:jc w:val="left"/>
        <w:rPr>
          <w:sz w:val="14"/>
        </w:rPr>
      </w:pPr>
      <w:r>
        <w:rPr>
          <w:color w:val="231F20"/>
          <w:sz w:val="14"/>
        </w:rPr>
        <w:t>Net trade </w:t>
      </w:r>
      <w:r>
        <w:rPr>
          <w:color w:val="231F20"/>
          <w:sz w:val="12"/>
        </w:rPr>
        <w:t>(b)</w:t>
        <w:tab/>
      </w:r>
      <w:r>
        <w:rPr>
          <w:color w:val="231F20"/>
          <w:sz w:val="14"/>
        </w:rPr>
        <w:t>-0.8</w:t>
        <w:tab/>
        <w:t>-0.4</w:t>
        <w:tab/>
        <w:t>0.1</w:t>
      </w:r>
    </w:p>
    <w:p>
      <w:pPr>
        <w:tabs>
          <w:tab w:pos="2309" w:val="left" w:leader="none"/>
          <w:tab w:pos="3009" w:val="left" w:leader="none"/>
          <w:tab w:pos="3874" w:val="right" w:leader="none"/>
        </w:tabs>
        <w:spacing w:line="150" w:lineRule="exact" w:before="0"/>
        <w:ind w:left="194" w:right="0" w:firstLine="0"/>
        <w:jc w:val="left"/>
        <w:rPr>
          <w:b/>
          <w:sz w:val="14"/>
        </w:rPr>
      </w:pPr>
      <w:r>
        <w:rPr>
          <w:b/>
          <w:color w:val="231F20"/>
          <w:sz w:val="14"/>
        </w:rPr>
        <w:t>GDP at market prices</w:t>
        <w:tab/>
        <w:t>0.7</w:t>
        <w:tab/>
        <w:t>0.8</w:t>
        <w:tab/>
        <w:t>0.5</w:t>
      </w:r>
    </w:p>
    <w:p>
      <w:pPr>
        <w:pStyle w:val="ListParagraph"/>
        <w:numPr>
          <w:ilvl w:val="0"/>
          <w:numId w:val="12"/>
        </w:numPr>
        <w:tabs>
          <w:tab w:pos="435" w:val="left" w:leader="none"/>
        </w:tabs>
        <w:spacing w:line="129" w:lineRule="exact" w:before="118" w:after="0"/>
        <w:ind w:left="434" w:right="0" w:hanging="241"/>
        <w:jc w:val="left"/>
        <w:rPr>
          <w:sz w:val="12"/>
        </w:rPr>
      </w:pPr>
      <w:r>
        <w:rPr>
          <w:color w:val="231F20"/>
          <w:sz w:val="12"/>
        </w:rPr>
        <w:t>Constant 1995 prices.</w:t>
      </w:r>
    </w:p>
    <w:p>
      <w:pPr>
        <w:pStyle w:val="ListParagraph"/>
        <w:numPr>
          <w:ilvl w:val="0"/>
          <w:numId w:val="12"/>
        </w:numPr>
        <w:tabs>
          <w:tab w:pos="435" w:val="left" w:leader="none"/>
        </w:tabs>
        <w:spacing w:line="129" w:lineRule="exact" w:before="0" w:after="0"/>
        <w:ind w:left="434" w:right="0" w:hanging="241"/>
        <w:jc w:val="left"/>
        <w:rPr>
          <w:sz w:val="12"/>
        </w:rPr>
      </w:pPr>
      <w:r>
        <w:rPr>
          <w:color w:val="231F20"/>
          <w:sz w:val="12"/>
        </w:rPr>
        <w:t>Contribution to quarterly growth.</w:t>
      </w:r>
    </w:p>
    <w:p>
      <w:pPr>
        <w:pStyle w:val="BodyText"/>
        <w:rPr>
          <w:sz w:val="12"/>
        </w:rPr>
      </w:pPr>
    </w:p>
    <w:p>
      <w:pPr>
        <w:pStyle w:val="BodyText"/>
        <w:rPr>
          <w:sz w:val="12"/>
        </w:rPr>
      </w:pPr>
    </w:p>
    <w:p>
      <w:pPr>
        <w:pStyle w:val="BodyText"/>
        <w:rPr>
          <w:sz w:val="12"/>
        </w:rPr>
      </w:pPr>
    </w:p>
    <w:p>
      <w:pPr>
        <w:pStyle w:val="BodyText"/>
        <w:spacing w:before="6"/>
        <w:rPr>
          <w:sz w:val="11"/>
        </w:rPr>
      </w:pPr>
    </w:p>
    <w:p>
      <w:pPr>
        <w:pStyle w:val="Heading7"/>
        <w:spacing w:before="1"/>
        <w:ind w:left="184"/>
      </w:pPr>
      <w:r>
        <w:rPr>
          <w:color w:val="0093C1"/>
        </w:rPr>
        <w:t>Table 2.D</w:t>
      </w:r>
    </w:p>
    <w:p>
      <w:pPr>
        <w:spacing w:before="10"/>
        <w:ind w:left="184" w:right="0" w:firstLine="0"/>
        <w:jc w:val="left"/>
        <w:rPr>
          <w:b/>
          <w:sz w:val="20"/>
        </w:rPr>
      </w:pPr>
      <w:r>
        <w:rPr>
          <w:b/>
          <w:color w:val="0093C1"/>
          <w:sz w:val="20"/>
        </w:rPr>
        <w:t>Households’ expenditure at constant 1995 prices</w:t>
      </w:r>
    </w:p>
    <w:p>
      <w:pPr>
        <w:spacing w:line="150" w:lineRule="exact" w:before="106"/>
        <w:ind w:left="184" w:right="0" w:firstLine="0"/>
        <w:jc w:val="left"/>
        <w:rPr>
          <w:sz w:val="14"/>
        </w:rPr>
      </w:pPr>
      <w:r>
        <w:rPr>
          <w:color w:val="231F20"/>
          <w:sz w:val="14"/>
        </w:rPr>
        <w:t>Per cent</w:t>
      </w:r>
    </w:p>
    <w:p>
      <w:pPr>
        <w:spacing w:line="150" w:lineRule="exact" w:before="0"/>
        <w:ind w:left="0" w:right="58" w:firstLine="0"/>
        <w:jc w:val="right"/>
        <w:rPr>
          <w:sz w:val="14"/>
        </w:rPr>
      </w:pPr>
      <w:r>
        <w:rPr>
          <w:color w:val="231F20"/>
          <w:sz w:val="14"/>
          <w:u w:val="single" w:color="231F20"/>
        </w:rPr>
        <w:t>Changes on previous period</w:t>
      </w:r>
    </w:p>
    <w:p>
      <w:pPr>
        <w:tabs>
          <w:tab w:pos="669" w:val="left" w:leader="none"/>
          <w:tab w:pos="1560" w:val="left" w:leader="none"/>
        </w:tabs>
        <w:spacing w:before="19"/>
        <w:ind w:left="0" w:right="65" w:firstLine="0"/>
        <w:jc w:val="right"/>
        <w:rPr>
          <w:sz w:val="14"/>
        </w:rPr>
      </w:pPr>
      <w:r>
        <w:rPr>
          <w:color w:val="231F20"/>
          <w:sz w:val="14"/>
          <w:u w:val="single" w:color="231F20"/>
        </w:rPr>
        <w:t>1997</w:t>
      </w:r>
      <w:r>
        <w:rPr>
          <w:color w:val="231F20"/>
          <w:sz w:val="14"/>
        </w:rPr>
        <w:tab/>
      </w:r>
      <w:r>
        <w:rPr>
          <w:color w:val="231F20"/>
          <w:sz w:val="14"/>
          <w:u w:val="single" w:color="231F20"/>
        </w:rPr>
        <w:t>1998</w:t>
        <w:tab/>
      </w:r>
    </w:p>
    <w:p>
      <w:pPr>
        <w:tabs>
          <w:tab w:pos="1160" w:val="left" w:leader="none"/>
          <w:tab w:pos="1830" w:val="left" w:leader="none"/>
          <w:tab w:pos="2400" w:val="left" w:leader="none"/>
        </w:tabs>
        <w:spacing w:before="19"/>
        <w:ind w:left="0" w:right="65" w:firstLine="0"/>
        <w:jc w:val="right"/>
        <w:rPr>
          <w:sz w:val="14"/>
        </w:rPr>
      </w:pPr>
      <w:r>
        <w:rPr>
          <w:color w:val="231F20"/>
          <w:sz w:val="14"/>
          <w:u w:val="single" w:color="231F20"/>
        </w:rPr>
        <w:t>Share of tota</w:t>
      </w:r>
      <w:r>
        <w:rPr>
          <w:color w:val="231F20"/>
          <w:sz w:val="14"/>
        </w:rPr>
        <w:t>l</w:t>
        <w:tab/>
      </w:r>
      <w:r>
        <w:rPr>
          <w:color w:val="231F20"/>
          <w:sz w:val="14"/>
          <w:u w:val="single" w:color="231F20"/>
        </w:rPr>
        <w:t>Q4</w:t>
      </w:r>
      <w:r>
        <w:rPr>
          <w:color w:val="231F20"/>
          <w:sz w:val="14"/>
        </w:rPr>
        <w:tab/>
      </w:r>
      <w:r>
        <w:rPr>
          <w:color w:val="231F20"/>
          <w:sz w:val="14"/>
          <w:u w:val="single" w:color="231F20"/>
        </w:rPr>
        <w:t>Q1</w:t>
      </w:r>
      <w:r>
        <w:rPr>
          <w:color w:val="231F20"/>
          <w:sz w:val="14"/>
        </w:rPr>
        <w:tab/>
      </w:r>
      <w:r>
        <w:rPr>
          <w:color w:val="231F20"/>
          <w:sz w:val="14"/>
          <w:u w:val="single" w:color="231F20"/>
        </w:rPr>
        <w:t>Q2</w:t>
      </w:r>
      <w:r>
        <w:rPr>
          <w:color w:val="231F20"/>
          <w:spacing w:val="9"/>
          <w:sz w:val="14"/>
          <w:u w:val="single" w:color="231F20"/>
        </w:rPr>
        <w:t> </w:t>
      </w:r>
    </w:p>
    <w:p>
      <w:pPr>
        <w:pStyle w:val="BodyText"/>
        <w:spacing w:before="9" w:after="1"/>
        <w:rPr>
          <w:sz w:val="10"/>
        </w:rPr>
      </w:pPr>
    </w:p>
    <w:tbl>
      <w:tblPr>
        <w:tblW w:w="0" w:type="auto"/>
        <w:jc w:val="left"/>
        <w:tblInd w:w="1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48"/>
        <w:gridCol w:w="820"/>
        <w:gridCol w:w="742"/>
        <w:gridCol w:w="620"/>
        <w:gridCol w:w="431"/>
      </w:tblGrid>
      <w:tr>
        <w:trPr>
          <w:trHeight w:val="147" w:hRule="atLeast"/>
        </w:trPr>
        <w:tc>
          <w:tcPr>
            <w:tcW w:w="1448" w:type="dxa"/>
          </w:tcPr>
          <w:p>
            <w:pPr>
              <w:pStyle w:val="TableParagraph"/>
              <w:spacing w:line="128" w:lineRule="exact"/>
              <w:ind w:left="50"/>
              <w:rPr>
                <w:sz w:val="14"/>
              </w:rPr>
            </w:pPr>
            <w:r>
              <w:rPr>
                <w:color w:val="231F20"/>
                <w:sz w:val="14"/>
              </w:rPr>
              <w:t>Durable goods</w:t>
            </w:r>
          </w:p>
        </w:tc>
        <w:tc>
          <w:tcPr>
            <w:tcW w:w="820" w:type="dxa"/>
          </w:tcPr>
          <w:p>
            <w:pPr>
              <w:pStyle w:val="TableParagraph"/>
              <w:spacing w:line="128" w:lineRule="exact"/>
              <w:ind w:right="325"/>
              <w:jc w:val="right"/>
              <w:rPr>
                <w:sz w:val="14"/>
              </w:rPr>
            </w:pPr>
            <w:r>
              <w:rPr>
                <w:color w:val="231F20"/>
                <w:sz w:val="14"/>
              </w:rPr>
              <w:t>10</w:t>
            </w:r>
          </w:p>
        </w:tc>
        <w:tc>
          <w:tcPr>
            <w:tcW w:w="742" w:type="dxa"/>
          </w:tcPr>
          <w:p>
            <w:pPr>
              <w:pStyle w:val="TableParagraph"/>
              <w:spacing w:line="128" w:lineRule="exact"/>
              <w:ind w:right="237"/>
              <w:jc w:val="right"/>
              <w:rPr>
                <w:sz w:val="14"/>
              </w:rPr>
            </w:pPr>
            <w:r>
              <w:rPr>
                <w:color w:val="231F20"/>
                <w:sz w:val="14"/>
              </w:rPr>
              <w:t>4.0</w:t>
            </w:r>
          </w:p>
        </w:tc>
        <w:tc>
          <w:tcPr>
            <w:tcW w:w="620" w:type="dxa"/>
          </w:tcPr>
          <w:p>
            <w:pPr>
              <w:pStyle w:val="TableParagraph"/>
              <w:spacing w:line="128" w:lineRule="exact"/>
              <w:ind w:right="157"/>
              <w:jc w:val="right"/>
              <w:rPr>
                <w:sz w:val="14"/>
              </w:rPr>
            </w:pPr>
            <w:r>
              <w:rPr>
                <w:color w:val="231F20"/>
                <w:sz w:val="14"/>
              </w:rPr>
              <w:t>0.8</w:t>
            </w:r>
          </w:p>
        </w:tc>
        <w:tc>
          <w:tcPr>
            <w:tcW w:w="431" w:type="dxa"/>
          </w:tcPr>
          <w:p>
            <w:pPr>
              <w:pStyle w:val="TableParagraph"/>
              <w:spacing w:line="128" w:lineRule="exact"/>
              <w:ind w:right="48"/>
              <w:jc w:val="right"/>
              <w:rPr>
                <w:sz w:val="14"/>
              </w:rPr>
            </w:pPr>
            <w:r>
              <w:rPr>
                <w:color w:val="231F20"/>
                <w:sz w:val="14"/>
              </w:rPr>
              <w:t>-0.4</w:t>
            </w:r>
          </w:p>
        </w:tc>
      </w:tr>
      <w:tr>
        <w:trPr>
          <w:trHeight w:val="140" w:hRule="atLeast"/>
        </w:trPr>
        <w:tc>
          <w:tcPr>
            <w:tcW w:w="1448" w:type="dxa"/>
          </w:tcPr>
          <w:p>
            <w:pPr>
              <w:pStyle w:val="TableParagraph"/>
              <w:spacing w:line="120" w:lineRule="exact"/>
              <w:ind w:left="120"/>
              <w:rPr>
                <w:i/>
                <w:sz w:val="14"/>
              </w:rPr>
            </w:pPr>
            <w:r>
              <w:rPr>
                <w:i/>
                <w:color w:val="231F20"/>
                <w:sz w:val="14"/>
              </w:rPr>
              <w:t>of which, vehicles</w:t>
            </w:r>
          </w:p>
        </w:tc>
        <w:tc>
          <w:tcPr>
            <w:tcW w:w="820" w:type="dxa"/>
          </w:tcPr>
          <w:p>
            <w:pPr>
              <w:pStyle w:val="TableParagraph"/>
              <w:spacing w:line="120" w:lineRule="exact"/>
              <w:ind w:right="325"/>
              <w:jc w:val="right"/>
              <w:rPr>
                <w:i/>
                <w:sz w:val="14"/>
              </w:rPr>
            </w:pPr>
            <w:r>
              <w:rPr>
                <w:i/>
                <w:color w:val="231F20"/>
                <w:sz w:val="14"/>
              </w:rPr>
              <w:t>5</w:t>
            </w:r>
          </w:p>
        </w:tc>
        <w:tc>
          <w:tcPr>
            <w:tcW w:w="742" w:type="dxa"/>
          </w:tcPr>
          <w:p>
            <w:pPr>
              <w:pStyle w:val="TableParagraph"/>
              <w:spacing w:line="120" w:lineRule="exact"/>
              <w:ind w:right="237"/>
              <w:jc w:val="right"/>
              <w:rPr>
                <w:i/>
                <w:sz w:val="14"/>
              </w:rPr>
            </w:pPr>
            <w:r>
              <w:rPr>
                <w:i/>
                <w:color w:val="231F20"/>
                <w:sz w:val="14"/>
              </w:rPr>
              <w:t>6.2</w:t>
            </w:r>
          </w:p>
        </w:tc>
        <w:tc>
          <w:tcPr>
            <w:tcW w:w="620" w:type="dxa"/>
          </w:tcPr>
          <w:p>
            <w:pPr>
              <w:pStyle w:val="TableParagraph"/>
              <w:spacing w:line="120" w:lineRule="exact"/>
              <w:ind w:right="157"/>
              <w:jc w:val="right"/>
              <w:rPr>
                <w:i/>
                <w:sz w:val="14"/>
              </w:rPr>
            </w:pPr>
            <w:r>
              <w:rPr>
                <w:i/>
                <w:color w:val="231F20"/>
                <w:sz w:val="14"/>
              </w:rPr>
              <w:t>1.4</w:t>
            </w:r>
          </w:p>
        </w:tc>
        <w:tc>
          <w:tcPr>
            <w:tcW w:w="431" w:type="dxa"/>
          </w:tcPr>
          <w:p>
            <w:pPr>
              <w:pStyle w:val="TableParagraph"/>
              <w:spacing w:line="120" w:lineRule="exact"/>
              <w:ind w:right="48"/>
              <w:jc w:val="right"/>
              <w:rPr>
                <w:i/>
                <w:sz w:val="14"/>
              </w:rPr>
            </w:pPr>
            <w:r>
              <w:rPr>
                <w:i/>
                <w:color w:val="231F20"/>
                <w:sz w:val="14"/>
              </w:rPr>
              <w:t>-2.0</w:t>
            </w:r>
          </w:p>
        </w:tc>
      </w:tr>
      <w:tr>
        <w:trPr>
          <w:trHeight w:val="140" w:hRule="atLeast"/>
        </w:trPr>
        <w:tc>
          <w:tcPr>
            <w:tcW w:w="1448" w:type="dxa"/>
          </w:tcPr>
          <w:p>
            <w:pPr>
              <w:pStyle w:val="TableParagraph"/>
              <w:spacing w:line="120" w:lineRule="exact"/>
              <w:ind w:left="50"/>
              <w:rPr>
                <w:sz w:val="14"/>
              </w:rPr>
            </w:pPr>
            <w:r>
              <w:rPr>
                <w:color w:val="231F20"/>
                <w:sz w:val="14"/>
              </w:rPr>
              <w:t>Non-durable goods</w:t>
            </w:r>
          </w:p>
        </w:tc>
        <w:tc>
          <w:tcPr>
            <w:tcW w:w="820" w:type="dxa"/>
          </w:tcPr>
          <w:p>
            <w:pPr>
              <w:pStyle w:val="TableParagraph"/>
              <w:spacing w:line="120" w:lineRule="exact"/>
              <w:ind w:right="325"/>
              <w:jc w:val="right"/>
              <w:rPr>
                <w:sz w:val="14"/>
              </w:rPr>
            </w:pPr>
            <w:r>
              <w:rPr>
                <w:color w:val="231F20"/>
                <w:sz w:val="14"/>
              </w:rPr>
              <w:t>44</w:t>
            </w:r>
          </w:p>
        </w:tc>
        <w:tc>
          <w:tcPr>
            <w:tcW w:w="742" w:type="dxa"/>
          </w:tcPr>
          <w:p>
            <w:pPr>
              <w:pStyle w:val="TableParagraph"/>
              <w:spacing w:line="120" w:lineRule="exact"/>
              <w:ind w:right="237"/>
              <w:jc w:val="right"/>
              <w:rPr>
                <w:sz w:val="14"/>
              </w:rPr>
            </w:pPr>
            <w:r>
              <w:rPr>
                <w:color w:val="231F20"/>
                <w:sz w:val="14"/>
              </w:rPr>
              <w:t>1.2</w:t>
            </w:r>
          </w:p>
        </w:tc>
        <w:tc>
          <w:tcPr>
            <w:tcW w:w="620" w:type="dxa"/>
          </w:tcPr>
          <w:p>
            <w:pPr>
              <w:pStyle w:val="TableParagraph"/>
              <w:spacing w:line="120" w:lineRule="exact"/>
              <w:ind w:right="157"/>
              <w:jc w:val="right"/>
              <w:rPr>
                <w:sz w:val="14"/>
              </w:rPr>
            </w:pPr>
            <w:r>
              <w:rPr>
                <w:color w:val="231F20"/>
                <w:sz w:val="14"/>
              </w:rPr>
              <w:t>-0.5</w:t>
            </w:r>
          </w:p>
        </w:tc>
        <w:tc>
          <w:tcPr>
            <w:tcW w:w="431" w:type="dxa"/>
          </w:tcPr>
          <w:p>
            <w:pPr>
              <w:pStyle w:val="TableParagraph"/>
              <w:spacing w:line="120" w:lineRule="exact"/>
              <w:ind w:right="48"/>
              <w:jc w:val="right"/>
              <w:rPr>
                <w:sz w:val="14"/>
              </w:rPr>
            </w:pPr>
            <w:r>
              <w:rPr>
                <w:color w:val="231F20"/>
                <w:sz w:val="14"/>
              </w:rPr>
              <w:t>1.1</w:t>
            </w:r>
          </w:p>
        </w:tc>
      </w:tr>
      <w:tr>
        <w:trPr>
          <w:trHeight w:val="140" w:hRule="atLeast"/>
        </w:trPr>
        <w:tc>
          <w:tcPr>
            <w:tcW w:w="1448" w:type="dxa"/>
          </w:tcPr>
          <w:p>
            <w:pPr>
              <w:pStyle w:val="TableParagraph"/>
              <w:spacing w:line="120" w:lineRule="exact"/>
              <w:ind w:left="50"/>
              <w:rPr>
                <w:sz w:val="14"/>
              </w:rPr>
            </w:pPr>
            <w:r>
              <w:rPr>
                <w:color w:val="231F20"/>
                <w:sz w:val="14"/>
              </w:rPr>
              <w:t>Services</w:t>
            </w:r>
          </w:p>
        </w:tc>
        <w:tc>
          <w:tcPr>
            <w:tcW w:w="820" w:type="dxa"/>
          </w:tcPr>
          <w:p>
            <w:pPr>
              <w:pStyle w:val="TableParagraph"/>
              <w:spacing w:line="120" w:lineRule="exact"/>
              <w:ind w:right="325"/>
              <w:jc w:val="right"/>
              <w:rPr>
                <w:sz w:val="14"/>
              </w:rPr>
            </w:pPr>
            <w:r>
              <w:rPr>
                <w:color w:val="231F20"/>
                <w:sz w:val="14"/>
              </w:rPr>
              <w:t>46</w:t>
            </w:r>
          </w:p>
        </w:tc>
        <w:tc>
          <w:tcPr>
            <w:tcW w:w="742" w:type="dxa"/>
          </w:tcPr>
          <w:p>
            <w:pPr>
              <w:pStyle w:val="TableParagraph"/>
              <w:spacing w:line="120" w:lineRule="exact"/>
              <w:ind w:right="237"/>
              <w:jc w:val="right"/>
              <w:rPr>
                <w:sz w:val="14"/>
              </w:rPr>
            </w:pPr>
            <w:r>
              <w:rPr>
                <w:color w:val="231F20"/>
                <w:sz w:val="14"/>
              </w:rPr>
              <w:t>1.2</w:t>
            </w:r>
          </w:p>
        </w:tc>
        <w:tc>
          <w:tcPr>
            <w:tcW w:w="620" w:type="dxa"/>
          </w:tcPr>
          <w:p>
            <w:pPr>
              <w:pStyle w:val="TableParagraph"/>
              <w:spacing w:line="120" w:lineRule="exact"/>
              <w:ind w:right="157"/>
              <w:jc w:val="right"/>
              <w:rPr>
                <w:sz w:val="14"/>
              </w:rPr>
            </w:pPr>
            <w:r>
              <w:rPr>
                <w:color w:val="231F20"/>
                <w:sz w:val="14"/>
              </w:rPr>
              <w:t>1.4</w:t>
            </w:r>
          </w:p>
        </w:tc>
        <w:tc>
          <w:tcPr>
            <w:tcW w:w="431" w:type="dxa"/>
          </w:tcPr>
          <w:p>
            <w:pPr>
              <w:pStyle w:val="TableParagraph"/>
              <w:spacing w:line="120" w:lineRule="exact"/>
              <w:ind w:right="48"/>
              <w:jc w:val="right"/>
              <w:rPr>
                <w:sz w:val="14"/>
              </w:rPr>
            </w:pPr>
            <w:r>
              <w:rPr>
                <w:color w:val="231F20"/>
                <w:sz w:val="14"/>
              </w:rPr>
              <w:t>-0.2</w:t>
            </w:r>
          </w:p>
        </w:tc>
      </w:tr>
      <w:tr>
        <w:trPr>
          <w:trHeight w:val="190" w:hRule="atLeast"/>
        </w:trPr>
        <w:tc>
          <w:tcPr>
            <w:tcW w:w="1448" w:type="dxa"/>
          </w:tcPr>
          <w:p>
            <w:pPr>
              <w:pStyle w:val="TableParagraph"/>
              <w:spacing w:line="148" w:lineRule="exact"/>
              <w:ind w:left="120"/>
              <w:rPr>
                <w:i/>
                <w:sz w:val="14"/>
              </w:rPr>
            </w:pPr>
            <w:r>
              <w:rPr>
                <w:i/>
                <w:color w:val="231F20"/>
                <w:sz w:val="14"/>
              </w:rPr>
              <w:t>of which, financial</w:t>
            </w:r>
          </w:p>
        </w:tc>
        <w:tc>
          <w:tcPr>
            <w:tcW w:w="820" w:type="dxa"/>
          </w:tcPr>
          <w:p>
            <w:pPr>
              <w:pStyle w:val="TableParagraph"/>
              <w:spacing w:line="148" w:lineRule="exact"/>
              <w:ind w:right="325"/>
              <w:jc w:val="right"/>
              <w:rPr>
                <w:i/>
                <w:sz w:val="14"/>
              </w:rPr>
            </w:pPr>
            <w:r>
              <w:rPr>
                <w:i/>
                <w:color w:val="231F20"/>
                <w:sz w:val="14"/>
              </w:rPr>
              <w:t>4</w:t>
            </w:r>
          </w:p>
        </w:tc>
        <w:tc>
          <w:tcPr>
            <w:tcW w:w="742" w:type="dxa"/>
          </w:tcPr>
          <w:p>
            <w:pPr>
              <w:pStyle w:val="TableParagraph"/>
              <w:spacing w:line="148" w:lineRule="exact"/>
              <w:ind w:right="237"/>
              <w:jc w:val="right"/>
              <w:rPr>
                <w:i/>
                <w:sz w:val="14"/>
              </w:rPr>
            </w:pPr>
            <w:r>
              <w:rPr>
                <w:i/>
                <w:color w:val="231F20"/>
                <w:sz w:val="14"/>
              </w:rPr>
              <w:t>3.1</w:t>
            </w:r>
          </w:p>
        </w:tc>
        <w:tc>
          <w:tcPr>
            <w:tcW w:w="620" w:type="dxa"/>
          </w:tcPr>
          <w:p>
            <w:pPr>
              <w:pStyle w:val="TableParagraph"/>
              <w:spacing w:line="148" w:lineRule="exact"/>
              <w:ind w:right="157"/>
              <w:jc w:val="right"/>
              <w:rPr>
                <w:i/>
                <w:sz w:val="14"/>
              </w:rPr>
            </w:pPr>
            <w:r>
              <w:rPr>
                <w:i/>
                <w:color w:val="231F20"/>
                <w:sz w:val="14"/>
              </w:rPr>
              <w:t>1.0</w:t>
            </w:r>
          </w:p>
        </w:tc>
        <w:tc>
          <w:tcPr>
            <w:tcW w:w="431" w:type="dxa"/>
          </w:tcPr>
          <w:p>
            <w:pPr>
              <w:pStyle w:val="TableParagraph"/>
              <w:spacing w:line="148" w:lineRule="exact"/>
              <w:ind w:right="48"/>
              <w:jc w:val="right"/>
              <w:rPr>
                <w:i/>
                <w:sz w:val="14"/>
              </w:rPr>
            </w:pPr>
            <w:r>
              <w:rPr>
                <w:i/>
                <w:color w:val="231F20"/>
                <w:sz w:val="14"/>
              </w:rPr>
              <w:t>-1.0</w:t>
            </w:r>
          </w:p>
        </w:tc>
      </w:tr>
      <w:tr>
        <w:trPr>
          <w:trHeight w:val="197" w:hRule="atLeast"/>
        </w:trPr>
        <w:tc>
          <w:tcPr>
            <w:tcW w:w="1448" w:type="dxa"/>
          </w:tcPr>
          <w:p>
            <w:pPr>
              <w:pStyle w:val="TableParagraph"/>
              <w:spacing w:line="141" w:lineRule="exact" w:before="36"/>
              <w:ind w:left="50"/>
              <w:rPr>
                <w:b/>
                <w:sz w:val="14"/>
              </w:rPr>
            </w:pPr>
            <w:r>
              <w:rPr>
                <w:b/>
                <w:color w:val="231F20"/>
                <w:sz w:val="14"/>
              </w:rPr>
              <w:t>Total</w:t>
            </w:r>
          </w:p>
        </w:tc>
        <w:tc>
          <w:tcPr>
            <w:tcW w:w="820" w:type="dxa"/>
          </w:tcPr>
          <w:p>
            <w:pPr>
              <w:pStyle w:val="TableParagraph"/>
              <w:spacing w:line="141" w:lineRule="exact" w:before="36"/>
              <w:ind w:right="325"/>
              <w:jc w:val="right"/>
              <w:rPr>
                <w:b/>
                <w:sz w:val="14"/>
              </w:rPr>
            </w:pPr>
            <w:r>
              <w:rPr>
                <w:b/>
                <w:color w:val="231F20"/>
                <w:sz w:val="14"/>
              </w:rPr>
              <w:t>100</w:t>
            </w:r>
          </w:p>
        </w:tc>
        <w:tc>
          <w:tcPr>
            <w:tcW w:w="742" w:type="dxa"/>
          </w:tcPr>
          <w:p>
            <w:pPr>
              <w:pStyle w:val="TableParagraph"/>
              <w:spacing w:line="141" w:lineRule="exact" w:before="36"/>
              <w:ind w:right="237"/>
              <w:jc w:val="right"/>
              <w:rPr>
                <w:b/>
                <w:sz w:val="14"/>
              </w:rPr>
            </w:pPr>
            <w:r>
              <w:rPr>
                <w:b/>
                <w:color w:val="231F20"/>
                <w:sz w:val="14"/>
              </w:rPr>
              <w:t>1.5</w:t>
            </w:r>
          </w:p>
        </w:tc>
        <w:tc>
          <w:tcPr>
            <w:tcW w:w="620" w:type="dxa"/>
          </w:tcPr>
          <w:p>
            <w:pPr>
              <w:pStyle w:val="TableParagraph"/>
              <w:spacing w:line="141" w:lineRule="exact" w:before="36"/>
              <w:ind w:right="157"/>
              <w:jc w:val="right"/>
              <w:rPr>
                <w:b/>
                <w:sz w:val="14"/>
              </w:rPr>
            </w:pPr>
            <w:r>
              <w:rPr>
                <w:b/>
                <w:color w:val="231F20"/>
                <w:sz w:val="14"/>
              </w:rPr>
              <w:t>0.5</w:t>
            </w:r>
          </w:p>
        </w:tc>
        <w:tc>
          <w:tcPr>
            <w:tcW w:w="431" w:type="dxa"/>
          </w:tcPr>
          <w:p>
            <w:pPr>
              <w:pStyle w:val="TableParagraph"/>
              <w:spacing w:line="141" w:lineRule="exact" w:before="36"/>
              <w:ind w:right="48"/>
              <w:jc w:val="right"/>
              <w:rPr>
                <w:b/>
                <w:sz w:val="14"/>
              </w:rPr>
            </w:pPr>
            <w:r>
              <w:rPr>
                <w:b/>
                <w:color w:val="231F20"/>
                <w:sz w:val="14"/>
              </w:rPr>
              <w:t>0.4</w:t>
            </w:r>
          </w:p>
        </w:tc>
      </w:tr>
    </w:tbl>
    <w:p>
      <w:pPr>
        <w:pStyle w:val="Heading4"/>
        <w:spacing w:line="242" w:lineRule="auto"/>
        <w:ind w:left="184" w:right="361"/>
      </w:pPr>
      <w:r>
        <w:rPr/>
        <w:br w:type="column"/>
      </w:r>
      <w:r>
        <w:rPr>
          <w:color w:val="231F20"/>
        </w:rPr>
        <w:t>This slowdown reflected slower consumption growth and falling investment (see Table 2.C). Excluding inventories, final domestic demand rose by 0.1% in 1998 Q2, its smallest quarterly rise since 1995 Q1.</w:t>
      </w:r>
    </w:p>
    <w:p>
      <w:pPr>
        <w:pStyle w:val="BodyText"/>
        <w:spacing w:before="10"/>
        <w:rPr>
          <w:sz w:val="23"/>
        </w:rPr>
      </w:pPr>
    </w:p>
    <w:p>
      <w:pPr>
        <w:pStyle w:val="Heading5"/>
        <w:ind w:left="184"/>
        <w:rPr>
          <w:i/>
        </w:rPr>
      </w:pPr>
      <w:r>
        <w:rPr>
          <w:i/>
          <w:color w:val="009483"/>
        </w:rPr>
        <w:t>Consumption</w:t>
      </w:r>
    </w:p>
    <w:p>
      <w:pPr>
        <w:spacing w:line="242" w:lineRule="auto" w:before="164"/>
        <w:ind w:left="184" w:right="14" w:firstLine="0"/>
        <w:jc w:val="left"/>
        <w:rPr>
          <w:sz w:val="24"/>
        </w:rPr>
      </w:pPr>
      <w:r>
        <w:rPr>
          <w:color w:val="231F20"/>
          <w:sz w:val="24"/>
        </w:rPr>
        <w:t>Household final expenditure grew by 0.4% in 1998 Q2, compared with 0.5% in 1998 Q1. Over the first half of 1998, household final expenditure rose by an annualised 2.9%, compared with 4.0% in 1997 H2. The principal component of the slowdown in consumption in 1998 Q2 was lower spending on services, particularly financial services. Spending on durable goods also fell in</w:t>
      </w:r>
    </w:p>
    <w:p>
      <w:pPr>
        <w:spacing w:line="242" w:lineRule="auto" w:before="9"/>
        <w:ind w:left="184" w:right="0" w:firstLine="0"/>
        <w:jc w:val="left"/>
        <w:rPr>
          <w:sz w:val="24"/>
        </w:rPr>
      </w:pPr>
      <w:r>
        <w:rPr>
          <w:color w:val="231F20"/>
          <w:sz w:val="24"/>
        </w:rPr>
        <w:t>1998 Q2, by 0.4%, reflecting a 2.0% fall in spending on vehicles (see Table 2.D).</w:t>
      </w:r>
    </w:p>
    <w:p>
      <w:pPr>
        <w:pStyle w:val="BodyText"/>
        <w:spacing w:before="7"/>
        <w:rPr>
          <w:sz w:val="24"/>
        </w:rPr>
      </w:pPr>
    </w:p>
    <w:p>
      <w:pPr>
        <w:spacing w:line="242" w:lineRule="auto" w:before="0"/>
        <w:ind w:left="184" w:right="714" w:firstLine="0"/>
        <w:jc w:val="left"/>
        <w:rPr>
          <w:sz w:val="24"/>
        </w:rPr>
      </w:pPr>
      <w:r>
        <w:rPr>
          <w:color w:val="231F20"/>
          <w:sz w:val="24"/>
        </w:rPr>
        <w:t>Consumption is influenced by short-term changes to income, but in the long run it also depends on</w:t>
      </w:r>
    </w:p>
    <w:p>
      <w:pPr>
        <w:pStyle w:val="BodyText"/>
        <w:spacing w:before="7"/>
        <w:rPr>
          <w:sz w:val="20"/>
        </w:rPr>
      </w:pPr>
      <w:r>
        <w:rPr/>
        <w:pict>
          <v:shape style="position:absolute;margin-left:280pt;margin-top:13.938591pt;width:274.75pt;height:.1pt;mso-position-horizontal-relative:page;mso-position-vertical-relative:paragraph;z-index:-15607808;mso-wrap-distance-left:0;mso-wrap-distance-right:0" coordorigin="5600,279" coordsize="5495,0" path="m5600,279l11095,279e" filled="false" stroked="true" strokeweight=".125pt" strokecolor="#231f20">
            <v:path arrowok="t"/>
            <v:stroke dashstyle="solid"/>
            <w10:wrap type="topAndBottom"/>
          </v:shape>
        </w:pict>
      </w:r>
    </w:p>
    <w:p>
      <w:pPr>
        <w:spacing w:line="208" w:lineRule="auto" w:before="0"/>
        <w:ind w:left="424" w:right="932" w:hanging="240"/>
        <w:jc w:val="left"/>
        <w:rPr>
          <w:sz w:val="16"/>
        </w:rPr>
      </w:pPr>
      <w:r>
        <w:rPr>
          <w:color w:val="231F20"/>
          <w:sz w:val="16"/>
        </w:rPr>
        <w:t>(1) Defined as the United Kingdom’s share of other EU countries’ imports, weighted by UK exports to those countries in 1994.</w:t>
      </w:r>
    </w:p>
    <w:p>
      <w:pPr>
        <w:spacing w:after="0" w:line="208" w:lineRule="auto"/>
        <w:jc w:val="left"/>
        <w:rPr>
          <w:sz w:val="16"/>
        </w:rPr>
        <w:sectPr>
          <w:type w:val="continuous"/>
          <w:pgSz w:w="11900" w:h="16840"/>
          <w:pgMar w:top="1220" w:bottom="280" w:left="620" w:right="520"/>
          <w:cols w:num="2" w:equalWidth="0">
            <w:col w:w="4353" w:space="463"/>
            <w:col w:w="5944"/>
          </w:cols>
        </w:sectPr>
      </w:pPr>
    </w:p>
    <w:p>
      <w:pPr>
        <w:pStyle w:val="BodyText"/>
        <w:rPr>
          <w:sz w:val="20"/>
        </w:rPr>
      </w:pPr>
    </w:p>
    <w:p>
      <w:pPr>
        <w:spacing w:after="0"/>
        <w:rPr>
          <w:sz w:val="20"/>
        </w:rPr>
        <w:sectPr>
          <w:pgSz w:w="11900" w:h="16840"/>
          <w:pgMar w:header="586" w:footer="617" w:top="780" w:bottom="800" w:left="620" w:right="520"/>
        </w:sectPr>
      </w:pPr>
    </w:p>
    <w:p>
      <w:pPr>
        <w:pStyle w:val="BodyText"/>
        <w:spacing w:before="3"/>
        <w:rPr>
          <w:sz w:val="22"/>
        </w:rPr>
      </w:pPr>
    </w:p>
    <w:p>
      <w:pPr>
        <w:pStyle w:val="Heading7"/>
        <w:spacing w:before="0"/>
        <w:ind w:left="195"/>
      </w:pPr>
      <w:r>
        <w:rPr>
          <w:color w:val="0093C1"/>
        </w:rPr>
        <w:t>Chart 2.3</w:t>
      </w:r>
    </w:p>
    <w:p>
      <w:pPr>
        <w:spacing w:before="10"/>
        <w:ind w:left="195" w:right="0" w:firstLine="0"/>
        <w:jc w:val="left"/>
        <w:rPr>
          <w:b/>
          <w:sz w:val="20"/>
        </w:rPr>
      </w:pPr>
      <w:r>
        <w:rPr>
          <w:b/>
          <w:color w:val="0093C1"/>
          <w:sz w:val="20"/>
        </w:rPr>
        <w:t>Total net wealth and equity wealth</w:t>
      </w:r>
    </w:p>
    <w:p>
      <w:pPr>
        <w:spacing w:line="135" w:lineRule="exact" w:before="185"/>
        <w:ind w:left="1909" w:right="0" w:firstLine="0"/>
        <w:jc w:val="left"/>
        <w:rPr>
          <w:sz w:val="12"/>
        </w:rPr>
      </w:pPr>
      <w:r>
        <w:rPr>
          <w:sz w:val="12"/>
        </w:rPr>
        <w:t>Percentage of labour income (a)</w:t>
      </w:r>
    </w:p>
    <w:p>
      <w:pPr>
        <w:spacing w:line="135" w:lineRule="exact" w:before="0"/>
        <w:ind w:left="3470" w:right="0" w:firstLine="0"/>
        <w:jc w:val="left"/>
        <w:rPr>
          <w:sz w:val="12"/>
        </w:rPr>
      </w:pPr>
      <w:r>
        <w:rPr/>
        <w:pict>
          <v:line style="position:absolute;mso-position-horizontal-relative:page;mso-position-vertical-relative:paragraph;z-index:15860736" from="198.656998pt,4.025351pt" to="202.350998pt,4.025351pt" stroked="true" strokeweight=".5pt" strokecolor="#000000">
            <v:stroke dashstyle="solid"/>
            <w10:wrap type="none"/>
          </v:line>
        </w:pict>
      </w:r>
      <w:r>
        <w:rPr/>
        <w:pict>
          <v:line style="position:absolute;mso-position-horizontal-relative:page;mso-position-vertical-relative:paragraph;z-index:15862784" from="44.669998pt,4.055351pt" to="48.363998pt,4.055351pt" stroked="true" strokeweight=".5pt" strokecolor="#000000">
            <v:stroke dashstyle="solid"/>
            <w10:wrap type="none"/>
          </v:line>
        </w:pict>
      </w:r>
      <w:r>
        <w:rPr>
          <w:sz w:val="12"/>
        </w:rPr>
        <w:t>40</w:t>
      </w:r>
    </w:p>
    <w:p>
      <w:pPr>
        <w:pStyle w:val="BodyText"/>
        <w:rPr>
          <w:sz w:val="12"/>
        </w:rPr>
      </w:pPr>
    </w:p>
    <w:p>
      <w:pPr>
        <w:spacing w:before="87"/>
        <w:ind w:left="0" w:right="896" w:firstLine="0"/>
        <w:jc w:val="right"/>
        <w:rPr>
          <w:sz w:val="12"/>
        </w:rPr>
      </w:pPr>
      <w:r>
        <w:rPr/>
        <w:pict>
          <v:group style="position:absolute;margin-left:44.669998pt;margin-top:11.209068pt;width:149.35pt;height:123.4pt;mso-position-horizontal-relative:page;mso-position-vertical-relative:paragraph;z-index:15862272" coordorigin="893,224" coordsize="2987,2468">
            <v:shape style="position:absolute;left:1035;top:2562;width:2842;height:123" coordorigin="1036,2563" coordsize="2842,123" path="m1036,2685l3878,2685m1036,2674l1036,2563e" filled="false" stroked="true" strokeweight=".5pt" strokecolor="#000000">
              <v:path arrowok="t"/>
              <v:stroke dashstyle="solid"/>
            </v:shape>
            <v:shape style="position:absolute;left:1046;top:1746;width:2699;height:771" coordorigin="1047,1746" coordsize="2699,771" path="m1047,2516l1077,2504m1077,2504l1110,2488m1110,2488l1141,2488m1141,2488l1171,2472m1171,2472l1204,2488m1204,2488l1235,2516m1235,2516l1265,2504m1265,2504l1295,2488m1295,2488l1329,2472m1329,2472l1359,2444m1359,2444l1389,2472m1389,2472l1472,2472m1472,2472l1503,2488m1503,2488l1536,2456m1536,2456l1566,2472m1566,2472l1597,2472m1597,2472l1630,2516m1630,2516l1660,2504m1660,2504l1690,2488m1690,2488l1754,2488m1754,2488l1773,2472m1773,2472l1804,2472m1804,2472l1837,2504m1837,2504l1867,2472m1867,2472l1928,2472m1928,2472l1961,2456m1961,2456l1991,2444m1991,2444l2022,2427m2022,2427l2055,2395m2055,2395l2085,2411m2085,2411l2105,2395m2105,2395l2138,2367m2138,2367l2168,2383m2168,2383l2199,2367m2199,2367l2229,2307m2229,2307l2292,2307m2292,2307l2323,2290m2323,2290l2353,2258m2353,2258l2386,2169m2386,2169l2417,2186m2417,2186l2447,2198m2447,2198l2469,2137m2469,2137l2500,2032m2500,2032l2530,1956m2530,1956l2563,1895m2563,1895l2594,2153m2594,2153l2624,2137m2624,2137l2654,2109m2654,2109l2687,2125m2687,2125l2718,2137m2718,2137l2748,2065m2748,2065l2779,2065m2779,2065l2812,2032m2812,2032l2831,2032m2831,2032l2861,2048m2861,2048l2895,2032m2895,2032l2925,2153m2925,2153l2955,2125m2955,2125l2988,2065m2988,2065l3019,2077m3019,2077l3049,2032m3049,2032l3080,2077m3080,2077l3113,2077m3113,2077l3143,2109m3143,2109l3174,2109m3174,2109l3196,2032m3196,2032l3226,2016m3226,2016l3256,2004m3256,2004l3287,1956m3287,1956l3320,1895m3320,1895l3350,1928m3350,1928l3381,1956m3381,1956l3411,1956m3411,1956l3444,1972m3444,1972l3475,1956m3475,1956l3505,1928m3505,1928l3527,1883m3527,1883l3588,1851m3588,1851l3621,1851m3621,1851l3651,1823m3651,1823l3682,1835m3682,1835l3712,1790m3712,1790l3745,1746e" filled="false" stroked="true" strokeweight="1pt" strokecolor="#df6f1d">
              <v:path arrowok="t"/>
              <v:stroke dashstyle="solid"/>
            </v:shape>
            <v:shape style="position:absolute;left:1046;top:234;width:2823;height:1420" coordorigin="1047,234" coordsize="2823,1420" path="m1047,1653l1077,1520m1077,1520l1110,1520m1110,1520l1141,1532m1141,1532l1204,1532m1204,1532l1235,1581m1235,1581l1265,1581m1265,1581l1295,1549m1295,1549l1329,1532m1329,1532l1359,1532m1359,1532l1389,1549m1389,1549l1411,1549m1411,1549l1442,1520m1442,1520l1472,1549m1472,1549l1503,1532m1503,1532l1536,1460m1536,1460l1566,1444m1566,1444l1597,1472m1597,1472l1630,1504m1630,1504l1690,1472m1690,1472l1721,1460m1721,1460l1773,1460m1773,1460l1804,1411m1804,1411l1837,1472m1837,1472l1867,1472m1867,1472l1898,1460m1898,1460l1928,1444m1928,1444l1961,1411m1961,1411l1991,1399m1991,1399l2022,1339m2022,1339l2055,1291m2055,1291l2085,1278m2085,1278l2105,1246m2105,1246l2138,1214m2138,1214l2168,1230m2168,1230l2199,1186m2199,1186l2229,1170m2229,1170l2292,1170m2292,1170l2323,1125m2323,1125l2353,1093m2353,1093l2386,988m2386,988l2417,1004m2417,1004l2447,1004m2447,1004l2469,928m2469,928l2500,807m2500,807l2530,718m2530,718l2563,641m2563,641l2594,839m2594,839l2624,686m2624,686l2654,581m2654,581l2687,537m2687,537l2718,549m2718,549l2748,399m2748,399l2779,367m2779,367l2812,399m2812,399l2831,520m2831,520l2861,597m2861,597l2895,565m2895,565l2925,670m2925,670l2955,718m2955,718l2988,670m2988,670l3019,730m3019,730l3049,718m3049,718l3080,807m3080,807l3113,823m3113,823l3143,899m3143,899l3174,912m3174,912l3196,851m3196,851l3226,839m3226,839l3256,839m3256,839l3287,791m3287,791l3320,730m3320,730l3350,778m3350,778l3381,791m3381,791l3411,778m3411,778l3444,839m3444,839l3475,807m3475,807l3505,778m3505,778l3527,730m3527,730l3557,702m3557,702l3588,718m3588,718l3621,702m3621,702l3651,658m3651,658l3682,658m3682,658l3712,597m3712,597l3745,504m3745,504l3776,399m3776,399l3806,460m3806,460l3836,234m3836,234l3870,234e" filled="false" stroked="true" strokeweight="1pt" strokecolor="#008256">
              <v:path arrowok="t"/>
              <v:stroke dashstyle="solid"/>
            </v:shape>
            <v:shape style="position:absolute;left:3745;top:1532;width:125;height:214" coordorigin="3745,1532" coordsize="125,214" path="m3745,1746l3776,1669m3776,1669l3806,1702m3806,1702l3836,1532m3836,1532l3870,1549e" filled="false" stroked="true" strokeweight="1pt" strokecolor="#df6f1d">
              <v:path arrowok="t"/>
              <v:stroke dashstyle="solid"/>
            </v:shape>
            <v:shape style="position:absolute;left:893;top:537;width:2979;height:2149" coordorigin="893,538" coordsize="2979,2149" path="m893,2686l967,2686m893,2324l967,2324m893,1973l967,1973m893,1610l967,1610m893,1247l967,1247m893,884l967,884m893,538l967,538m1178,2674l1178,2603m1319,2674l1319,2603m1461,2674l1461,2603m1603,2674l1603,2603m1745,2674l1745,2563m1887,2674l1887,2603m2028,2674l2028,2603m2170,2674l2170,2603m2312,2674l2312,2603m2454,2674l2454,2563m2596,2674l2596,2603m2737,2674l2737,2603m2879,2674l2879,2603m3021,2674l3021,2603m3163,2674l3163,2563m3304,2674l3304,2603m3446,2674l3446,2603m3588,2674l3588,2603m3730,2674l3730,2603m3872,2685l3872,2574e" filled="false" stroked="true" strokeweight=".5pt" strokecolor="#000000">
              <v:path arrowok="t"/>
              <v:stroke dashstyle="solid"/>
            </v:shape>
            <v:shape style="position:absolute;left:1857;top:289;width:800;height:134" type="#_x0000_t202" filled="false" stroked="false">
              <v:textbox inset="0,0,0,0">
                <w:txbxContent>
                  <w:p>
                    <w:pPr>
                      <w:spacing w:line="133" w:lineRule="exact" w:before="0"/>
                      <w:ind w:left="0" w:right="0" w:firstLine="0"/>
                      <w:jc w:val="left"/>
                      <w:rPr>
                        <w:sz w:val="12"/>
                      </w:rPr>
                    </w:pPr>
                    <w:r>
                      <w:rPr>
                        <w:sz w:val="12"/>
                      </w:rPr>
                      <w:t>Total net wealth</w:t>
                    </w:r>
                  </w:p>
                </w:txbxContent>
              </v:textbox>
              <w10:wrap type="none"/>
            </v:shape>
            <v:shape style="position:absolute;left:2493;top:1727;width:690;height:134" type="#_x0000_t202" filled="false" stroked="false">
              <v:textbox inset="0,0,0,0">
                <w:txbxContent>
                  <w:p>
                    <w:pPr>
                      <w:spacing w:line="133" w:lineRule="exact" w:before="0"/>
                      <w:ind w:left="0" w:right="0" w:firstLine="0"/>
                      <w:jc w:val="left"/>
                      <w:rPr>
                        <w:sz w:val="12"/>
                      </w:rPr>
                    </w:pPr>
                    <w:r>
                      <w:rPr>
                        <w:sz w:val="12"/>
                      </w:rPr>
                      <w:t>Equity wealth</w:t>
                    </w:r>
                  </w:p>
                </w:txbxContent>
              </v:textbox>
              <w10:wrap type="none"/>
            </v:shape>
            <w10:wrap type="none"/>
          </v:group>
        </w:pict>
      </w:r>
      <w:r>
        <w:rPr>
          <w:sz w:val="12"/>
        </w:rPr>
        <w:t>35</w:t>
      </w:r>
    </w:p>
    <w:p>
      <w:pPr>
        <w:pStyle w:val="BodyText"/>
        <w:rPr>
          <w:sz w:val="12"/>
        </w:rPr>
      </w:pPr>
    </w:p>
    <w:p>
      <w:pPr>
        <w:spacing w:before="87"/>
        <w:ind w:left="0" w:right="896" w:firstLine="0"/>
        <w:jc w:val="right"/>
        <w:rPr>
          <w:sz w:val="12"/>
        </w:rPr>
      </w:pPr>
      <w:r>
        <w:rPr/>
        <w:pict>
          <v:line style="position:absolute;mso-position-horizontal-relative:page;mso-position-vertical-relative:paragraph;z-index:15860224" from="198.656998pt,8.706246pt" to="202.350998pt,8.706246pt" stroked="true" strokeweight=".5pt" strokecolor="#000000">
            <v:stroke dashstyle="solid"/>
            <w10:wrap type="none"/>
          </v:line>
        </w:pict>
      </w:r>
      <w:r>
        <w:rPr>
          <w:sz w:val="12"/>
        </w:rPr>
        <w:t>30</w:t>
      </w:r>
    </w:p>
    <w:p>
      <w:pPr>
        <w:pStyle w:val="BodyText"/>
        <w:rPr>
          <w:sz w:val="12"/>
        </w:rPr>
      </w:pPr>
    </w:p>
    <w:p>
      <w:pPr>
        <w:spacing w:before="75"/>
        <w:ind w:left="0" w:right="896" w:firstLine="0"/>
        <w:jc w:val="right"/>
        <w:rPr>
          <w:sz w:val="12"/>
        </w:rPr>
      </w:pPr>
      <w:r>
        <w:rPr/>
        <w:pict>
          <v:line style="position:absolute;mso-position-horizontal-relative:page;mso-position-vertical-relative:paragraph;z-index:15859712" from="198.656998pt,7.904282pt" to="202.350998pt,7.904282pt" stroked="true" strokeweight=".5pt" strokecolor="#000000">
            <v:stroke dashstyle="solid"/>
            <w10:wrap type="none"/>
          </v:line>
        </w:pict>
      </w:r>
      <w:r>
        <w:rPr>
          <w:sz w:val="12"/>
        </w:rPr>
        <w:t>25</w:t>
      </w:r>
    </w:p>
    <w:p>
      <w:pPr>
        <w:pStyle w:val="BodyText"/>
        <w:rPr>
          <w:sz w:val="12"/>
        </w:rPr>
      </w:pPr>
    </w:p>
    <w:p>
      <w:pPr>
        <w:spacing w:before="87"/>
        <w:ind w:left="0" w:right="896" w:firstLine="0"/>
        <w:jc w:val="right"/>
        <w:rPr>
          <w:sz w:val="12"/>
        </w:rPr>
      </w:pPr>
      <w:r>
        <w:rPr/>
        <w:pict>
          <v:line style="position:absolute;mso-position-horizontal-relative:page;mso-position-vertical-relative:paragraph;z-index:15859200" from="198.656998pt,8.50446pt" to="202.350998pt,8.50446pt" stroked="true" strokeweight=".5pt" strokecolor="#000000">
            <v:stroke dashstyle="solid"/>
            <w10:wrap type="none"/>
          </v:line>
        </w:pict>
      </w:r>
      <w:r>
        <w:rPr>
          <w:sz w:val="12"/>
        </w:rPr>
        <w:t>20</w:t>
      </w:r>
    </w:p>
    <w:p>
      <w:pPr>
        <w:pStyle w:val="BodyText"/>
        <w:rPr>
          <w:sz w:val="12"/>
        </w:rPr>
      </w:pPr>
    </w:p>
    <w:p>
      <w:pPr>
        <w:spacing w:before="87"/>
        <w:ind w:left="0" w:right="896" w:firstLine="0"/>
        <w:jc w:val="right"/>
        <w:rPr>
          <w:sz w:val="12"/>
        </w:rPr>
      </w:pPr>
      <w:r>
        <w:rPr/>
        <w:pict>
          <v:line style="position:absolute;mso-position-horizontal-relative:page;mso-position-vertical-relative:paragraph;z-index:15858688" from="198.656998pt,8.504638pt" to="202.350998pt,8.504638pt" stroked="true" strokeweight=".5pt" strokecolor="#000000">
            <v:stroke dashstyle="solid"/>
            <w10:wrap type="none"/>
          </v:line>
        </w:pict>
      </w:r>
      <w:r>
        <w:rPr>
          <w:sz w:val="12"/>
        </w:rPr>
        <w:t>15</w:t>
      </w:r>
    </w:p>
    <w:p>
      <w:pPr>
        <w:pStyle w:val="BodyText"/>
        <w:rPr>
          <w:sz w:val="12"/>
        </w:rPr>
      </w:pPr>
    </w:p>
    <w:p>
      <w:pPr>
        <w:spacing w:before="86"/>
        <w:ind w:left="0" w:right="896" w:firstLine="0"/>
        <w:jc w:val="right"/>
        <w:rPr>
          <w:sz w:val="12"/>
        </w:rPr>
      </w:pPr>
      <w:r>
        <w:rPr/>
        <w:pict>
          <v:line style="position:absolute;mso-position-horizontal-relative:page;mso-position-vertical-relative:paragraph;z-index:15858176" from="198.656998pt,8.454877pt" to="202.350998pt,8.454877pt" stroked="true" strokeweight=".5pt" strokecolor="#000000">
            <v:stroke dashstyle="solid"/>
            <w10:wrap type="none"/>
          </v:line>
        </w:pict>
      </w:r>
      <w:r>
        <w:rPr>
          <w:sz w:val="12"/>
        </w:rPr>
        <w:t>10</w:t>
      </w:r>
    </w:p>
    <w:p>
      <w:pPr>
        <w:pStyle w:val="BodyText"/>
        <w:rPr>
          <w:sz w:val="12"/>
        </w:rPr>
      </w:pPr>
    </w:p>
    <w:p>
      <w:pPr>
        <w:spacing w:before="71"/>
        <w:ind w:left="0" w:right="890" w:firstLine="0"/>
        <w:jc w:val="right"/>
        <w:rPr>
          <w:sz w:val="12"/>
        </w:rPr>
      </w:pPr>
      <w:r>
        <w:rPr/>
        <w:pict>
          <v:line style="position:absolute;mso-position-horizontal-relative:page;mso-position-vertical-relative:paragraph;z-index:15857664" from="198.656998pt,7.90639pt" to="202.350998pt,7.90639pt" stroked="true" strokeweight=".5pt" strokecolor="#000000">
            <v:stroke dashstyle="solid"/>
            <w10:wrap type="none"/>
          </v:line>
        </w:pict>
      </w:r>
      <w:r>
        <w:rPr>
          <w:sz w:val="12"/>
        </w:rPr>
        <w:t>5</w:t>
      </w:r>
    </w:p>
    <w:p>
      <w:pPr>
        <w:pStyle w:val="BodyText"/>
        <w:rPr>
          <w:sz w:val="12"/>
        </w:rPr>
      </w:pPr>
    </w:p>
    <w:p>
      <w:pPr>
        <w:spacing w:line="133" w:lineRule="exact" w:before="87"/>
        <w:ind w:left="3536" w:right="0" w:firstLine="0"/>
        <w:jc w:val="left"/>
        <w:rPr>
          <w:sz w:val="12"/>
        </w:rPr>
      </w:pPr>
      <w:r>
        <w:rPr/>
        <w:pict>
          <v:line style="position:absolute;mso-position-horizontal-relative:page;mso-position-vertical-relative:paragraph;z-index:15857152" from="198.656998pt,8.706568pt" to="202.350998pt,8.706568pt" stroked="true" strokeweight=".5pt" strokecolor="#000000">
            <v:stroke dashstyle="solid"/>
            <w10:wrap type="none"/>
          </v:line>
        </w:pict>
      </w:r>
      <w:r>
        <w:rPr>
          <w:sz w:val="12"/>
        </w:rPr>
        <w:t>0</w:t>
      </w:r>
    </w:p>
    <w:p>
      <w:pPr>
        <w:tabs>
          <w:tab w:pos="1080" w:val="left" w:leader="none"/>
          <w:tab w:pos="1775" w:val="left" w:leader="none"/>
          <w:tab w:pos="2495" w:val="left" w:leader="none"/>
          <w:tab w:pos="3184" w:val="left" w:leader="none"/>
        </w:tabs>
        <w:spacing w:line="133" w:lineRule="exact" w:before="0"/>
        <w:ind w:left="315" w:right="0" w:firstLine="0"/>
        <w:jc w:val="left"/>
        <w:rPr>
          <w:sz w:val="12"/>
        </w:rPr>
      </w:pPr>
      <w:r>
        <w:rPr>
          <w:sz w:val="12"/>
        </w:rPr>
        <w:t>1975</w:t>
        <w:tab/>
        <w:t>80</w:t>
        <w:tab/>
        <w:t>85</w:t>
        <w:tab/>
        <w:t>90</w:t>
        <w:tab/>
        <w:t>95</w:t>
      </w:r>
    </w:p>
    <w:p>
      <w:pPr>
        <w:spacing w:before="51"/>
        <w:ind w:left="180" w:right="0" w:firstLine="0"/>
        <w:jc w:val="left"/>
        <w:rPr>
          <w:sz w:val="12"/>
        </w:rPr>
      </w:pPr>
      <w:r>
        <w:rPr>
          <w:color w:val="231F20"/>
          <w:sz w:val="12"/>
        </w:rPr>
        <w:t>(a) At a quarterly rate.</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4"/>
        <w:rPr>
          <w:sz w:val="13"/>
        </w:rPr>
      </w:pPr>
    </w:p>
    <w:p>
      <w:pPr>
        <w:pStyle w:val="Heading7"/>
        <w:spacing w:before="0"/>
        <w:ind w:left="170"/>
      </w:pPr>
      <w:r>
        <w:rPr>
          <w:color w:val="0093C1"/>
        </w:rPr>
        <w:t>Table 2.E</w:t>
      </w:r>
    </w:p>
    <w:p>
      <w:pPr>
        <w:spacing w:line="249" w:lineRule="auto" w:before="10"/>
        <w:ind w:left="170" w:right="376" w:firstLine="0"/>
        <w:jc w:val="left"/>
        <w:rPr>
          <w:b/>
          <w:sz w:val="20"/>
        </w:rPr>
      </w:pPr>
      <w:r>
        <w:rPr>
          <w:b/>
          <w:color w:val="0093C1"/>
          <w:sz w:val="20"/>
        </w:rPr>
        <w:t>Share of equities in personal sector’s financial assets, 1996</w:t>
      </w:r>
    </w:p>
    <w:p>
      <w:pPr>
        <w:spacing w:before="98"/>
        <w:ind w:left="170" w:right="0" w:firstLine="0"/>
        <w:jc w:val="left"/>
        <w:rPr>
          <w:sz w:val="14"/>
        </w:rPr>
      </w:pPr>
      <w:r>
        <w:rPr>
          <w:color w:val="231F20"/>
          <w:sz w:val="14"/>
        </w:rPr>
        <w:t>Per cent</w:t>
      </w:r>
    </w:p>
    <w:p>
      <w:pPr>
        <w:tabs>
          <w:tab w:pos="3439" w:val="left" w:leader="none"/>
        </w:tabs>
        <w:spacing w:line="208" w:lineRule="auto" w:before="136"/>
        <w:ind w:left="2130" w:right="38" w:firstLine="0"/>
        <w:jc w:val="left"/>
        <w:rPr>
          <w:sz w:val="14"/>
        </w:rPr>
      </w:pPr>
      <w:r>
        <w:rPr/>
        <w:pict>
          <v:shape style="position:absolute;margin-left:137pt;margin-top:22.995596pt;width:60.5pt;height:.1pt;mso-position-horizontal-relative:page;mso-position-vertical-relative:paragraph;z-index:15863296" coordorigin="2740,460" coordsize="1210,0" path="m2740,460l3380,460m3450,460l3950,460e" filled="false" stroked="true" strokeweight=".125pt" strokecolor="#231f20">
            <v:path arrowok="t"/>
            <v:stroke dashstyle="solid"/>
            <w10:wrap type="none"/>
          </v:shape>
        </w:pict>
      </w:r>
      <w:r>
        <w:rPr/>
        <w:pict>
          <v:line style="position:absolute;mso-position-horizontal-relative:page;mso-position-vertical-relative:paragraph;z-index:15863808" from="204pt,22.995596pt" to="223pt,22.995596pt" stroked="true" strokeweight=".125pt" strokecolor="#231f20">
            <v:stroke dashstyle="solid"/>
            <w10:wrap type="none"/>
          </v:line>
        </w:pict>
      </w:r>
      <w:r>
        <w:rPr/>
        <w:pict>
          <v:line style="position:absolute;mso-position-horizontal-relative:page;mso-position-vertical-relative:paragraph;z-index:15864320" from="227.5pt,22.995596pt" to="252.5pt,22.995596pt" stroked="true" strokeweight=".125pt" strokecolor="#231f20">
            <v:stroke dashstyle="solid"/>
            <w10:wrap type="none"/>
          </v:line>
        </w:pict>
      </w:r>
      <w:r>
        <w:rPr>
          <w:color w:val="231F20"/>
          <w:sz w:val="14"/>
        </w:rPr>
        <w:t>EU3</w:t>
        <w:tab/>
        <w:t>United United average </w:t>
      </w:r>
      <w:r>
        <w:rPr>
          <w:color w:val="231F20"/>
          <w:sz w:val="12"/>
        </w:rPr>
        <w:t>(a) </w:t>
      </w:r>
      <w:r>
        <w:rPr>
          <w:color w:val="231F20"/>
          <w:sz w:val="14"/>
        </w:rPr>
        <w:t>Japan </w:t>
      </w:r>
      <w:r>
        <w:rPr>
          <w:color w:val="231F20"/>
          <w:sz w:val="12"/>
        </w:rPr>
        <w:t>(b) </w:t>
      </w:r>
      <w:r>
        <w:rPr>
          <w:color w:val="231F20"/>
          <w:sz w:val="14"/>
        </w:rPr>
        <w:t>States</w:t>
      </w:r>
      <w:r>
        <w:rPr>
          <w:color w:val="231F20"/>
          <w:spacing w:val="31"/>
          <w:sz w:val="14"/>
        </w:rPr>
        <w:t> </w:t>
      </w:r>
      <w:r>
        <w:rPr>
          <w:color w:val="231F20"/>
          <w:sz w:val="14"/>
        </w:rPr>
        <w:t>Kingdom</w:t>
      </w:r>
    </w:p>
    <w:p>
      <w:pPr>
        <w:tabs>
          <w:tab w:pos="2350" w:val="left" w:leader="none"/>
          <w:tab w:pos="3020" w:val="left" w:leader="none"/>
          <w:tab w:pos="3610" w:val="left" w:leader="none"/>
          <w:tab w:pos="4310" w:val="right" w:leader="none"/>
        </w:tabs>
        <w:spacing w:line="150" w:lineRule="exact" w:before="122"/>
        <w:ind w:left="170" w:right="0" w:firstLine="0"/>
        <w:jc w:val="left"/>
        <w:rPr>
          <w:sz w:val="14"/>
        </w:rPr>
      </w:pPr>
      <w:r>
        <w:rPr>
          <w:color w:val="231F20"/>
          <w:sz w:val="14"/>
        </w:rPr>
        <w:t>Equities held directly</w:t>
        <w:tab/>
        <w:t>24</w:t>
        <w:tab/>
        <w:t>6</w:t>
        <w:tab/>
        <w:t>26</w:t>
        <w:tab/>
        <w:t>20</w:t>
      </w:r>
    </w:p>
    <w:p>
      <w:pPr>
        <w:spacing w:line="140" w:lineRule="exact" w:before="0"/>
        <w:ind w:left="170" w:right="0" w:firstLine="0"/>
        <w:jc w:val="left"/>
        <w:rPr>
          <w:sz w:val="14"/>
        </w:rPr>
      </w:pPr>
      <w:r>
        <w:rPr>
          <w:color w:val="231F20"/>
          <w:sz w:val="14"/>
        </w:rPr>
        <w:t>Equities held indirectly via</w:t>
      </w:r>
    </w:p>
    <w:p>
      <w:pPr>
        <w:tabs>
          <w:tab w:pos="2420" w:val="left" w:leader="none"/>
          <w:tab w:pos="3020" w:val="left" w:leader="none"/>
          <w:tab w:pos="3610" w:val="left" w:leader="none"/>
          <w:tab w:pos="4310" w:val="right" w:leader="none"/>
        </w:tabs>
        <w:spacing w:line="150" w:lineRule="exact" w:before="0"/>
        <w:ind w:left="240" w:right="0" w:firstLine="0"/>
        <w:jc w:val="left"/>
        <w:rPr>
          <w:sz w:val="14"/>
        </w:rPr>
      </w:pPr>
      <w:r>
        <w:rPr>
          <w:color w:val="231F20"/>
          <w:sz w:val="14"/>
        </w:rPr>
        <w:t>insurance and pension funds</w:t>
        <w:tab/>
        <w:t>6</w:t>
        <w:tab/>
        <w:t>5</w:t>
        <w:tab/>
        <w:t>14</w:t>
        <w:tab/>
        <w:t>34</w:t>
      </w:r>
    </w:p>
    <w:p>
      <w:pPr>
        <w:pStyle w:val="BodyText"/>
        <w:spacing w:before="10"/>
        <w:rPr>
          <w:sz w:val="10"/>
        </w:rPr>
      </w:pPr>
    </w:p>
    <w:tbl>
      <w:tblPr>
        <w:tblW w:w="0" w:type="auto"/>
        <w:jc w:val="left"/>
        <w:tblInd w:w="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7"/>
        <w:gridCol w:w="498"/>
        <w:gridCol w:w="630"/>
        <w:gridCol w:w="610"/>
        <w:gridCol w:w="435"/>
      </w:tblGrid>
      <w:tr>
        <w:trPr>
          <w:trHeight w:val="357" w:hRule="atLeast"/>
        </w:trPr>
        <w:tc>
          <w:tcPr>
            <w:tcW w:w="2067" w:type="dxa"/>
          </w:tcPr>
          <w:p>
            <w:pPr>
              <w:pStyle w:val="TableParagraph"/>
              <w:spacing w:line="208" w:lineRule="auto" w:before="11"/>
              <w:ind w:left="120" w:right="297" w:hanging="70"/>
              <w:rPr>
                <w:b/>
                <w:sz w:val="14"/>
              </w:rPr>
            </w:pPr>
            <w:r>
              <w:rPr>
                <w:b/>
                <w:color w:val="231F20"/>
                <w:sz w:val="14"/>
              </w:rPr>
              <w:t>Total equities (percentage of household assets)</w:t>
            </w:r>
          </w:p>
        </w:tc>
        <w:tc>
          <w:tcPr>
            <w:tcW w:w="498" w:type="dxa"/>
          </w:tcPr>
          <w:p>
            <w:pPr>
              <w:pStyle w:val="TableParagraph"/>
              <w:spacing w:before="134"/>
              <w:ind w:right="192"/>
              <w:jc w:val="right"/>
              <w:rPr>
                <w:b/>
                <w:sz w:val="14"/>
              </w:rPr>
            </w:pPr>
            <w:r>
              <w:rPr>
                <w:b/>
                <w:color w:val="231F20"/>
                <w:sz w:val="14"/>
              </w:rPr>
              <w:t>30</w:t>
            </w:r>
          </w:p>
        </w:tc>
        <w:tc>
          <w:tcPr>
            <w:tcW w:w="630" w:type="dxa"/>
          </w:tcPr>
          <w:p>
            <w:pPr>
              <w:pStyle w:val="TableParagraph"/>
              <w:spacing w:before="134"/>
              <w:ind w:left="176" w:right="136"/>
              <w:jc w:val="center"/>
              <w:rPr>
                <w:b/>
                <w:sz w:val="14"/>
              </w:rPr>
            </w:pPr>
            <w:r>
              <w:rPr>
                <w:b/>
                <w:color w:val="231F20"/>
                <w:sz w:val="14"/>
              </w:rPr>
              <w:t>11</w:t>
            </w:r>
          </w:p>
        </w:tc>
        <w:tc>
          <w:tcPr>
            <w:tcW w:w="610" w:type="dxa"/>
          </w:tcPr>
          <w:p>
            <w:pPr>
              <w:pStyle w:val="TableParagraph"/>
              <w:spacing w:before="134"/>
              <w:ind w:right="172"/>
              <w:jc w:val="right"/>
              <w:rPr>
                <w:b/>
                <w:sz w:val="14"/>
              </w:rPr>
            </w:pPr>
            <w:r>
              <w:rPr>
                <w:b/>
                <w:color w:val="231F20"/>
                <w:sz w:val="14"/>
              </w:rPr>
              <w:t>40</w:t>
            </w:r>
          </w:p>
        </w:tc>
        <w:tc>
          <w:tcPr>
            <w:tcW w:w="435" w:type="dxa"/>
          </w:tcPr>
          <w:p>
            <w:pPr>
              <w:pStyle w:val="TableParagraph"/>
              <w:spacing w:before="134"/>
              <w:ind w:right="47"/>
              <w:jc w:val="right"/>
              <w:rPr>
                <w:b/>
                <w:sz w:val="14"/>
              </w:rPr>
            </w:pPr>
            <w:r>
              <w:rPr>
                <w:b/>
                <w:color w:val="231F20"/>
                <w:sz w:val="14"/>
              </w:rPr>
              <w:t>54</w:t>
            </w:r>
          </w:p>
        </w:tc>
      </w:tr>
      <w:tr>
        <w:trPr>
          <w:trHeight w:val="357" w:hRule="atLeast"/>
        </w:trPr>
        <w:tc>
          <w:tcPr>
            <w:tcW w:w="2067" w:type="dxa"/>
          </w:tcPr>
          <w:p>
            <w:pPr>
              <w:pStyle w:val="TableParagraph"/>
              <w:spacing w:line="140" w:lineRule="exact" w:before="75"/>
              <w:ind w:left="120" w:right="72" w:hanging="70"/>
              <w:rPr>
                <w:sz w:val="14"/>
              </w:rPr>
            </w:pPr>
            <w:r>
              <w:rPr>
                <w:color w:val="231F20"/>
                <w:sz w:val="14"/>
              </w:rPr>
              <w:t>Financial assets as a percentage of private consumption (1996)</w:t>
            </w:r>
          </w:p>
        </w:tc>
        <w:tc>
          <w:tcPr>
            <w:tcW w:w="498" w:type="dxa"/>
          </w:tcPr>
          <w:p>
            <w:pPr>
              <w:pStyle w:val="TableParagraph"/>
              <w:spacing w:before="1"/>
              <w:rPr>
                <w:sz w:val="17"/>
              </w:rPr>
            </w:pPr>
          </w:p>
          <w:p>
            <w:pPr>
              <w:pStyle w:val="TableParagraph"/>
              <w:spacing w:line="141" w:lineRule="exact"/>
              <w:ind w:right="192"/>
              <w:jc w:val="right"/>
              <w:rPr>
                <w:sz w:val="14"/>
              </w:rPr>
            </w:pPr>
            <w:r>
              <w:rPr>
                <w:color w:val="231F20"/>
                <w:sz w:val="14"/>
              </w:rPr>
              <w:t>285</w:t>
            </w:r>
          </w:p>
        </w:tc>
        <w:tc>
          <w:tcPr>
            <w:tcW w:w="630" w:type="dxa"/>
          </w:tcPr>
          <w:p>
            <w:pPr>
              <w:pStyle w:val="TableParagraph"/>
              <w:spacing w:before="1"/>
              <w:rPr>
                <w:sz w:val="17"/>
              </w:rPr>
            </w:pPr>
          </w:p>
          <w:p>
            <w:pPr>
              <w:pStyle w:val="TableParagraph"/>
              <w:spacing w:line="141" w:lineRule="exact"/>
              <w:ind w:left="176" w:right="203"/>
              <w:jc w:val="center"/>
              <w:rPr>
                <w:sz w:val="14"/>
              </w:rPr>
            </w:pPr>
            <w:r>
              <w:rPr>
                <w:color w:val="231F20"/>
                <w:sz w:val="14"/>
              </w:rPr>
              <w:t>404</w:t>
            </w:r>
          </w:p>
        </w:tc>
        <w:tc>
          <w:tcPr>
            <w:tcW w:w="610" w:type="dxa"/>
          </w:tcPr>
          <w:p>
            <w:pPr>
              <w:pStyle w:val="TableParagraph"/>
              <w:spacing w:before="1"/>
              <w:rPr>
                <w:sz w:val="17"/>
              </w:rPr>
            </w:pPr>
          </w:p>
          <w:p>
            <w:pPr>
              <w:pStyle w:val="TableParagraph"/>
              <w:spacing w:line="141" w:lineRule="exact"/>
              <w:ind w:right="172"/>
              <w:jc w:val="right"/>
              <w:rPr>
                <w:sz w:val="14"/>
              </w:rPr>
            </w:pPr>
            <w:r>
              <w:rPr>
                <w:color w:val="231F20"/>
                <w:sz w:val="14"/>
              </w:rPr>
              <w:t>437</w:t>
            </w:r>
          </w:p>
        </w:tc>
        <w:tc>
          <w:tcPr>
            <w:tcW w:w="435" w:type="dxa"/>
          </w:tcPr>
          <w:p>
            <w:pPr>
              <w:pStyle w:val="TableParagraph"/>
              <w:spacing w:before="1"/>
              <w:rPr>
                <w:sz w:val="17"/>
              </w:rPr>
            </w:pPr>
          </w:p>
          <w:p>
            <w:pPr>
              <w:pStyle w:val="TableParagraph"/>
              <w:spacing w:line="141" w:lineRule="exact"/>
              <w:ind w:right="47"/>
              <w:jc w:val="right"/>
              <w:rPr>
                <w:sz w:val="14"/>
              </w:rPr>
            </w:pPr>
            <w:r>
              <w:rPr>
                <w:color w:val="231F20"/>
                <w:sz w:val="14"/>
              </w:rPr>
              <w:t>433</w:t>
            </w:r>
          </w:p>
        </w:tc>
      </w:tr>
    </w:tbl>
    <w:p>
      <w:pPr>
        <w:spacing w:before="117"/>
        <w:ind w:left="170" w:right="0" w:firstLine="0"/>
        <w:jc w:val="left"/>
        <w:rPr>
          <w:sz w:val="12"/>
        </w:rPr>
      </w:pPr>
      <w:r>
        <w:rPr>
          <w:color w:val="231F20"/>
          <w:sz w:val="12"/>
        </w:rPr>
        <w:t>Sources: OECD </w:t>
      </w:r>
      <w:r>
        <w:rPr>
          <w:i/>
          <w:color w:val="231F20"/>
          <w:sz w:val="12"/>
        </w:rPr>
        <w:t>Financial Statistics </w:t>
      </w:r>
      <w:r>
        <w:rPr>
          <w:color w:val="231F20"/>
          <w:sz w:val="12"/>
        </w:rPr>
        <w:t>and ONS </w:t>
      </w:r>
      <w:r>
        <w:rPr>
          <w:i/>
          <w:color w:val="231F20"/>
          <w:sz w:val="12"/>
        </w:rPr>
        <w:t>Financial Statistics</w:t>
      </w:r>
      <w:r>
        <w:rPr>
          <w:color w:val="231F20"/>
          <w:sz w:val="12"/>
        </w:rPr>
        <w:t>.</w:t>
      </w:r>
    </w:p>
    <w:p>
      <w:pPr>
        <w:pStyle w:val="ListParagraph"/>
        <w:numPr>
          <w:ilvl w:val="0"/>
          <w:numId w:val="13"/>
        </w:numPr>
        <w:tabs>
          <w:tab w:pos="410" w:val="left" w:leader="none"/>
        </w:tabs>
        <w:spacing w:line="129" w:lineRule="exact" w:before="102" w:after="0"/>
        <w:ind w:left="409" w:right="0" w:hanging="241"/>
        <w:jc w:val="left"/>
        <w:rPr>
          <w:sz w:val="12"/>
        </w:rPr>
      </w:pPr>
      <w:r>
        <w:rPr>
          <w:color w:val="231F20"/>
          <w:sz w:val="12"/>
        </w:rPr>
        <w:t>France, Germany and Italy.</w:t>
      </w:r>
    </w:p>
    <w:p>
      <w:pPr>
        <w:pStyle w:val="ListParagraph"/>
        <w:numPr>
          <w:ilvl w:val="0"/>
          <w:numId w:val="13"/>
        </w:numPr>
        <w:tabs>
          <w:tab w:pos="411" w:val="left" w:leader="none"/>
        </w:tabs>
        <w:spacing w:line="129" w:lineRule="exact" w:before="0" w:after="0"/>
        <w:ind w:left="410" w:right="0" w:hanging="242"/>
        <w:jc w:val="left"/>
        <w:rPr>
          <w:sz w:val="12"/>
        </w:rPr>
      </w:pPr>
      <w:r>
        <w:rPr>
          <w:color w:val="231F20"/>
          <w:sz w:val="12"/>
        </w:rPr>
        <w:t>Based on insurance company balance sheets.</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2"/>
        <w:rPr>
          <w:sz w:val="13"/>
        </w:rPr>
      </w:pPr>
    </w:p>
    <w:p>
      <w:pPr>
        <w:pStyle w:val="Heading7"/>
        <w:spacing w:before="0"/>
        <w:ind w:left="186"/>
      </w:pPr>
      <w:r>
        <w:rPr>
          <w:color w:val="0093C1"/>
        </w:rPr>
        <w:t>Chart 2.4</w:t>
      </w:r>
    </w:p>
    <w:p>
      <w:pPr>
        <w:spacing w:line="249" w:lineRule="auto" w:before="10"/>
        <w:ind w:left="186" w:right="782" w:firstLine="0"/>
        <w:jc w:val="left"/>
        <w:rPr>
          <w:b/>
          <w:sz w:val="20"/>
        </w:rPr>
      </w:pPr>
      <w:r>
        <w:rPr>
          <w:b/>
          <w:color w:val="0093C1"/>
          <w:sz w:val="20"/>
        </w:rPr>
        <w:t>GfK survey balances on general and own economic situation</w:t>
      </w:r>
    </w:p>
    <w:p>
      <w:pPr>
        <w:tabs>
          <w:tab w:pos="2451" w:val="left" w:leader="none"/>
          <w:tab w:pos="3711" w:val="left" w:leader="none"/>
        </w:tabs>
        <w:spacing w:line="196" w:lineRule="auto" w:before="121"/>
        <w:ind w:left="235" w:right="715" w:firstLine="224"/>
        <w:jc w:val="left"/>
        <w:rPr>
          <w:sz w:val="12"/>
        </w:rPr>
      </w:pPr>
      <w:r>
        <w:rPr/>
        <w:pict>
          <v:group style="position:absolute;margin-left:60.194pt;margin-top:21.41128pt;width:143.75pt;height:135.950pt;mso-position-horizontal-relative:page;mso-position-vertical-relative:paragraph;z-index:-21622784" coordorigin="1204,428" coordsize="2875,2719">
            <v:line style="position:absolute" from="1214,1359" to="4068,1364" stroked="true" strokeweight=".5pt" strokecolor="#000000">
              <v:stroke dashstyle="solid"/>
            </v:line>
            <v:shape style="position:absolute;left:1203;top:1962;width:450;height:386" type="#_x0000_t75" stroked="false">
              <v:imagedata r:id="rId48" o:title=""/>
            </v:shape>
            <v:shape style="position:absolute;left:1643;top:438;width:1645;height:1900" coordorigin="1643,438" coordsize="1645,1900" path="m1643,2338l1719,1798m1719,1798l1785,2222m1785,2222l1861,2126m1861,2126l1927,1994m1927,1994l2006,1952m2006,1952l2070,1994m2070,1994l2148,1724m2148,1724l2215,1645m2215,1645l2290,1396m2290,1396l2357,1491m2357,1491l2432,1280m2432,1280l2499,1549m2499,1549l2575,1168m2575,1168l2641,1243m2641,1243l2717,1280m2717,1280l2783,1380m2783,1380l2862,724m2862,724l2925,512m2925,512l3004,592m3004,592l3067,438m3067,438l3146,512m3146,512l3213,650m3213,650l3288,1031e" filled="false" stroked="true" strokeweight="1pt" strokecolor="#522e91">
              <v:path arrowok="t"/>
              <v:stroke dashstyle="solid"/>
            </v:shape>
            <v:shape style="position:absolute;left:3278;top:676;width:447;height:613" type="#_x0000_t75" stroked="false">
              <v:imagedata r:id="rId49" o:title=""/>
            </v:shape>
            <v:shape style="position:absolute;left:3714;top:686;width:354;height:1726" coordorigin="3715,687" coordsize="354,1726" path="m3715,687l3781,1168m3781,1168l3860,1571m3860,1571l3923,1952m3923,1952l4002,1841m4002,1841l4068,2412e" filled="false" stroked="true" strokeweight="1pt" strokecolor="#522e91">
              <v:path arrowok="t"/>
              <v:stroke dashstyle="solid"/>
            </v:shape>
            <v:shape style="position:absolute;left:1213;top:1242;width:1648;height:1726" coordorigin="1214,1243" coordsize="1648,1726" path="m1214,2719l1293,2354m1293,2354l1359,2798m1359,2798l1435,2968m1435,2968l1501,2682m1501,2682l1577,2931m1577,2931l1643,2894m1643,2894l1719,2317m1719,2317l1785,2761m1785,2761l1861,2740m1861,2740l1927,2470m1927,2470l2006,2068m2006,2068l2070,2412m2070,2412l2148,2200m2148,2200l2215,2047m2215,2047l2290,1819m2290,1819l2357,2147m2357,2147l2432,1740m2432,1740l2499,2243m2499,2243l2575,1973m2575,1973l2641,1243m2641,1243l2717,1687m2717,1687l2783,2068m2783,2068l2862,1322e" filled="false" stroked="true" strokeweight="1pt" strokecolor="#ac6e90">
              <v:path arrowok="t"/>
              <v:stroke dashstyle="solid"/>
            </v:shape>
            <v:line style="position:absolute" from="2852,1325" to="2935,1325" stroked="true" strokeweight="1.265pt" strokecolor="#ac6e90">
              <v:stroke dashstyle="solid"/>
            </v:line>
            <v:shape style="position:absolute;left:2925;top:1073;width:572;height:768" coordorigin="2925,1073" coordsize="572,768" path="m2925,1322l3004,1184m3004,1184l3067,1089m3067,1089l3146,1073m3146,1073l3213,1110m3213,1110l3288,1703m3288,1703l3355,1841m3355,1841l3430,1433m3430,1433l3497,1666e" filled="false" stroked="true" strokeweight="1pt" strokecolor="#ac6e90">
              <v:path arrowok="t"/>
              <v:stroke dashstyle="solid"/>
            </v:shape>
            <v:line style="position:absolute" from="3487,1669" to="3582,1669" stroked="true" strokeweight="1.265pt" strokecolor="#ac6e90">
              <v:stroke dashstyle="solid"/>
            </v:line>
            <v:shape style="position:absolute;left:3572;top:1321;width:496;height:477" coordorigin="3572,1322" coordsize="496,477" path="m3572,1666l3639,1798m3639,1798l3715,1417m3715,1417l3781,1454m3781,1454l3860,1703m3860,1703l3923,1798m3923,1798l4002,1322m4002,1322l4068,1724e" filled="false" stroked="true" strokeweight="1pt" strokecolor="#ac6e90">
              <v:path arrowok="t"/>
              <v:stroke dashstyle="solid"/>
            </v:shape>
            <v:shape style="position:absolute;left:1213;top:3039;width:2854;height:103" coordorigin="1213,3040" coordsize="2854,103" path="m1213,3142l4067,3142m1214,3046l1214,3135m1640,3066l1640,3135m2061,3040l2061,3135m2501,3066l2501,3135m2927,3040l2927,3135m3354,3066l3354,3135m3780,3040l3780,3135e" filled="false" stroked="true" strokeweight=".5pt" strokecolor="#000000">
              <v:path arrowok="t"/>
              <v:stroke dashstyle="solid"/>
            </v:shape>
            <v:shape style="position:absolute;left:1673;top:544;width:1213;height:133" type="#_x0000_t202" filled="false" stroked="false">
              <v:textbox inset="0,0,0,0">
                <w:txbxContent>
                  <w:p>
                    <w:pPr>
                      <w:spacing w:line="133" w:lineRule="exact" w:before="0"/>
                      <w:ind w:left="0" w:right="0" w:firstLine="0"/>
                      <w:jc w:val="left"/>
                      <w:rPr>
                        <w:sz w:val="12"/>
                      </w:rPr>
                    </w:pPr>
                    <w:r>
                      <w:rPr>
                        <w:color w:val="231F20"/>
                        <w:sz w:val="12"/>
                      </w:rPr>
                      <w:t>General (left-hand scale)</w:t>
                    </w:r>
                  </w:p>
                </w:txbxContent>
              </v:textbox>
              <w10:wrap type="none"/>
            </v:shape>
            <v:shape style="position:absolute;left:2380;top:2248;width:954;height:253" type="#_x0000_t202" filled="false" stroked="false">
              <v:textbox inset="0,0,0,0">
                <w:txbxContent>
                  <w:p>
                    <w:pPr>
                      <w:spacing w:line="208" w:lineRule="auto" w:before="9"/>
                      <w:ind w:left="60" w:right="18" w:hanging="60"/>
                      <w:jc w:val="left"/>
                      <w:rPr>
                        <w:sz w:val="12"/>
                      </w:rPr>
                    </w:pPr>
                    <w:r>
                      <w:rPr>
                        <w:color w:val="231F20"/>
                        <w:sz w:val="12"/>
                      </w:rPr>
                      <w:t>Household-specific (right-hand scale)</w:t>
                    </w:r>
                  </w:p>
                </w:txbxContent>
              </v:textbox>
              <w10:wrap type="none"/>
            </v:shape>
            <w10:wrap type="none"/>
          </v:group>
        </w:pict>
      </w:r>
      <w:r>
        <w:rPr/>
        <w:pict>
          <v:line style="position:absolute;mso-position-horizontal-relative:page;mso-position-vertical-relative:paragraph;z-index:-21622272" from="52.337002pt,14.76928pt" to="55.670002pt,14.76928pt" stroked="true" strokeweight=".5pt" strokecolor="#231f20">
            <v:stroke dashstyle="solid"/>
            <w10:wrap type="none"/>
          </v:line>
        </w:pict>
      </w:r>
      <w:r>
        <w:rPr/>
        <w:pict>
          <v:line style="position:absolute;mso-position-horizontal-relative:page;mso-position-vertical-relative:paragraph;z-index:-21618176" from="208.337006pt,14.85328pt" to="211.670006pt,14.85328pt" stroked="true" strokeweight=".5pt" strokecolor="#231f20">
            <v:stroke dashstyle="solid"/>
            <w10:wrap type="none"/>
          </v:line>
        </w:pict>
      </w:r>
      <w:r>
        <w:rPr>
          <w:color w:val="231F20"/>
          <w:sz w:val="12"/>
        </w:rPr>
        <w:t>Percentage point balance</w:t>
        <w:tab/>
        <w:t>Percentage point balance </w:t>
      </w:r>
      <w:r>
        <w:rPr>
          <w:position w:val="1"/>
          <w:sz w:val="12"/>
        </w:rPr>
        <w:t>15</w:t>
        <w:tab/>
        <w:tab/>
      </w:r>
      <w:r>
        <w:rPr>
          <w:spacing w:val="-18"/>
          <w:sz w:val="12"/>
        </w:rPr>
        <w:t>6</w:t>
      </w:r>
    </w:p>
    <w:p>
      <w:pPr>
        <w:pStyle w:val="BodyText"/>
        <w:spacing w:before="7"/>
      </w:pPr>
    </w:p>
    <w:p>
      <w:pPr>
        <w:tabs>
          <w:tab w:pos="3711" w:val="left" w:leader="none"/>
        </w:tabs>
        <w:spacing w:before="0"/>
        <w:ind w:left="235" w:right="0" w:firstLine="0"/>
        <w:jc w:val="left"/>
        <w:rPr>
          <w:sz w:val="12"/>
        </w:rPr>
      </w:pPr>
      <w:r>
        <w:rPr/>
        <w:pict>
          <v:line style="position:absolute;mso-position-horizontal-relative:page;mso-position-vertical-relative:paragraph;z-index:-21621760" from="52.337002pt,5.026497pt" to="55.670002pt,5.026497pt" stroked="true" strokeweight=".5pt" strokecolor="#231f20">
            <v:stroke dashstyle="solid"/>
            <w10:wrap type="none"/>
          </v:line>
        </w:pict>
      </w:r>
      <w:r>
        <w:rPr/>
        <w:pict>
          <v:line style="position:absolute;mso-position-horizontal-relative:page;mso-position-vertical-relative:paragraph;z-index:-21617664" from="208.337006pt,5.109497pt" to="211.670006pt,5.109497pt" stroked="true" strokeweight=".5pt" strokecolor="#231f20">
            <v:stroke dashstyle="solid"/>
            <w10:wrap type="none"/>
          </v:line>
        </w:pict>
      </w:r>
      <w:r>
        <w:rPr>
          <w:position w:val="1"/>
          <w:sz w:val="12"/>
        </w:rPr>
        <w:t>10</w:t>
        <w:tab/>
      </w:r>
      <w:r>
        <w:rPr>
          <w:sz w:val="12"/>
        </w:rPr>
        <w:t>4</w:t>
      </w:r>
    </w:p>
    <w:p>
      <w:pPr>
        <w:pStyle w:val="BodyText"/>
        <w:spacing w:before="6"/>
        <w:rPr>
          <w:sz w:val="17"/>
        </w:rPr>
      </w:pPr>
    </w:p>
    <w:p>
      <w:pPr>
        <w:tabs>
          <w:tab w:pos="3711" w:val="left" w:leader="none"/>
        </w:tabs>
        <w:spacing w:line="92" w:lineRule="exact" w:before="0"/>
        <w:ind w:left="295" w:right="0" w:firstLine="0"/>
        <w:jc w:val="left"/>
        <w:rPr>
          <w:sz w:val="12"/>
        </w:rPr>
      </w:pPr>
      <w:r>
        <w:rPr>
          <w:position w:val="1"/>
          <w:sz w:val="12"/>
        </w:rPr>
        <w:t>5</w:t>
        <w:tab/>
      </w:r>
      <w:r>
        <w:rPr>
          <w:sz w:val="12"/>
        </w:rPr>
        <w:t>2</w:t>
      </w:r>
    </w:p>
    <w:p>
      <w:pPr>
        <w:tabs>
          <w:tab w:pos="3541" w:val="left" w:leader="none"/>
        </w:tabs>
        <w:spacing w:line="20" w:lineRule="exact"/>
        <w:ind w:left="421" w:right="0" w:firstLine="0"/>
        <w:rPr>
          <w:sz w:val="2"/>
        </w:rPr>
      </w:pPr>
      <w:r>
        <w:rPr>
          <w:sz w:val="2"/>
        </w:rPr>
        <w:pict>
          <v:group style="width:3.35pt;height:.5pt;mso-position-horizontal-relative:char;mso-position-vertical-relative:line" coordorigin="0,0" coordsize="67,10">
            <v:line style="position:absolute" from="0,5" to="67,5" stroked="true" strokeweight=".5pt" strokecolor="#231f20">
              <v:stroke dashstyle="solid"/>
            </v:line>
          </v:group>
        </w:pict>
      </w:r>
      <w:r>
        <w:rPr>
          <w:sz w:val="2"/>
        </w:rPr>
      </w:r>
      <w:r>
        <w:rPr>
          <w:sz w:val="2"/>
        </w:rPr>
        <w:tab/>
      </w:r>
      <w:r>
        <w:rPr>
          <w:sz w:val="2"/>
        </w:rPr>
        <w:pict>
          <v:group style="width:3.35pt;height:.5pt;mso-position-horizontal-relative:char;mso-position-vertical-relative:line" coordorigin="0,0" coordsize="67,10">
            <v:line style="position:absolute" from="0,5" to="67,5" stroked="true" strokeweight=".5pt" strokecolor="#231f20">
              <v:stroke dashstyle="solid"/>
            </v:line>
          </v:group>
        </w:pict>
      </w:r>
      <w:r>
        <w:rPr>
          <w:sz w:val="2"/>
        </w:rPr>
      </w:r>
    </w:p>
    <w:p>
      <w:pPr>
        <w:pStyle w:val="Heading4"/>
        <w:spacing w:line="242" w:lineRule="auto" w:before="227"/>
        <w:ind w:left="169" w:right="308"/>
      </w:pPr>
      <w:r>
        <w:rPr/>
        <w:br w:type="column"/>
      </w:r>
      <w:r>
        <w:rPr>
          <w:color w:val="231F20"/>
        </w:rPr>
        <w:t>expectations about lifetime, or permanent income, from both labour and capital. Recent consumption growth has been supported by a strong rise in income earned from employment. The National Accounts measure of real income from employment increased at an annual rate of around 5% in each of the past four quarters.  The nominal value of household net financial wealth had risen to a record level by 1998 Q2. </w:t>
      </w:r>
      <w:r>
        <w:rPr>
          <w:color w:val="231F20"/>
          <w:spacing w:val="-8"/>
        </w:rPr>
        <w:t>Two </w:t>
      </w:r>
      <w:r>
        <w:rPr>
          <w:color w:val="231F20"/>
        </w:rPr>
        <w:t>thirds of the </w:t>
      </w:r>
      <w:r>
        <w:rPr>
          <w:color w:val="231F20"/>
          <w:spacing w:val="-4"/>
        </w:rPr>
        <w:t>rise </w:t>
      </w:r>
      <w:r>
        <w:rPr>
          <w:color w:val="231F20"/>
        </w:rPr>
        <w:t>since 1995 has been accounted for by the rise in equity wealth (see Chart 2.3). Equities </w:t>
      </w:r>
      <w:r>
        <w:rPr>
          <w:color w:val="231F20"/>
          <w:spacing w:val="-3"/>
        </w:rPr>
        <w:t>have </w:t>
      </w:r>
      <w:r>
        <w:rPr>
          <w:color w:val="231F20"/>
        </w:rPr>
        <w:t>become an important part of household net financial wealth. By value, they accounted for 46% of total net financial and housing assets in 1997. That compares with a share of </w:t>
      </w:r>
      <w:hyperlink w:history="true" w:anchor="_bookmark0">
        <w:r>
          <w:rPr>
            <w:color w:val="231F20"/>
          </w:rPr>
          <w:t>16% in 1980. Section 1</w:t>
        </w:r>
      </w:hyperlink>
      <w:r>
        <w:rPr>
          <w:color w:val="231F20"/>
        </w:rPr>
        <w:t> discusses recent movements in equity</w:t>
      </w:r>
      <w:r>
        <w:rPr>
          <w:color w:val="231F20"/>
          <w:spacing w:val="-1"/>
        </w:rPr>
        <w:t> </w:t>
      </w:r>
      <w:r>
        <w:rPr>
          <w:color w:val="231F20"/>
        </w:rPr>
        <w:t>markets.</w:t>
      </w:r>
    </w:p>
    <w:p>
      <w:pPr>
        <w:pStyle w:val="BodyText"/>
        <w:spacing w:before="8"/>
        <w:rPr>
          <w:sz w:val="27"/>
        </w:rPr>
      </w:pPr>
    </w:p>
    <w:p>
      <w:pPr>
        <w:spacing w:line="242" w:lineRule="auto" w:before="1"/>
        <w:ind w:left="169" w:right="308" w:firstLine="0"/>
        <w:jc w:val="left"/>
        <w:rPr>
          <w:sz w:val="24"/>
        </w:rPr>
      </w:pPr>
      <w:r>
        <w:rPr>
          <w:color w:val="231F20"/>
          <w:sz w:val="24"/>
        </w:rPr>
        <w:t>The proportion of the household sector’s financial assets held in the form of equities is relatively high in the United Kingdom, though most are held indirectly, through pension and insurance funds (see Table 2.E). To the extent that the rise in financial wealth has supported consumption growth in the present recovery, the fall in equity prices since July could depress future consumption growth. But such changes typically take several quarters to have their full effect, so that past increases in net financial wealth should continue to underpin consumption growth in the near term.</w:t>
      </w:r>
    </w:p>
    <w:p>
      <w:pPr>
        <w:pStyle w:val="BodyText"/>
        <w:spacing w:before="3"/>
        <w:rPr>
          <w:sz w:val="27"/>
        </w:rPr>
      </w:pPr>
    </w:p>
    <w:p>
      <w:pPr>
        <w:spacing w:line="242" w:lineRule="auto" w:before="0"/>
        <w:ind w:left="169" w:right="163" w:firstLine="0"/>
        <w:jc w:val="left"/>
        <w:rPr>
          <w:sz w:val="24"/>
        </w:rPr>
      </w:pPr>
      <w:r>
        <w:rPr>
          <w:color w:val="231F20"/>
          <w:sz w:val="24"/>
        </w:rPr>
        <w:t>Consumption growth is likely to have been relatively robust in 1998 Q3, despite a fall in private car registrations. Retail sales volumes were 0.7% higher in 1998 Q3. That contrasts with information from both the Confederation of British Industry (CBI) Distributive Trades and the British Retail Consortium surveys, which had pointed to a significant slowdown in retail spending growth. And survey measures of consumer confidence became negative in the summer and have continued to deteriorate. The aggregate GfK consumer confidence index fell in October to its lowest level since</w:t>
      </w:r>
    </w:p>
    <w:p>
      <w:pPr>
        <w:spacing w:before="14"/>
        <w:ind w:left="169" w:right="0" w:firstLine="0"/>
        <w:jc w:val="left"/>
        <w:rPr>
          <w:sz w:val="24"/>
        </w:rPr>
      </w:pPr>
      <w:r>
        <w:rPr>
          <w:color w:val="231F20"/>
          <w:sz w:val="24"/>
        </w:rPr>
        <w:t>March 1996, reflecting concerns about the general</w:t>
      </w:r>
    </w:p>
    <w:p>
      <w:pPr>
        <w:spacing w:after="0"/>
        <w:jc w:val="left"/>
        <w:rPr>
          <w:sz w:val="24"/>
        </w:rPr>
        <w:sectPr>
          <w:type w:val="continuous"/>
          <w:pgSz w:w="11900" w:h="16840"/>
          <w:pgMar w:top="1220" w:bottom="280" w:left="620" w:right="520"/>
          <w:cols w:num="2" w:equalWidth="0">
            <w:col w:w="4489" w:space="321"/>
            <w:col w:w="5950"/>
          </w:cols>
        </w:sectPr>
      </w:pPr>
    </w:p>
    <w:p>
      <w:pPr>
        <w:spacing w:before="47"/>
        <w:ind w:left="143" w:right="0" w:firstLine="0"/>
        <w:jc w:val="center"/>
        <w:rPr>
          <w:sz w:val="16"/>
        </w:rPr>
      </w:pPr>
      <w:r>
        <w:rPr>
          <w:color w:val="231F20"/>
          <w:sz w:val="16"/>
        </w:rPr>
        <w:t>+</w:t>
      </w:r>
    </w:p>
    <w:p>
      <w:pPr>
        <w:spacing w:before="25"/>
        <w:ind w:left="217" w:right="161" w:firstLine="0"/>
        <w:jc w:val="center"/>
        <w:rPr>
          <w:sz w:val="16"/>
        </w:rPr>
      </w:pPr>
      <w:r>
        <w:rPr/>
        <w:pict>
          <v:group style="position:absolute;margin-left:52.337002pt;margin-top:5.149956pt;width:3.35pt;height:.5pt;mso-position-horizontal-relative:page;mso-position-vertical-relative:paragraph;z-index:15867392" coordorigin="1047,103" coordsize="67,10">
            <v:shape style="position:absolute;left:1046;top:108;width:67;height:2" coordorigin="1047,108" coordsize="67,0" path="m1113,108l1047,108e" filled="true" fillcolor="#ffffff" stroked="false">
              <v:path arrowok="t"/>
              <v:fill type="solid"/>
            </v:shape>
            <v:line style="position:absolute" from="1047,108" to="1113,108" stroked="true" strokeweight=".5pt" strokecolor="#231f20">
              <v:stroke dashstyle="solid"/>
            </v:line>
            <w10:wrap type="none"/>
          </v:group>
        </w:pict>
      </w:r>
      <w:r>
        <w:rPr>
          <w:sz w:val="12"/>
        </w:rPr>
        <w:t>0 </w:t>
      </w:r>
      <w:r>
        <w:rPr>
          <w:color w:val="231F20"/>
          <w:position w:val="-9"/>
          <w:sz w:val="16"/>
        </w:rPr>
        <w:t>_</w:t>
      </w:r>
    </w:p>
    <w:p>
      <w:pPr>
        <w:spacing w:before="114"/>
        <w:ind w:left="0" w:right="39" w:firstLine="0"/>
        <w:jc w:val="center"/>
        <w:rPr>
          <w:sz w:val="12"/>
        </w:rPr>
      </w:pPr>
      <w:r>
        <w:rPr/>
        <w:pict>
          <v:line style="position:absolute;mso-position-horizontal-relative:page;mso-position-vertical-relative:paragraph;z-index:15867904" from="52.337002pt,10.523768pt" to="55.670002pt,10.523768pt" stroked="true" strokeweight=".5pt" strokecolor="#231f20">
            <v:stroke dashstyle="solid"/>
            <w10:wrap type="none"/>
          </v:line>
        </w:pict>
      </w:r>
      <w:r>
        <w:rPr>
          <w:sz w:val="12"/>
        </w:rPr>
        <w:t>5</w:t>
      </w:r>
    </w:p>
    <w:p>
      <w:pPr>
        <w:pStyle w:val="BodyText"/>
        <w:rPr>
          <w:sz w:val="12"/>
        </w:rPr>
      </w:pPr>
    </w:p>
    <w:p>
      <w:pPr>
        <w:spacing w:before="73"/>
        <w:ind w:left="115" w:right="214" w:firstLine="0"/>
        <w:jc w:val="center"/>
        <w:rPr>
          <w:sz w:val="12"/>
        </w:rPr>
      </w:pPr>
      <w:r>
        <w:rPr/>
        <w:pict>
          <v:line style="position:absolute;mso-position-horizontal-relative:page;mso-position-vertical-relative:paragraph;z-index:15868416" from="52.337002pt,7.677969pt" to="55.670002pt,7.677969pt" stroked="true" strokeweight=".5pt" strokecolor="#231f20">
            <v:stroke dashstyle="solid"/>
            <w10:wrap type="none"/>
          </v:line>
        </w:pict>
      </w:r>
      <w:r>
        <w:rPr>
          <w:sz w:val="12"/>
        </w:rPr>
        <w:t>10</w:t>
      </w:r>
    </w:p>
    <w:p>
      <w:pPr>
        <w:pStyle w:val="BodyText"/>
        <w:rPr>
          <w:sz w:val="12"/>
        </w:rPr>
      </w:pPr>
    </w:p>
    <w:p>
      <w:pPr>
        <w:spacing w:before="89"/>
        <w:ind w:left="115" w:right="214" w:firstLine="0"/>
        <w:jc w:val="center"/>
        <w:rPr>
          <w:sz w:val="12"/>
        </w:rPr>
      </w:pPr>
      <w:r>
        <w:rPr/>
        <w:pict>
          <v:line style="position:absolute;mso-position-horizontal-relative:page;mso-position-vertical-relative:paragraph;z-index:15868928" from="52.337002pt,8.554759pt" to="55.670002pt,8.554759pt" stroked="true" strokeweight=".5pt" strokecolor="#231f20">
            <v:stroke dashstyle="solid"/>
            <w10:wrap type="none"/>
          </v:line>
        </w:pict>
      </w:r>
      <w:r>
        <w:rPr>
          <w:sz w:val="12"/>
        </w:rPr>
        <w:t>15</w:t>
      </w:r>
    </w:p>
    <w:p>
      <w:pPr>
        <w:pStyle w:val="BodyText"/>
        <w:spacing w:before="10"/>
        <w:rPr>
          <w:sz w:val="17"/>
        </w:rPr>
      </w:pPr>
    </w:p>
    <w:p>
      <w:pPr>
        <w:spacing w:before="0"/>
        <w:ind w:left="115" w:right="214" w:firstLine="0"/>
        <w:jc w:val="center"/>
        <w:rPr>
          <w:sz w:val="12"/>
        </w:rPr>
      </w:pPr>
      <w:r>
        <w:rPr/>
        <w:pict>
          <v:line style="position:absolute;mso-position-horizontal-relative:page;mso-position-vertical-relative:paragraph;z-index:15869440" from="52.337002pt,4.240364pt" to="55.670002pt,4.240364pt" stroked="true" strokeweight=".5pt" strokecolor="#231f20">
            <v:stroke dashstyle="solid"/>
            <w10:wrap type="none"/>
          </v:line>
        </w:pict>
      </w:r>
      <w:r>
        <w:rPr>
          <w:sz w:val="12"/>
        </w:rPr>
        <w:t>20</w:t>
      </w:r>
    </w:p>
    <w:p>
      <w:pPr>
        <w:pStyle w:val="BodyText"/>
        <w:rPr>
          <w:sz w:val="12"/>
        </w:rPr>
      </w:pPr>
    </w:p>
    <w:p>
      <w:pPr>
        <w:spacing w:line="130" w:lineRule="exact" w:before="90"/>
        <w:ind w:left="115" w:right="214" w:firstLine="0"/>
        <w:jc w:val="center"/>
        <w:rPr>
          <w:sz w:val="12"/>
        </w:rPr>
      </w:pPr>
      <w:r>
        <w:rPr/>
        <w:pict>
          <v:line style="position:absolute;mso-position-horizontal-relative:page;mso-position-vertical-relative:paragraph;z-index:15869952" from="51.669998pt,7.816559pt" to="55.002998pt,7.816559pt" stroked="true" strokeweight=".5pt" strokecolor="#231f20">
            <v:stroke dashstyle="solid"/>
            <w10:wrap type="none"/>
          </v:line>
        </w:pict>
      </w:r>
      <w:r>
        <w:rPr>
          <w:sz w:val="12"/>
        </w:rPr>
        <w:t>25</w:t>
      </w:r>
    </w:p>
    <w:p>
      <w:pPr>
        <w:spacing w:line="50" w:lineRule="exact" w:before="0"/>
        <w:ind w:left="0" w:right="0" w:firstLine="0"/>
        <w:jc w:val="right"/>
        <w:rPr>
          <w:sz w:val="12"/>
        </w:rPr>
      </w:pPr>
      <w:r>
        <w:rPr>
          <w:color w:val="231F20"/>
          <w:sz w:val="12"/>
        </w:rPr>
        <w:t>June</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line="58" w:lineRule="exact" w:before="92"/>
        <w:ind w:left="173" w:right="0" w:firstLine="0"/>
        <w:jc w:val="left"/>
        <w:rPr>
          <w:sz w:val="12"/>
        </w:rPr>
      </w:pPr>
      <w:r>
        <w:rPr>
          <w:color w:val="231F20"/>
          <w:sz w:val="12"/>
        </w:rPr>
        <w:t>Dec.</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line="58" w:lineRule="exact" w:before="92"/>
        <w:ind w:left="113" w:right="0" w:firstLine="0"/>
        <w:jc w:val="left"/>
        <w:rPr>
          <w:sz w:val="12"/>
        </w:rPr>
      </w:pPr>
      <w:r>
        <w:rPr>
          <w:color w:val="231F20"/>
          <w:sz w:val="12"/>
        </w:rPr>
        <w:t>June</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line="58" w:lineRule="exact" w:before="92"/>
        <w:ind w:left="165" w:right="0" w:firstLine="0"/>
        <w:jc w:val="left"/>
        <w:rPr>
          <w:sz w:val="12"/>
        </w:rPr>
      </w:pPr>
      <w:r>
        <w:rPr>
          <w:color w:val="231F20"/>
          <w:sz w:val="12"/>
        </w:rPr>
        <w:t>Dec.</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line="58" w:lineRule="exact" w:before="92"/>
        <w:ind w:left="178" w:right="0" w:firstLine="0"/>
        <w:jc w:val="left"/>
        <w:rPr>
          <w:sz w:val="12"/>
        </w:rPr>
      </w:pPr>
      <w:r>
        <w:rPr>
          <w:color w:val="231F20"/>
          <w:sz w:val="12"/>
        </w:rPr>
        <w:t>June</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line="58" w:lineRule="exact" w:before="92"/>
        <w:ind w:left="198" w:right="0" w:firstLine="0"/>
        <w:jc w:val="left"/>
        <w:rPr>
          <w:sz w:val="12"/>
        </w:rPr>
      </w:pPr>
      <w:r>
        <w:rPr>
          <w:color w:val="231F20"/>
          <w:sz w:val="12"/>
        </w:rPr>
        <w:t>Dec.</w:t>
      </w:r>
    </w:p>
    <w:p>
      <w:pPr>
        <w:spacing w:before="41"/>
        <w:ind w:left="756" w:right="0" w:firstLine="0"/>
        <w:jc w:val="left"/>
        <w:rPr>
          <w:sz w:val="16"/>
        </w:rPr>
      </w:pPr>
      <w:r>
        <w:rPr/>
        <w:br w:type="column"/>
      </w:r>
      <w:r>
        <w:rPr>
          <w:color w:val="231F20"/>
          <w:sz w:val="16"/>
        </w:rPr>
        <w:t>+</w:t>
      </w:r>
    </w:p>
    <w:p>
      <w:pPr>
        <w:spacing w:before="38"/>
        <w:ind w:left="756" w:right="0" w:firstLine="0"/>
        <w:jc w:val="left"/>
        <w:rPr>
          <w:sz w:val="12"/>
        </w:rPr>
      </w:pPr>
      <w:r>
        <w:rPr/>
        <w:pict>
          <v:line style="position:absolute;mso-position-horizontal-relative:page;mso-position-vertical-relative:paragraph;z-index:15871488" from="208.337006pt,5.122694pt" to="211.670006pt,5.122694pt" stroked="true" strokeweight=".5pt" strokecolor="#231f20">
            <v:stroke dashstyle="solid"/>
            <w10:wrap type="none"/>
          </v:line>
        </w:pict>
      </w:r>
      <w:r>
        <w:rPr>
          <w:color w:val="231F20"/>
          <w:position w:val="-8"/>
          <w:sz w:val="16"/>
        </w:rPr>
        <w:t>_</w:t>
      </w:r>
      <w:r>
        <w:rPr>
          <w:sz w:val="12"/>
        </w:rPr>
        <w:t>0</w:t>
      </w:r>
    </w:p>
    <w:p>
      <w:pPr>
        <w:spacing w:before="123"/>
        <w:ind w:left="0" w:right="38" w:firstLine="0"/>
        <w:jc w:val="right"/>
        <w:rPr>
          <w:sz w:val="12"/>
        </w:rPr>
      </w:pPr>
      <w:r>
        <w:rPr/>
        <w:pict>
          <v:line style="position:absolute;mso-position-horizontal-relative:page;mso-position-vertical-relative:paragraph;z-index:15872000" from="208.337006pt,10.714492pt" to="211.670006pt,10.714492pt" stroked="true" strokeweight=".5pt" strokecolor="#231f20">
            <v:stroke dashstyle="solid"/>
            <w10:wrap type="none"/>
          </v:line>
        </w:pict>
      </w:r>
      <w:r>
        <w:rPr>
          <w:sz w:val="12"/>
        </w:rPr>
        <w:t>2</w:t>
      </w:r>
    </w:p>
    <w:p>
      <w:pPr>
        <w:pStyle w:val="BodyText"/>
        <w:rPr>
          <w:sz w:val="12"/>
        </w:rPr>
      </w:pPr>
    </w:p>
    <w:p>
      <w:pPr>
        <w:spacing w:before="74"/>
        <w:ind w:left="0" w:right="38" w:firstLine="0"/>
        <w:jc w:val="right"/>
        <w:rPr>
          <w:sz w:val="12"/>
        </w:rPr>
      </w:pPr>
      <w:r>
        <w:rPr/>
        <w:pict>
          <v:line style="position:absolute;mso-position-horizontal-relative:page;mso-position-vertical-relative:paragraph;z-index:15872512" from="208.337006pt,7.467494pt" to="211.670006pt,7.467494pt" stroked="true" strokeweight=".5pt" strokecolor="#231f20">
            <v:stroke dashstyle="solid"/>
            <w10:wrap type="none"/>
          </v:line>
        </w:pict>
      </w:r>
      <w:r>
        <w:rPr>
          <w:sz w:val="12"/>
        </w:rPr>
        <w:t>4</w:t>
      </w:r>
    </w:p>
    <w:p>
      <w:pPr>
        <w:pStyle w:val="BodyText"/>
        <w:rPr>
          <w:sz w:val="12"/>
        </w:rPr>
      </w:pPr>
    </w:p>
    <w:p>
      <w:pPr>
        <w:spacing w:before="89"/>
        <w:ind w:left="0" w:right="38" w:firstLine="0"/>
        <w:jc w:val="right"/>
        <w:rPr>
          <w:sz w:val="12"/>
        </w:rPr>
      </w:pPr>
      <w:r>
        <w:rPr/>
        <w:pict>
          <v:line style="position:absolute;mso-position-horizontal-relative:page;mso-position-vertical-relative:paragraph;z-index:15873024" from="208.337006pt,8.294688pt" to="211.670006pt,8.294688pt" stroked="true" strokeweight=".5pt" strokecolor="#231f20">
            <v:stroke dashstyle="solid"/>
            <w10:wrap type="none"/>
          </v:line>
        </w:pict>
      </w:r>
      <w:r>
        <w:rPr>
          <w:sz w:val="12"/>
        </w:rPr>
        <w:t>6</w:t>
      </w:r>
    </w:p>
    <w:p>
      <w:pPr>
        <w:pStyle w:val="BodyText"/>
        <w:spacing w:before="10"/>
        <w:rPr>
          <w:sz w:val="17"/>
        </w:rPr>
      </w:pPr>
    </w:p>
    <w:p>
      <w:pPr>
        <w:spacing w:before="0"/>
        <w:ind w:left="0" w:right="38" w:firstLine="0"/>
        <w:jc w:val="right"/>
        <w:rPr>
          <w:sz w:val="12"/>
        </w:rPr>
      </w:pPr>
      <w:r>
        <w:rPr/>
        <w:pict>
          <v:line style="position:absolute;mso-position-horizontal-relative:page;mso-position-vertical-relative:paragraph;z-index:15873536" from="208.337006pt,3.979294pt" to="211.670006pt,3.979294pt" stroked="true" strokeweight=".5pt" strokecolor="#231f20">
            <v:stroke dashstyle="solid"/>
            <w10:wrap type="none"/>
          </v:line>
        </w:pict>
      </w:r>
      <w:r>
        <w:rPr>
          <w:sz w:val="12"/>
        </w:rPr>
        <w:t>8</w:t>
      </w:r>
    </w:p>
    <w:p>
      <w:pPr>
        <w:pStyle w:val="BodyText"/>
        <w:rPr>
          <w:sz w:val="12"/>
        </w:rPr>
      </w:pPr>
    </w:p>
    <w:p>
      <w:pPr>
        <w:spacing w:line="126" w:lineRule="exact" w:before="89"/>
        <w:ind w:left="780" w:right="0" w:firstLine="0"/>
        <w:jc w:val="left"/>
        <w:rPr>
          <w:sz w:val="12"/>
        </w:rPr>
      </w:pPr>
      <w:r>
        <w:rPr/>
        <w:pict>
          <v:line style="position:absolute;mso-position-horizontal-relative:page;mso-position-vertical-relative:paragraph;z-index:15874048" from="207.669998pt,7.505694pt" to="211.002998pt,7.505694pt" stroked="true" strokeweight=".5pt" strokecolor="#231f20">
            <v:stroke dashstyle="solid"/>
            <w10:wrap type="none"/>
          </v:line>
        </w:pict>
      </w:r>
      <w:r>
        <w:rPr>
          <w:sz w:val="12"/>
        </w:rPr>
        <w:t>10</w:t>
      </w:r>
    </w:p>
    <w:p>
      <w:pPr>
        <w:spacing w:line="47" w:lineRule="exact" w:before="0"/>
        <w:ind w:left="158" w:right="0" w:firstLine="0"/>
        <w:jc w:val="left"/>
        <w:rPr>
          <w:sz w:val="12"/>
        </w:rPr>
      </w:pPr>
      <w:r>
        <w:rPr>
          <w:color w:val="231F20"/>
          <w:sz w:val="12"/>
        </w:rPr>
        <w:t>June</w:t>
      </w:r>
    </w:p>
    <w:p>
      <w:pPr>
        <w:pStyle w:val="Heading4"/>
        <w:spacing w:line="246" w:lineRule="exact"/>
        <w:ind w:left="235"/>
      </w:pPr>
      <w:r>
        <w:rPr/>
        <w:br w:type="column"/>
      </w:r>
      <w:r>
        <w:rPr>
          <w:color w:val="231F20"/>
        </w:rPr>
        <w:t>economic situation. The proportion of respondents to</w:t>
      </w:r>
    </w:p>
    <w:p>
      <w:pPr>
        <w:spacing w:line="242" w:lineRule="auto" w:before="4"/>
        <w:ind w:left="235" w:right="249" w:firstLine="0"/>
        <w:jc w:val="left"/>
        <w:rPr>
          <w:sz w:val="24"/>
        </w:rPr>
      </w:pPr>
      <w:r>
        <w:rPr>
          <w:color w:val="231F20"/>
          <w:sz w:val="24"/>
        </w:rPr>
        <w:t>the GfK survey who think that now is a good time to make a major purchase also fell, to its lowest level since June 1996. But respondents were more optimistic about their own financial situation. Aggregating the responses to the questions relating to households’ own rather than general economic conditions indicates less of a downturn (see Chart 2.4). The less timely M</w:t>
      </w:r>
      <w:r>
        <w:rPr>
          <w:color w:val="231F20"/>
          <w:sz w:val="20"/>
        </w:rPr>
        <w:t>ORI </w:t>
      </w:r>
      <w:r>
        <w:rPr>
          <w:color w:val="231F20"/>
          <w:sz w:val="24"/>
        </w:rPr>
        <w:t>measure of</w:t>
      </w:r>
    </w:p>
    <w:p>
      <w:pPr>
        <w:spacing w:after="0" w:line="242" w:lineRule="auto"/>
        <w:jc w:val="left"/>
        <w:rPr>
          <w:sz w:val="24"/>
        </w:rPr>
        <w:sectPr>
          <w:type w:val="continuous"/>
          <w:pgSz w:w="11900" w:h="16840"/>
          <w:pgMar w:top="1220" w:bottom="280" w:left="620" w:right="520"/>
          <w:cols w:num="8" w:equalWidth="0">
            <w:col w:w="694" w:space="40"/>
            <w:col w:w="397" w:space="39"/>
            <w:col w:w="334" w:space="39"/>
            <w:col w:w="389" w:space="40"/>
            <w:col w:w="399" w:space="39"/>
            <w:col w:w="422" w:space="40"/>
            <w:col w:w="941" w:space="931"/>
            <w:col w:w="6016"/>
          </w:cols>
        </w:sectPr>
      </w:pPr>
    </w:p>
    <w:p>
      <w:pPr>
        <w:pStyle w:val="BodyText"/>
        <w:spacing w:before="4"/>
        <w:rPr>
          <w:sz w:val="11"/>
        </w:rPr>
      </w:pPr>
    </w:p>
    <w:p>
      <w:pPr>
        <w:tabs>
          <w:tab w:pos="1553" w:val="left" w:leader="none"/>
          <w:tab w:pos="2406" w:val="left" w:leader="none"/>
          <w:tab w:pos="3240" w:val="left" w:leader="none"/>
        </w:tabs>
        <w:spacing w:before="0"/>
        <w:ind w:left="666" w:right="0" w:firstLine="0"/>
        <w:jc w:val="left"/>
        <w:rPr>
          <w:sz w:val="12"/>
        </w:rPr>
      </w:pPr>
      <w:r>
        <w:rPr>
          <w:color w:val="231F20"/>
          <w:sz w:val="12"/>
        </w:rPr>
        <w:t>1995</w:t>
        <w:tab/>
        <w:t>96</w:t>
        <w:tab/>
        <w:t>97</w:t>
        <w:tab/>
        <w:t>98</w:t>
      </w:r>
    </w:p>
    <w:p>
      <w:pPr>
        <w:spacing w:before="99"/>
        <w:ind w:left="193" w:right="0" w:firstLine="0"/>
        <w:jc w:val="left"/>
        <w:rPr>
          <w:sz w:val="12"/>
        </w:rPr>
      </w:pPr>
      <w:r>
        <w:rPr>
          <w:color w:val="231F20"/>
          <w:sz w:val="12"/>
        </w:rPr>
        <w:t>Source: GfK.</w:t>
      </w:r>
    </w:p>
    <w:p>
      <w:pPr>
        <w:pStyle w:val="Heading4"/>
        <w:spacing w:line="242" w:lineRule="auto"/>
        <w:ind w:left="193" w:right="487"/>
        <w:jc w:val="both"/>
      </w:pPr>
      <w:r>
        <w:rPr/>
        <w:br w:type="column"/>
      </w:r>
      <w:r>
        <w:rPr>
          <w:color w:val="231F20"/>
        </w:rPr>
        <w:t>consumer confidence in the general economic situation fell further in September to -37%, its lowest level </w:t>
      </w:r>
      <w:r>
        <w:rPr>
          <w:color w:val="231F20"/>
          <w:spacing w:val="-4"/>
        </w:rPr>
        <w:t>since </w:t>
      </w:r>
      <w:r>
        <w:rPr>
          <w:color w:val="231F20"/>
        </w:rPr>
        <w:t>October 1992. Chart 2.5 shows that changes in</w:t>
      </w:r>
    </w:p>
    <w:p>
      <w:pPr>
        <w:spacing w:after="0" w:line="242" w:lineRule="auto"/>
        <w:jc w:val="both"/>
        <w:sectPr>
          <w:type w:val="continuous"/>
          <w:pgSz w:w="11900" w:h="16840"/>
          <w:pgMar w:top="1220" w:bottom="280" w:left="620" w:right="520"/>
          <w:cols w:num="2" w:equalWidth="0">
            <w:col w:w="3401" w:space="1386"/>
            <w:col w:w="5973"/>
          </w:cols>
        </w:sectPr>
      </w:pPr>
    </w:p>
    <w:p>
      <w:pPr>
        <w:pStyle w:val="BodyText"/>
        <w:rPr>
          <w:sz w:val="20"/>
        </w:rPr>
      </w:pPr>
    </w:p>
    <w:p>
      <w:pPr>
        <w:spacing w:after="0"/>
        <w:rPr>
          <w:sz w:val="20"/>
        </w:rPr>
        <w:sectPr>
          <w:pgSz w:w="11900" w:h="16840"/>
          <w:pgMar w:header="586" w:footer="597" w:top="780" w:bottom="780" w:left="620" w:right="520"/>
        </w:sectPr>
      </w:pPr>
    </w:p>
    <w:p>
      <w:pPr>
        <w:pStyle w:val="BodyText"/>
        <w:spacing w:before="6"/>
        <w:rPr>
          <w:sz w:val="20"/>
        </w:rPr>
      </w:pPr>
    </w:p>
    <w:p>
      <w:pPr>
        <w:pStyle w:val="Heading7"/>
        <w:spacing w:before="0"/>
        <w:ind w:left="202"/>
      </w:pPr>
      <w:bookmarkStart w:name="Investment demand" w:id="40"/>
      <w:bookmarkEnd w:id="40"/>
      <w:r>
        <w:rPr>
          <w:b w:val="0"/>
        </w:rPr>
      </w:r>
      <w:bookmarkStart w:name="_bookmark12" w:id="41"/>
      <w:bookmarkEnd w:id="41"/>
      <w:r>
        <w:rPr>
          <w:b w:val="0"/>
        </w:rPr>
      </w:r>
      <w:r>
        <w:rPr>
          <w:color w:val="0093C1"/>
        </w:rPr>
        <w:t>Chart 2.5</w:t>
      </w:r>
    </w:p>
    <w:p>
      <w:pPr>
        <w:spacing w:before="10"/>
        <w:ind w:left="202" w:right="0" w:firstLine="0"/>
        <w:jc w:val="left"/>
        <w:rPr>
          <w:b/>
          <w:sz w:val="20"/>
        </w:rPr>
      </w:pPr>
      <w:r>
        <w:rPr>
          <w:b/>
          <w:color w:val="0093C1"/>
          <w:sz w:val="20"/>
        </w:rPr>
        <w:t>Consumer confidence and household spending</w:t>
      </w:r>
    </w:p>
    <w:p>
      <w:pPr>
        <w:tabs>
          <w:tab w:pos="1986" w:val="left" w:leader="none"/>
          <w:tab w:pos="3747" w:val="right" w:leader="none"/>
        </w:tabs>
        <w:spacing w:line="180" w:lineRule="auto" w:before="218"/>
        <w:ind w:left="206" w:right="450" w:firstLine="169"/>
        <w:jc w:val="left"/>
        <w:rPr>
          <w:sz w:val="12"/>
        </w:rPr>
      </w:pPr>
      <w:r>
        <w:rPr/>
        <w:pict>
          <v:line style="position:absolute;mso-position-horizontal-relative:page;mso-position-vertical-relative:paragraph;z-index:-21611520" from="205.949005pt,18.755991pt" to="211.283005pt,18.755991pt" stroked="true" strokeweight=".5pt" strokecolor="#231f20">
            <v:stroke dashstyle="solid"/>
            <w10:wrap type="none"/>
          </v:line>
        </w:pict>
      </w:r>
      <w:r>
        <w:rPr/>
        <w:pict>
          <v:line style="position:absolute;mso-position-horizontal-relative:page;mso-position-vertical-relative:paragraph;z-index:-21610496" from="49.783001pt,18.598989pt" to="55.116001pt,18.598989pt" stroked="true" strokeweight=".5pt" strokecolor="#231f20">
            <v:stroke dashstyle="solid"/>
            <w10:wrap type="none"/>
          </v:line>
        </w:pict>
      </w:r>
      <w:r>
        <w:rPr>
          <w:sz w:val="12"/>
        </w:rPr>
        <w:t>Percentage</w:t>
      </w:r>
      <w:r>
        <w:rPr>
          <w:spacing w:val="-1"/>
          <w:sz w:val="12"/>
        </w:rPr>
        <w:t> </w:t>
      </w:r>
      <w:r>
        <w:rPr>
          <w:sz w:val="12"/>
        </w:rPr>
        <w:t>point</w:t>
      </w:r>
      <w:r>
        <w:rPr>
          <w:spacing w:val="-1"/>
          <w:sz w:val="12"/>
        </w:rPr>
        <w:t> </w:t>
      </w:r>
      <w:r>
        <w:rPr>
          <w:sz w:val="12"/>
        </w:rPr>
        <w:t>balance</w:t>
        <w:tab/>
        <w:t>Percentage change on year earlier 40</w:t>
        <w:tab/>
        <w:tab/>
      </w:r>
      <w:r>
        <w:rPr>
          <w:position w:val="2"/>
          <w:sz w:val="12"/>
        </w:rPr>
        <w:t>12</w:t>
      </w:r>
    </w:p>
    <w:p>
      <w:pPr>
        <w:spacing w:line="208" w:lineRule="auto" w:before="55"/>
        <w:ind w:left="2366" w:right="1047" w:hanging="60"/>
        <w:jc w:val="left"/>
        <w:rPr>
          <w:sz w:val="12"/>
        </w:rPr>
      </w:pPr>
      <w:r>
        <w:rPr/>
        <w:pict>
          <v:group style="position:absolute;margin-left:47.068001pt;margin-top:15.165373pt;width:164.25pt;height:111.45pt;mso-position-horizontal-relative:page;mso-position-vertical-relative:paragraph;z-index:-21612032" coordorigin="941,303" coordsize="3285,2229">
            <v:line style="position:absolute" from="1261,1692" to="1261,2232" stroked="true" strokeweight="2.989pt" strokecolor="#faab54">
              <v:stroke dashstyle="solid"/>
            </v:line>
            <v:shape style="position:absolute;left:1281;top:2119;width:80;height:209" coordorigin="1281,2120" coordsize="80,209" path="m1281,2222l1321,2329m1321,2329l1361,2120e" filled="false" stroked="true" strokeweight="1pt" strokecolor="#faab54">
              <v:path arrowok="t"/>
              <v:stroke dashstyle="solid"/>
            </v:shape>
            <v:line style="position:absolute" from="1373,1848" to="1373,2130" stroked="true" strokeweight="2.224pt" strokecolor="#faab54">
              <v:stroke dashstyle="solid"/>
            </v:line>
            <v:shape style="position:absolute;left:1385;top:1525;width:196;height:332" coordorigin="1385,1526" coordsize="196,332" path="m1385,1858l1425,1804m1425,1804l1465,1772m1465,1772l1502,1546m1502,1546l1541,1579m1541,1579l1581,1526e" filled="false" stroked="true" strokeweight="1pt" strokecolor="#faab54">
              <v:path arrowok="t"/>
              <v:stroke dashstyle="solid"/>
            </v:shape>
            <v:line style="position:absolute" from="1593,1221" to="1593,1536" stroked="true" strokeweight="2.224pt" strokecolor="#faab54">
              <v:stroke dashstyle="solid"/>
            </v:line>
            <v:line style="position:absolute" from="1626,717" to="1626,1241" stroked="true" strokeweight="2.989pt" strokecolor="#faab54">
              <v:stroke dashstyle="solid"/>
            </v:line>
            <v:line style="position:absolute" from="1665,717" to="1665,1188" stroked="true" strokeweight="2.989pt" strokecolor="#faab54">
              <v:stroke dashstyle="solid"/>
            </v:line>
            <v:shape style="position:absolute;left:1685;top:1091;width:77;height:87" coordorigin="1685,1092" coordsize="77,87" path="m1685,1178l1725,1092m1725,1092l1762,1129e" filled="false" stroked="true" strokeweight="1pt" strokecolor="#faab54">
              <v:path arrowok="t"/>
              <v:stroke dashstyle="solid"/>
            </v:shape>
            <v:line style="position:absolute" from="1782,701" to="1782,1139" stroked="true" strokeweight="2.989pt" strokecolor="#faab54">
              <v:stroke dashstyle="solid"/>
            </v:line>
            <v:line style="position:absolute" from="1815,701" to="1815,1102" stroked="true" strokeweight="2.377pt" strokecolor="#faab54">
              <v:stroke dashstyle="solid"/>
            </v:line>
            <v:shape style="position:absolute;left:1829;top:448;width:701;height:939" coordorigin="1829,448" coordsize="701,939" path="m1829,1092l1866,1022m1866,1022l1906,829m1906,829l1945,1092m1945,1092l1985,1284m1985,1284l2022,1387m2022,1387l2049,1354m2049,1354l2089,1370m2089,1370l2126,1284m2126,1284l2166,1161m2166,1161l2206,1092m2206,1092l2245,1198m2245,1198l2270,1268m2270,1268l2310,1145m2310,1145l2349,780m2349,780l2386,448m2386,448l2426,641m2426,641l2466,711m2466,711l2490,657m2490,657l2530,641e" filled="false" stroked="true" strokeweight="1pt" strokecolor="#faab54">
              <v:path arrowok="t"/>
              <v:stroke dashstyle="solid"/>
            </v:shape>
            <v:line style="position:absolute" from="2550,631" to="2550,1139" stroked="true" strokeweight="2.989pt" strokecolor="#faab54">
              <v:stroke dashstyle="solid"/>
            </v:line>
            <v:shape style="position:absolute;left:2559;top:1118;width:397;height:664" type="#_x0000_t75" stroked="false">
              <v:imagedata r:id="rId50" o:title=""/>
            </v:shape>
            <v:line style="position:absolute" from="2958,910" to="2958,1347" stroked="true" strokeweight="2.224pt" strokecolor="#faab54">
              <v:stroke dashstyle="solid"/>
            </v:line>
            <v:shape style="position:absolute;left:2970;top:587;width:224;height:1045" coordorigin="2971,588" coordsize="224,1045" path="m2971,920l3010,780m3010,780l3050,952m3050,952l3090,780m3090,780l3127,588m3127,588l3166,1526m3166,1526l3194,1632e" filled="false" stroked="true" strokeweight="1pt" strokecolor="#faab54">
              <v:path arrowok="t"/>
              <v:stroke dashstyle="solid"/>
            </v:shape>
            <v:line style="position:absolute" from="3212,1237" to="3212,1642" stroked="true" strokeweight="2.836pt" strokecolor="#faab54">
              <v:stroke dashstyle="solid"/>
            </v:line>
            <v:line style="position:absolute" from="3251,787" to="3251,1257" stroked="true" strokeweight="2.989pt" strokecolor="#faab54">
              <v:stroke dashstyle="solid"/>
            </v:line>
            <v:shape style="position:absolute;left:3260;top:786;width:581;height:578" type="#_x0000_t75" stroked="false">
              <v:imagedata r:id="rId51" o:title=""/>
            </v:shape>
            <v:shape style="position:absolute;left:3830;top:395;width:181;height:611" coordorigin="3831,395" coordsize="181,611" path="m3831,850l3855,395m3855,395l3895,674m3895,674l3935,883m3935,883l3974,829m3974,829l4011,1006e" filled="false" stroked="true" strokeweight="1pt" strokecolor="#faab54">
              <v:path arrowok="t"/>
              <v:stroke dashstyle="solid"/>
            </v:shape>
            <v:line style="position:absolute" from="4031,996" to="4031,1556" stroked="true" strokeweight="2.989pt" strokecolor="#faab54">
              <v:stroke dashstyle="solid"/>
            </v:line>
            <v:shape style="position:absolute;left:1165;top:534;width:77;height:488" coordorigin="1165,534" coordsize="77,488" path="m1165,1022l1205,674m1205,674l1242,534e" filled="false" stroked="true" strokeweight="1pt" strokecolor="#008256">
              <v:path arrowok="t"/>
              <v:stroke dashstyle="solid"/>
            </v:shape>
            <v:line style="position:absolute" from="1261,524" to="1261,1085" stroked="true" strokeweight="2.989pt" strokecolor="#008256">
              <v:stroke dashstyle="solid"/>
            </v:line>
            <v:shape style="position:absolute;left:1281;top:587;width:1445;height:730" coordorigin="1281,588" coordsize="1445,730" path="m1281,1075l1321,1145m1321,1145l1361,1108m1361,1108l1385,1198m1385,1198l1425,1301m1425,1301l1465,1284m1465,1284l1502,1231m1502,1231l1541,1198m1541,1198l1581,1284m1581,1284l1606,1317m1606,1317l1645,1038m1645,1038l1685,866m1685,866l1725,936m1725,936l1762,952m1762,952l1802,936m1802,936l1829,899m1829,899l1866,883m1866,883l1906,850m1906,850l1945,813m1945,813l1985,989m1985,989l2022,936m2022,936l2049,1059m2049,1059l2089,1022m2089,1022l2126,1006m2126,1006l2166,920m2166,920l2206,1006m2206,1006l2245,936m2245,936l2270,866m2270,866l2310,850m2310,850l2349,797m2349,797l2386,604m2386,604l2426,588m2426,588l2466,641m2466,641l2490,645m2490,641l2530,588m2530,588l2570,711m2570,711l2606,920m2606,920l2646,1075m2646,1075l2686,1129m2686,1129l2726,1145e" filled="false" stroked="true" strokeweight="1pt" strokecolor="#008256">
              <v:path arrowok="t"/>
              <v:stroke dashstyle="solid"/>
            </v:shape>
            <v:line style="position:absolute" from="2738,1135" to="2738,1397" stroked="true" strokeweight="2.224pt" strokecolor="#008256">
              <v:stroke dashstyle="solid"/>
            </v:line>
            <v:shape style="position:absolute;left:2750;top:673;width:1185;height:783" coordorigin="2750,674" coordsize="1185,783" path="m2750,1387l2790,1370m2790,1370l2830,1456m2830,1456l2867,1387m2867,1387l2906,1354m2906,1354l2946,1317m2946,1317l2971,1215m2971,1215l3010,1108m3010,1108l3050,1059m3050,1059l3090,1145m3090,1145l3127,899m3127,899l3166,1161m3166,1161l3194,1387m3194,1387l3231,1145m3231,1145l3271,1038m3271,1038l3310,969m3310,969l3350,1092m3350,1092l3387,1059m3387,1059l3414,1129m3414,1129l3454,989m3454,989l3491,1059m3491,1059l3531,1038m3531,1038l3570,1075m3570,1075l3610,1038m3610,1038l3635,1108m3635,1108l3674,1059m3674,1059l3714,1038m3714,1038l3751,936m3751,936l3791,920m3791,920l3831,829m3831,829l3855,760m3855,760l3895,674m3895,674l3935,797e" filled="false" stroked="true" strokeweight="1pt" strokecolor="#008256">
              <v:path arrowok="t"/>
              <v:stroke dashstyle="solid"/>
            </v:shape>
            <v:line style="position:absolute" from="3925,799" to="3984,799" stroked="true" strokeweight="1.205pt" strokecolor="#008256">
              <v:stroke dashstyle="solid"/>
            </v:line>
            <v:shape style="position:absolute;left:3974;top:780;width:77;height:173" coordorigin="3974,780" coordsize="77,173" path="m3974,797l4011,780m4011,780l4051,952e" filled="false" stroked="true" strokeweight="1pt" strokecolor="#008256">
              <v:path arrowok="t"/>
              <v:stroke dashstyle="solid"/>
            </v:shape>
            <v:shape style="position:absolute;left:1165;top:432;width:221;height:2037" coordorigin="1165,432" coordsize="221,2037" path="m1165,1387l1205,432m1205,432l1242,1493m1242,1493l1281,1198m1281,1198l1321,1178m1321,1178l1361,2468m1361,2468l1385,1596e" filled="false" stroked="true" strokeweight="1pt" strokecolor="#0066a5">
              <v:path arrowok="t"/>
              <v:stroke dashstyle="solid"/>
            </v:shape>
            <v:line style="position:absolute" from="1405,1586" to="1405,2109" stroked="true" strokeweight="2.989pt" strokecolor="#0066a5">
              <v:stroke dashstyle="solid"/>
            </v:line>
            <v:line style="position:absolute" from="1415,2101" to="1475,2101" stroked="true" strokeweight="1.205pt" strokecolor="#0066a5">
              <v:stroke dashstyle="solid"/>
            </v:line>
            <v:line style="position:absolute" from="1483,1676" to="1483,2109" stroked="true" strokeweight="2.836pt" strokecolor="#0066a5">
              <v:stroke dashstyle="solid"/>
            </v:line>
            <v:shape style="position:absolute;left:1501;top:1648;width:80;height:242" coordorigin="1502,1649" coordsize="80,242" path="m1502,1686l1541,1890m1541,1890l1581,1649e" filled="false" stroked="true" strokeweight="1pt" strokecolor="#0066a5">
              <v:path arrowok="t"/>
              <v:stroke dashstyle="solid"/>
            </v:shape>
            <v:line style="position:absolute" from="1593,1639" to="1593,1900" stroked="true" strokeweight="2.224pt" strokecolor="#0066a5">
              <v:stroke dashstyle="solid"/>
            </v:line>
            <v:shape style="position:absolute;left:1605;top:1038;width:340;height:853" coordorigin="1606,1038" coordsize="340,853" path="m1606,1890l1645,1874m1645,1874l1685,1596m1685,1596l1725,1407m1725,1407l1762,1092m1762,1092l1802,1038m1802,1038l1829,1042m1829,1038l1866,1215m1866,1215l1906,1456m1906,1456l1945,1387e" filled="false" stroked="true" strokeweight="1pt" strokecolor="#0066a5">
              <v:path arrowok="t"/>
              <v:stroke dashstyle="solid"/>
            </v:shape>
            <v:line style="position:absolute" from="1965,1377" to="1965,1798" stroked="true" strokeweight="2.99pt" strokecolor="#0066a5">
              <v:stroke dashstyle="solid"/>
            </v:line>
            <v:shape style="position:absolute;left:1985;top:1386;width:105;height:402" coordorigin="1985,1387" coordsize="105,402" path="m1985,1788l2022,1509m2022,1509l2049,1387m2049,1387l2089,1407e" filled="false" stroked="true" strokeweight="1pt" strokecolor="#0066a5">
              <v:path arrowok="t"/>
              <v:stroke dashstyle="solid"/>
            </v:shape>
            <v:line style="position:absolute" from="2108,1028" to="2108,1417" stroked="true" strokeweight="2.836pt" strokecolor="#0066a5">
              <v:stroke dashstyle="solid"/>
            </v:line>
            <v:shape style="position:absolute;left:2125;top:571;width:561;height:607" coordorigin="2126,571" coordsize="561,607" path="m2126,1038l2166,1108m2166,1108l2206,866m2206,866l2245,604m2245,604l2270,727m2270,727l2310,829m2310,829l2349,1075m2349,1075l2386,1178m2386,1178l2426,989m2426,989l2466,727m2466,727l2490,571m2490,571l2530,674m2530,674l2570,588m2570,588l2606,727m2606,727l2646,1022m2646,1022l2686,1108e" filled="false" stroked="true" strokeweight="1pt" strokecolor="#0066a5">
              <v:path arrowok="t"/>
              <v:stroke dashstyle="solid"/>
            </v:shape>
            <v:line style="position:absolute" from="2706,1098" to="2706,1536" stroked="true" strokeweight="2.989pt" strokecolor="#0066a5">
              <v:stroke dashstyle="solid"/>
            </v:line>
            <v:shape style="position:absolute;left:2715;top:1515;width:385;height:754" type="#_x0000_t75" stroked="false">
              <v:imagedata r:id="rId52" o:title=""/>
            </v:shape>
            <v:line style="position:absolute" from="3108,1708" to="3108,2130" stroked="true" strokeweight="2.836pt" strokecolor="#0066a5">
              <v:stroke dashstyle="solid"/>
            </v:line>
            <v:shape style="position:absolute;left:3126;top:1058;width:885;height:660" coordorigin="3127,1059" coordsize="885,660" path="m3127,1718l3166,1665m3166,1665l3194,1546m3194,1546l3231,1407m3231,1407l3271,1579m3271,1579l3310,1407m3310,1407l3350,1370m3350,1370l3387,1337m3387,1337l3414,1342m3414,1337l3454,1477m3454,1477l3491,1440m3491,1440l3531,1579m3531,1579l3570,1546m3570,1546l3610,1616m3610,1616l3635,1563m3635,1563l3674,1301m3674,1301l3714,1268m3714,1268l3751,1198m3751,1198l3791,1178m3791,1178l3831,1268m3831,1268l3855,1092m3855,1092l3895,1129m3895,1129l3935,1059m3935,1059l3974,1161m3974,1161l4011,1387e" filled="false" stroked="true" strokeweight="1pt" strokecolor="#0066a5">
              <v:path arrowok="t"/>
              <v:stroke dashstyle="solid"/>
            </v:shape>
            <v:shape style="position:absolute;left:995;top:393;width:3230;height:1923" coordorigin="996,394" coordsize="3230,1923" path="m4119,397l4226,397m4119,892l4226,892m4119,1362l4226,1362m4119,1823l4226,1823m4119,2316l4226,2316m996,394l1102,394m996,889l1102,889m996,1359l1102,1359m996,1820l1102,1820m996,2313l1102,2313e" filled="false" stroked="true" strokeweight=".5pt" strokecolor="#231f20">
              <v:path arrowok="t"/>
              <v:stroke dashstyle="solid"/>
            </v:shape>
            <v:line style="position:absolute" from="3466,308" to="3586,955" stroked="true" strokeweight=".5pt" strokecolor="#000000">
              <v:stroke dashstyle="solid"/>
            </v:line>
            <v:shape style="position:absolute;left:3558;top:933;width:50;height:88" coordorigin="3559,934" coordsize="50,88" path="m3608,934l3559,943,3568,957,3574,968,3599,1022,3599,1013,3599,1002,3600,990,3601,976,3602,964,3608,934xe" filled="true" fillcolor="#000000" stroked="false">
              <v:path arrowok="t"/>
              <v:fill type="solid"/>
            </v:shape>
            <v:line style="position:absolute" from="2540,1299" to="2266,1946" stroked="true" strokeweight=".5pt" strokecolor="#000000">
              <v:stroke dashstyle="solid"/>
            </v:line>
            <v:shape style="position:absolute;left:2510;top:1236;width:57;height:88" coordorigin="2510,1237" coordsize="57,88" path="m2566,1237l2510,1305,2556,1324,2562,1256,2564,1245,2566,1237xe" filled="true" fillcolor="#000000" stroked="false">
              <v:path arrowok="t"/>
              <v:fill type="solid"/>
            </v:shape>
            <v:shape style="position:absolute;left:941;top:542;width:111;height:628" type="#_x0000_t202" filled="false" stroked="false">
              <v:textbox inset="0,0,0,0">
                <w:txbxContent>
                  <w:p>
                    <w:pPr>
                      <w:spacing w:line="177" w:lineRule="exact" w:before="0"/>
                      <w:ind w:left="0" w:right="0" w:firstLine="0"/>
                      <w:jc w:val="left"/>
                      <w:rPr>
                        <w:sz w:val="16"/>
                      </w:rPr>
                    </w:pPr>
                    <w:r>
                      <w:rPr>
                        <w:color w:val="231F20"/>
                        <w:sz w:val="16"/>
                      </w:rPr>
                      <w:t>+</w:t>
                    </w:r>
                  </w:p>
                  <w:p>
                    <w:pPr>
                      <w:spacing w:line="240" w:lineRule="auto" w:before="1"/>
                      <w:rPr>
                        <w:sz w:val="23"/>
                      </w:rPr>
                    </w:pPr>
                  </w:p>
                  <w:p>
                    <w:pPr>
                      <w:spacing w:before="0"/>
                      <w:ind w:left="0" w:right="0" w:firstLine="0"/>
                      <w:jc w:val="left"/>
                      <w:rPr>
                        <w:sz w:val="16"/>
                      </w:rPr>
                    </w:pPr>
                    <w:r>
                      <w:rPr>
                        <w:color w:val="231F20"/>
                        <w:sz w:val="16"/>
                      </w:rPr>
                      <w:t>–</w:t>
                    </w:r>
                  </w:p>
                </w:txbxContent>
              </v:textbox>
              <w10:wrap type="none"/>
            </v:shape>
            <v:shape style="position:absolute;left:1693;top:1968;width:1745;height:564" type="#_x0000_t202" filled="false" stroked="false">
              <v:textbox inset="0,0,0,0">
                <w:txbxContent>
                  <w:p>
                    <w:pPr>
                      <w:spacing w:line="133" w:lineRule="exact" w:before="0"/>
                      <w:ind w:left="0" w:right="0" w:firstLine="0"/>
                      <w:jc w:val="left"/>
                      <w:rPr>
                        <w:sz w:val="12"/>
                      </w:rPr>
                    </w:pPr>
                    <w:r>
                      <w:rPr>
                        <w:sz w:val="12"/>
                      </w:rPr>
                      <w:t>MORI (left-hand scale)</w:t>
                    </w:r>
                  </w:p>
                  <w:p>
                    <w:pPr>
                      <w:spacing w:line="240" w:lineRule="auto" w:before="2"/>
                      <w:rPr>
                        <w:sz w:val="16"/>
                      </w:rPr>
                    </w:pPr>
                  </w:p>
                  <w:p>
                    <w:pPr>
                      <w:spacing w:line="208" w:lineRule="auto" w:before="0"/>
                      <w:ind w:left="801" w:right="18" w:hanging="60"/>
                      <w:jc w:val="left"/>
                      <w:rPr>
                        <w:sz w:val="12"/>
                      </w:rPr>
                    </w:pPr>
                    <w:r>
                      <w:rPr>
                        <w:sz w:val="12"/>
                      </w:rPr>
                      <w:t>Household spending (right-hand scale)</w:t>
                    </w:r>
                  </w:p>
                </w:txbxContent>
              </v:textbox>
              <w10:wrap type="none"/>
            </v:shape>
            <w10:wrap type="none"/>
          </v:group>
        </w:pict>
      </w:r>
      <w:r>
        <w:rPr>
          <w:color w:val="231F20"/>
          <w:sz w:val="12"/>
        </w:rPr>
        <w:t>GfK/Gallup (a) (left-hand scale)</w:t>
      </w:r>
    </w:p>
    <w:p>
      <w:pPr>
        <w:tabs>
          <w:tab w:pos="3687" w:val="left" w:leader="none"/>
        </w:tabs>
        <w:spacing w:before="19"/>
        <w:ind w:left="206" w:right="0" w:firstLine="0"/>
        <w:jc w:val="left"/>
        <w:rPr>
          <w:sz w:val="12"/>
        </w:rPr>
      </w:pPr>
      <w:r>
        <w:rPr>
          <w:sz w:val="12"/>
        </w:rPr>
        <w:t>20</w:t>
        <w:tab/>
      </w:r>
      <w:r>
        <w:rPr>
          <w:position w:val="2"/>
          <w:sz w:val="12"/>
        </w:rPr>
        <w:t>9</w:t>
      </w:r>
    </w:p>
    <w:p>
      <w:pPr>
        <w:pStyle w:val="BodyText"/>
        <w:rPr>
          <w:sz w:val="14"/>
        </w:rPr>
      </w:pPr>
    </w:p>
    <w:p>
      <w:pPr>
        <w:pStyle w:val="BodyText"/>
        <w:spacing w:before="3"/>
        <w:rPr>
          <w:sz w:val="14"/>
        </w:rPr>
      </w:pPr>
    </w:p>
    <w:p>
      <w:pPr>
        <w:tabs>
          <w:tab w:pos="3687" w:val="left" w:leader="none"/>
        </w:tabs>
        <w:spacing w:before="0"/>
        <w:ind w:left="266" w:right="0" w:firstLine="0"/>
        <w:jc w:val="left"/>
        <w:rPr>
          <w:sz w:val="12"/>
        </w:rPr>
      </w:pPr>
      <w:r>
        <w:rPr>
          <w:sz w:val="12"/>
        </w:rPr>
        <w:t>0</w:t>
        <w:tab/>
      </w:r>
      <w:r>
        <w:rPr>
          <w:position w:val="2"/>
          <w:sz w:val="12"/>
        </w:rPr>
        <w:t>6</w:t>
      </w:r>
    </w:p>
    <w:p>
      <w:pPr>
        <w:pStyle w:val="BodyText"/>
        <w:rPr>
          <w:sz w:val="14"/>
        </w:rPr>
      </w:pPr>
    </w:p>
    <w:p>
      <w:pPr>
        <w:pStyle w:val="BodyText"/>
        <w:spacing w:before="3"/>
        <w:rPr>
          <w:sz w:val="13"/>
        </w:rPr>
      </w:pPr>
    </w:p>
    <w:p>
      <w:pPr>
        <w:tabs>
          <w:tab w:pos="3480" w:val="left" w:leader="none"/>
        </w:tabs>
        <w:spacing w:before="0"/>
        <w:ind w:left="0" w:right="450" w:firstLine="0"/>
        <w:jc w:val="right"/>
        <w:rPr>
          <w:sz w:val="12"/>
        </w:rPr>
      </w:pPr>
      <w:r>
        <w:rPr>
          <w:sz w:val="12"/>
        </w:rPr>
        <w:t>20</w:t>
        <w:tab/>
      </w:r>
      <w:r>
        <w:rPr>
          <w:position w:val="2"/>
          <w:sz w:val="12"/>
        </w:rPr>
        <w:t>3</w:t>
      </w:r>
    </w:p>
    <w:p>
      <w:pPr>
        <w:spacing w:before="67"/>
        <w:ind w:left="0" w:right="510" w:firstLine="0"/>
        <w:jc w:val="right"/>
        <w:rPr>
          <w:sz w:val="16"/>
        </w:rPr>
      </w:pPr>
      <w:r>
        <w:rPr>
          <w:color w:val="231F20"/>
          <w:sz w:val="16"/>
        </w:rPr>
        <w:t>+</w:t>
      </w:r>
    </w:p>
    <w:p>
      <w:pPr>
        <w:tabs>
          <w:tab w:pos="3480" w:val="left" w:leader="none"/>
        </w:tabs>
        <w:spacing w:before="62"/>
        <w:ind w:left="0" w:right="450" w:firstLine="0"/>
        <w:jc w:val="right"/>
        <w:rPr>
          <w:sz w:val="12"/>
        </w:rPr>
      </w:pPr>
      <w:r>
        <w:rPr>
          <w:sz w:val="12"/>
        </w:rPr>
        <w:t>40</w:t>
        <w:tab/>
      </w:r>
      <w:r>
        <w:rPr>
          <w:position w:val="2"/>
          <w:sz w:val="12"/>
        </w:rPr>
        <w:t>0</w:t>
      </w:r>
    </w:p>
    <w:p>
      <w:pPr>
        <w:spacing w:before="46"/>
        <w:ind w:left="0" w:right="520" w:firstLine="0"/>
        <w:jc w:val="right"/>
        <w:rPr>
          <w:sz w:val="16"/>
        </w:rPr>
      </w:pPr>
      <w:r>
        <w:rPr>
          <w:color w:val="231F20"/>
          <w:sz w:val="16"/>
        </w:rPr>
        <w:t>–</w:t>
      </w:r>
    </w:p>
    <w:p>
      <w:pPr>
        <w:tabs>
          <w:tab w:pos="3480" w:val="left" w:leader="none"/>
        </w:tabs>
        <w:spacing w:before="99"/>
        <w:ind w:left="0" w:right="450" w:firstLine="0"/>
        <w:jc w:val="right"/>
        <w:rPr>
          <w:sz w:val="12"/>
        </w:rPr>
      </w:pPr>
      <w:r>
        <w:rPr>
          <w:sz w:val="12"/>
        </w:rPr>
        <w:t>60</w:t>
        <w:tab/>
      </w:r>
      <w:r>
        <w:rPr>
          <w:position w:val="2"/>
          <w:sz w:val="12"/>
        </w:rPr>
        <w:t>3</w:t>
      </w:r>
    </w:p>
    <w:p>
      <w:pPr>
        <w:pStyle w:val="BodyText"/>
        <w:rPr>
          <w:sz w:val="14"/>
        </w:rPr>
      </w:pPr>
    </w:p>
    <w:p>
      <w:pPr>
        <w:pStyle w:val="BodyText"/>
        <w:spacing w:before="10"/>
        <w:rPr>
          <w:sz w:val="12"/>
        </w:rPr>
      </w:pPr>
    </w:p>
    <w:p>
      <w:pPr>
        <w:tabs>
          <w:tab w:pos="3480" w:val="left" w:leader="none"/>
        </w:tabs>
        <w:spacing w:line="147" w:lineRule="exact" w:before="0"/>
        <w:ind w:left="0" w:right="243" w:firstLine="0"/>
        <w:jc w:val="center"/>
        <w:rPr>
          <w:sz w:val="12"/>
        </w:rPr>
      </w:pPr>
      <w:r>
        <w:rPr/>
        <w:pict>
          <v:group style="position:absolute;margin-left:49.783001pt;margin-top:.497584pt;width:161.5pt;height:4.4pt;mso-position-horizontal-relative:page;mso-position-vertical-relative:paragraph;z-index:-21611008" coordorigin="996,10" coordsize="3230,88">
            <v:shape style="position:absolute;left:995;top:86;width:3230;height:4" coordorigin="996,86" coordsize="3230,4" path="m4119,90l4226,90m996,86l1102,86e" filled="false" stroked="true" strokeweight=".5pt" strokecolor="#231f20">
              <v:path arrowok="t"/>
              <v:stroke dashstyle="solid"/>
            </v:shape>
            <v:shape style="position:absolute;left:1151;top:92;width:2902;height:2" coordorigin="1151,92" coordsize="2902,0" path="m4053,92l1151,92e" filled="true" fillcolor="#000000" stroked="false">
              <v:path arrowok="t"/>
              <v:fill type="solid"/>
            </v:shape>
            <v:line style="position:absolute" from="1151,92" to="4053,92" stroked="true" strokeweight=".5pt" strokecolor="#231f20">
              <v:stroke dashstyle="solid"/>
            </v:line>
            <v:shape style="position:absolute;left:1155;top:9;width:2;height:82" coordorigin="1155,10" coordsize="0,82" path="m1155,10l1155,91e" filled="true" fillcolor="#000000" stroked="false">
              <v:path arrowok="t"/>
              <v:fill type="solid"/>
            </v:shape>
            <v:line style="position:absolute" from="1155,10" to="1155,91" stroked="true" strokeweight=".5pt" strokecolor="#231f20">
              <v:stroke dashstyle="solid"/>
            </v:line>
            <v:shape style="position:absolute;left:1595;top:14;width:2;height:82" coordorigin="1595,15" coordsize="0,82" path="m1595,15l1595,96e" filled="true" fillcolor="#000000" stroked="false">
              <v:path arrowok="t"/>
              <v:fill type="solid"/>
            </v:shape>
            <v:line style="position:absolute" from="1595,15" to="1595,96" stroked="true" strokeweight=".5pt" strokecolor="#231f20">
              <v:stroke dashstyle="solid"/>
            </v:line>
            <v:shape style="position:absolute;left:2038;top:14;width:2;height:82" coordorigin="2039,15" coordsize="0,82" path="m2039,15l2039,96e" filled="true" fillcolor="#000000" stroked="false">
              <v:path arrowok="t"/>
              <v:fill type="solid"/>
            </v:shape>
            <v:line style="position:absolute" from="2039,15" to="2039,96" stroked="true" strokeweight=".5pt" strokecolor="#231f20">
              <v:stroke dashstyle="solid"/>
            </v:line>
            <v:shape style="position:absolute;left:2480;top:14;width:2;height:82" coordorigin="2480,15" coordsize="0,82" path="m2480,15l2480,96e" filled="true" fillcolor="#000000" stroked="false">
              <v:path arrowok="t"/>
              <v:fill type="solid"/>
            </v:shape>
            <v:line style="position:absolute" from="2480,15" to="2480,96" stroked="true" strokeweight=".5pt" strokecolor="#231f20">
              <v:stroke dashstyle="solid"/>
            </v:line>
            <v:shape style="position:absolute;left:2917;top:12;width:2;height:82" coordorigin="2918,12" coordsize="0,82" path="m2918,12l2918,94e" filled="true" fillcolor="#000000" stroked="false">
              <v:path arrowok="t"/>
              <v:fill type="solid"/>
            </v:shape>
            <v:line style="position:absolute" from="2918,12" to="2918,94" stroked="true" strokeweight=".5pt" strokecolor="#231f20">
              <v:stroke dashstyle="solid"/>
            </v:line>
            <v:shape style="position:absolute;left:3362;top:9;width:2;height:82" coordorigin="3363,10" coordsize="0,82" path="m3363,10l3363,91e" filled="true" fillcolor="#000000" stroked="false">
              <v:path arrowok="t"/>
              <v:fill type="solid"/>
            </v:shape>
            <v:line style="position:absolute" from="3363,10" to="3363,91" stroked="true" strokeweight=".5pt" strokecolor="#231f20">
              <v:stroke dashstyle="solid"/>
            </v:line>
            <v:shape style="position:absolute;left:3805;top:14;width:2;height:82" coordorigin="3805,15" coordsize="0,82" path="m3805,15l3805,96e" filled="true" fillcolor="#000000" stroked="false">
              <v:path arrowok="t"/>
              <v:fill type="solid"/>
            </v:shape>
            <v:line style="position:absolute" from="3805,15" to="3805,96" stroked="true" strokeweight=".5pt" strokecolor="#231f20">
              <v:stroke dashstyle="solid"/>
            </v:line>
            <w10:wrap type="none"/>
          </v:group>
        </w:pict>
      </w:r>
      <w:r>
        <w:rPr>
          <w:sz w:val="12"/>
        </w:rPr>
        <w:t>80</w:t>
        <w:tab/>
      </w:r>
      <w:r>
        <w:rPr>
          <w:position w:val="2"/>
          <w:sz w:val="12"/>
        </w:rPr>
        <w:t>6</w:t>
      </w:r>
    </w:p>
    <w:p>
      <w:pPr>
        <w:tabs>
          <w:tab w:pos="500" w:val="left" w:leader="none"/>
          <w:tab w:pos="944" w:val="left" w:leader="none"/>
          <w:tab w:pos="1384" w:val="left" w:leader="none"/>
          <w:tab w:pos="1840" w:val="left" w:leader="none"/>
          <w:tab w:pos="2281" w:val="left" w:leader="none"/>
          <w:tab w:pos="2665" w:val="left" w:leader="none"/>
        </w:tabs>
        <w:spacing w:line="137" w:lineRule="exact" w:before="0"/>
        <w:ind w:left="0" w:right="199" w:firstLine="0"/>
        <w:jc w:val="center"/>
        <w:rPr>
          <w:sz w:val="12"/>
        </w:rPr>
      </w:pPr>
      <w:r>
        <w:rPr>
          <w:sz w:val="12"/>
        </w:rPr>
        <w:t>1979</w:t>
        <w:tab/>
      </w:r>
      <w:r>
        <w:rPr>
          <w:position w:val="1"/>
          <w:sz w:val="12"/>
        </w:rPr>
        <w:t>82</w:t>
        <w:tab/>
        <w:t>85</w:t>
        <w:tab/>
        <w:t>88</w:t>
        <w:tab/>
        <w:t>91</w:t>
        <w:tab/>
        <w:t>94</w:t>
        <w:tab/>
      </w:r>
      <w:r>
        <w:rPr>
          <w:sz w:val="12"/>
        </w:rPr>
        <w:t>97</w:t>
      </w:r>
    </w:p>
    <w:p>
      <w:pPr>
        <w:pStyle w:val="Heading4"/>
        <w:spacing w:line="242" w:lineRule="auto" w:before="207"/>
        <w:ind w:left="202" w:right="374"/>
      </w:pPr>
      <w:r>
        <w:rPr/>
        <w:br w:type="column"/>
      </w:r>
      <w:r>
        <w:rPr>
          <w:color w:val="231F20"/>
        </w:rPr>
        <w:t>consumer confidence have in the past been correlated with changes in household spending. Consumer confidence indicators may also have some</w:t>
      </w:r>
    </w:p>
    <w:p>
      <w:pPr>
        <w:spacing w:before="4"/>
        <w:ind w:left="202" w:right="0" w:firstLine="0"/>
        <w:jc w:val="left"/>
        <w:rPr>
          <w:sz w:val="16"/>
        </w:rPr>
      </w:pPr>
      <w:r>
        <w:rPr>
          <w:color w:val="231F20"/>
          <w:sz w:val="24"/>
        </w:rPr>
        <w:t>forward-looking properties.</w:t>
      </w:r>
      <w:r>
        <w:rPr>
          <w:color w:val="231F20"/>
          <w:position w:val="5"/>
          <w:sz w:val="16"/>
        </w:rPr>
        <w:t>(1)</w:t>
      </w:r>
    </w:p>
    <w:p>
      <w:pPr>
        <w:pStyle w:val="BodyText"/>
        <w:spacing w:before="8"/>
        <w:rPr>
          <w:sz w:val="24"/>
        </w:rPr>
      </w:pPr>
    </w:p>
    <w:p>
      <w:pPr>
        <w:pStyle w:val="Heading5"/>
        <w:ind w:left="202"/>
        <w:rPr>
          <w:i/>
        </w:rPr>
      </w:pPr>
      <w:r>
        <w:rPr>
          <w:i/>
          <w:color w:val="009483"/>
        </w:rPr>
        <w:t>Investment demand</w:t>
      </w:r>
    </w:p>
    <w:p>
      <w:pPr>
        <w:spacing w:line="242" w:lineRule="auto" w:before="204"/>
        <w:ind w:left="202" w:right="374" w:firstLine="0"/>
        <w:jc w:val="left"/>
        <w:rPr>
          <w:sz w:val="24"/>
        </w:rPr>
      </w:pPr>
      <w:r>
        <w:rPr>
          <w:color w:val="231F20"/>
          <w:sz w:val="24"/>
        </w:rPr>
        <w:t>Whole-economy investment expenditure fell by 1.4% in 1998 Q2 on a quarter earlier. Business investment fell by 2.7% over the same period, reflecting falls across all industrial sectors. But government investment (general government plus NHS Trusts) rose by 0.3%. Business investment growth has been rapid in recent years.</w:t>
      </w:r>
    </w:p>
    <w:p>
      <w:pPr>
        <w:spacing w:line="242" w:lineRule="auto" w:before="8"/>
        <w:ind w:left="202" w:right="374" w:firstLine="0"/>
        <w:jc w:val="left"/>
        <w:rPr>
          <w:sz w:val="24"/>
        </w:rPr>
      </w:pPr>
      <w:r>
        <w:rPr>
          <w:color w:val="231F20"/>
          <w:sz w:val="24"/>
        </w:rPr>
        <w:t>And following extensive upward revisions, particularly since 1991, to the investment series in the National</w:t>
      </w:r>
    </w:p>
    <w:p>
      <w:pPr>
        <w:spacing w:after="0" w:line="242" w:lineRule="auto"/>
        <w:jc w:val="left"/>
        <w:rPr>
          <w:sz w:val="24"/>
        </w:rPr>
        <w:sectPr>
          <w:type w:val="continuous"/>
          <w:pgSz w:w="11900" w:h="16840"/>
          <w:pgMar w:top="1220" w:bottom="280" w:left="620" w:right="520"/>
          <w:cols w:num="2" w:equalWidth="0">
            <w:col w:w="4200" w:space="572"/>
            <w:col w:w="5988"/>
          </w:cols>
        </w:sectPr>
      </w:pPr>
    </w:p>
    <w:p>
      <w:pPr>
        <w:spacing w:line="88" w:lineRule="exact" w:before="0"/>
        <w:ind w:left="174" w:right="0" w:firstLine="0"/>
        <w:jc w:val="left"/>
        <w:rPr>
          <w:sz w:val="12"/>
        </w:rPr>
      </w:pPr>
      <w:r>
        <w:rPr>
          <w:color w:val="231F20"/>
          <w:sz w:val="12"/>
        </w:rPr>
        <w:t>Sources: GfK, MORI, ONS and Gallup.</w:t>
      </w:r>
    </w:p>
    <w:p>
      <w:pPr>
        <w:spacing w:before="102"/>
        <w:ind w:left="174" w:right="0" w:firstLine="0"/>
        <w:jc w:val="left"/>
        <w:rPr>
          <w:sz w:val="12"/>
        </w:rPr>
      </w:pPr>
      <w:r>
        <w:rPr>
          <w:color w:val="231F20"/>
          <w:sz w:val="12"/>
        </w:rPr>
        <w:t>(a) Gallup prior to July 1995.</w:t>
      </w:r>
    </w:p>
    <w:p>
      <w:pPr>
        <w:pStyle w:val="BodyText"/>
        <w:rPr>
          <w:sz w:val="12"/>
        </w:rPr>
      </w:pPr>
    </w:p>
    <w:p>
      <w:pPr>
        <w:pStyle w:val="Heading7"/>
        <w:spacing w:before="95"/>
      </w:pPr>
      <w:r>
        <w:rPr>
          <w:color w:val="0093C1"/>
        </w:rPr>
        <w:t>Chart 2.6</w:t>
      </w:r>
    </w:p>
    <w:p>
      <w:pPr>
        <w:spacing w:before="10"/>
        <w:ind w:left="200" w:right="0" w:firstLine="0"/>
        <w:jc w:val="left"/>
        <w:rPr>
          <w:sz w:val="12"/>
        </w:rPr>
      </w:pPr>
      <w:r>
        <w:rPr>
          <w:b/>
          <w:color w:val="0093C1"/>
          <w:sz w:val="20"/>
        </w:rPr>
        <w:t>Investment as a share of GDP</w:t>
      </w:r>
      <w:r>
        <w:rPr>
          <w:color w:val="231F20"/>
          <w:position w:val="4"/>
          <w:sz w:val="12"/>
        </w:rPr>
        <w:t>(a)</w:t>
      </w:r>
    </w:p>
    <w:p>
      <w:pPr>
        <w:pStyle w:val="BodyText"/>
        <w:spacing w:before="6" w:after="39"/>
      </w:pPr>
    </w:p>
    <w:p>
      <w:pPr>
        <w:pStyle w:val="BodyText"/>
        <w:spacing w:line="20" w:lineRule="exact"/>
        <w:ind w:left="255"/>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1"/>
        <w:rPr>
          <w:sz w:val="13"/>
        </w:rPr>
      </w:pPr>
    </w:p>
    <w:p>
      <w:pPr>
        <w:spacing w:line="119" w:lineRule="exact" w:before="0"/>
        <w:ind w:left="174" w:right="0" w:firstLine="0"/>
        <w:jc w:val="left"/>
        <w:rPr>
          <w:sz w:val="12"/>
        </w:rPr>
      </w:pPr>
      <w:r>
        <w:rPr>
          <w:sz w:val="12"/>
        </w:rPr>
        <w:t>Per ce</w:t>
      </w:r>
      <w:r>
        <w:rPr>
          <w:sz w:val="12"/>
          <w:u w:val="single"/>
        </w:rPr>
        <w:t>nt</w:t>
      </w:r>
    </w:p>
    <w:p>
      <w:pPr>
        <w:spacing w:line="119" w:lineRule="exact" w:before="0"/>
        <w:ind w:left="614" w:right="0" w:firstLine="0"/>
        <w:jc w:val="left"/>
        <w:rPr>
          <w:sz w:val="12"/>
        </w:rPr>
      </w:pPr>
      <w:r>
        <w:rPr/>
        <w:pict>
          <v:group style="position:absolute;margin-left:44pt;margin-top:13.651855pt;width:166pt;height:58pt;mso-position-horizontal-relative:page;mso-position-vertical-relative:paragraph;z-index:15881216" coordorigin="880,273" coordsize="3320,1160">
            <v:shape style="position:absolute;left:880;top:643;width:3157;height:600" coordorigin="880,643" coordsize="3157,600" path="m1043,826l4037,826m980,1243l880,1243m980,643l880,643e" filled="false" stroked="true" strokeweight=".5pt" strokecolor="#000000">
              <v:path arrowok="t"/>
              <v:stroke dashstyle="solid"/>
            </v:shape>
            <v:shape style="position:absolute;left:1040;top:283;width:3000;height:1140" coordorigin="1040,283" coordsize="3000,1140" path="m1040,803l1060,863,1080,843,1100,763,1140,843,1160,763,1180,723,1220,603,1240,463,1260,463,1280,563,1300,463,1320,543,1340,503,1380,303,1400,643,1420,643,1440,503,1460,503,1480,603,1500,523,1540,543,1560,483,1580,603,1600,503,1640,543,1660,643,1680,663,1700,703,1740,763,1760,683,1780,743,1800,783,1820,683,1840,543,1860,823,1900,863,1920,723,1940,783,1960,703,1980,743,2000,903,2020,743,2060,763,2080,863,2100,943,2120,1083,2140,903,2160,1003,2200,883,2240,963,2260,1063,2280,1143,2300,1023,2320,1143,2340,983,2360,943,2400,1043,2440,1163,2460,1183,2480,1423,2500,1383,2540,1423,2560,1423,2600,1283,2620,1183,2640,1183,2660,1203,2680,1283,2700,1283,2720,1123,2760,1043,2780,983,2800,943,2820,943,2840,703,2860,1103,2880,1043,2940,1043,2960,1183,2980,1003,3000,983,3020,1123,3040,1003,3060,763,3100,683,3120,563,3140,503,3160,503,3180,523,3200,283,3220,383,3240,383,3280,423,3300,423,3320,523,3340,503,3360,543,3380,743,3400,803,3440,883,3460,823,3480,803,3500,803,3520,823,3540,943,3560,883,3600,923,3620,923,3640,883,3660,823,3680,1003,3700,963,3720,943,3760,923,3780,943,3800,903,3820,943,3840,863,3880,823,3900,843,3920,843,3960,743,3980,723,4000,643,4020,543,4040,643e" filled="false" stroked="true" strokeweight="1pt" strokecolor="#ed1b2d">
              <v:path arrowok="t"/>
              <v:stroke dashstyle="solid"/>
            </v:shape>
            <v:shape style="position:absolute;left:1350;top:643;width:2850;height:600" coordorigin="1350,643" coordsize="2850,600" path="m4200,1243l4100,1243m4200,643l4100,643m1350,1153l1350,913e" filled="false" stroked="true" strokeweight=".5pt" strokecolor="#000000">
              <v:path arrowok="t"/>
              <v:stroke dashstyle="solid"/>
            </v:shape>
            <v:shape style="position:absolute;left:1324;top:845;width:51;height:85" coordorigin="1325,845" coordsize="51,85" path="m1350,845l1325,930,1375,930,1354,865,1351,854,1350,845xe" filled="true" fillcolor="#000000" stroked="false">
              <v:path arrowok="t"/>
              <v:fill type="solid"/>
            </v:shape>
            <v:shape style="position:absolute;left:1970;top:566;width:820;height:133" type="#_x0000_t202" filled="false" stroked="false">
              <v:textbox inset="0,0,0,0">
                <w:txbxContent>
                  <w:p>
                    <w:pPr>
                      <w:spacing w:line="133" w:lineRule="exact" w:before="0"/>
                      <w:ind w:left="0" w:right="0" w:firstLine="0"/>
                      <w:jc w:val="left"/>
                      <w:rPr>
                        <w:sz w:val="12"/>
                      </w:rPr>
                    </w:pPr>
                    <w:r>
                      <w:rPr>
                        <w:sz w:val="12"/>
                      </w:rPr>
                      <w:t>Whole-economy</w:t>
                    </w:r>
                  </w:p>
                </w:txbxContent>
              </v:textbox>
              <w10:wrap type="none"/>
            </v:shape>
            <v:shape style="position:absolute;left:1190;top:1152;width:427;height:133" type="#_x0000_t202" filled="false" stroked="false">
              <v:textbox inset="0,0,0,0">
                <w:txbxContent>
                  <w:p>
                    <w:pPr>
                      <w:spacing w:line="133" w:lineRule="exact" w:before="0"/>
                      <w:ind w:left="0" w:right="0" w:firstLine="0"/>
                      <w:jc w:val="left"/>
                      <w:rPr>
                        <w:sz w:val="12"/>
                      </w:rPr>
                    </w:pPr>
                    <w:r>
                      <w:rPr>
                        <w:sz w:val="12"/>
                      </w:rPr>
                      <w:t>Average</w:t>
                    </w:r>
                  </w:p>
                </w:txbxContent>
              </v:textbox>
              <w10:wrap type="none"/>
            </v:shape>
            <w10:wrap type="none"/>
          </v:group>
        </w:pict>
      </w:r>
      <w:r>
        <w:rPr>
          <w:sz w:val="12"/>
        </w:rPr>
        <w:t>20.0</w:t>
      </w:r>
    </w:p>
    <w:p>
      <w:pPr>
        <w:pStyle w:val="BodyText"/>
        <w:rPr>
          <w:sz w:val="12"/>
        </w:rPr>
      </w:pPr>
    </w:p>
    <w:p>
      <w:pPr>
        <w:pStyle w:val="BodyText"/>
        <w:rPr>
          <w:sz w:val="12"/>
        </w:rPr>
      </w:pPr>
    </w:p>
    <w:p>
      <w:pPr>
        <w:pStyle w:val="BodyText"/>
        <w:spacing w:before="2"/>
        <w:rPr>
          <w:sz w:val="16"/>
        </w:rPr>
      </w:pPr>
    </w:p>
    <w:p>
      <w:pPr>
        <w:spacing w:before="0"/>
        <w:ind w:left="614" w:right="0" w:firstLine="0"/>
        <w:jc w:val="left"/>
        <w:rPr>
          <w:sz w:val="12"/>
        </w:rPr>
      </w:pPr>
      <w:r>
        <w:rPr>
          <w:sz w:val="12"/>
        </w:rPr>
        <w:t>17.5</w:t>
      </w:r>
    </w:p>
    <w:p>
      <w:pPr>
        <w:pStyle w:val="BodyText"/>
        <w:rPr>
          <w:sz w:val="12"/>
        </w:rPr>
      </w:pPr>
    </w:p>
    <w:p>
      <w:pPr>
        <w:pStyle w:val="BodyText"/>
        <w:rPr>
          <w:sz w:val="12"/>
        </w:rPr>
      </w:pPr>
    </w:p>
    <w:p>
      <w:pPr>
        <w:pStyle w:val="BodyText"/>
        <w:spacing w:before="2"/>
        <w:rPr>
          <w:sz w:val="16"/>
        </w:rPr>
      </w:pPr>
    </w:p>
    <w:p>
      <w:pPr>
        <w:spacing w:before="0"/>
        <w:ind w:left="614" w:right="0" w:firstLine="0"/>
        <w:jc w:val="left"/>
        <w:rPr>
          <w:sz w:val="12"/>
        </w:rPr>
      </w:pPr>
      <w:r>
        <w:rPr>
          <w:sz w:val="12"/>
        </w:rPr>
        <w:t>15.0</w:t>
      </w:r>
    </w:p>
    <w:p>
      <w:pPr>
        <w:pStyle w:val="BodyText"/>
        <w:rPr>
          <w:sz w:val="12"/>
        </w:rPr>
      </w:pPr>
    </w:p>
    <w:p>
      <w:pPr>
        <w:pStyle w:val="BodyText"/>
        <w:rPr>
          <w:sz w:val="12"/>
        </w:rPr>
      </w:pPr>
    </w:p>
    <w:p>
      <w:pPr>
        <w:pStyle w:val="BodyText"/>
        <w:spacing w:before="2"/>
        <w:rPr>
          <w:sz w:val="16"/>
        </w:rPr>
      </w:pPr>
    </w:p>
    <w:p>
      <w:pPr>
        <w:spacing w:before="0"/>
        <w:ind w:left="614" w:right="0" w:firstLine="0"/>
        <w:jc w:val="left"/>
        <w:rPr>
          <w:sz w:val="12"/>
        </w:rPr>
      </w:pPr>
      <w:r>
        <w:rPr/>
        <w:pict>
          <v:group style="position:absolute;margin-left:44pt;margin-top:-1.398438pt;width:166pt;height:50pt;mso-position-horizontal-relative:page;mso-position-vertical-relative:paragraph;z-index:15879680" coordorigin="880,-28" coordsize="3320,1000">
            <v:shape style="position:absolute;left:880;top:62;width:3137;height:600" coordorigin="880,62" coordsize="3137,600" path="m1023,652l4017,652m980,662l880,662m980,62l880,62e" filled="false" stroked="true" strokeweight=".5pt" strokecolor="#000000">
              <v:path arrowok="t"/>
              <v:stroke dashstyle="solid"/>
            </v:shape>
            <v:shape style="position:absolute;left:1040;top:-18;width:3000;height:980" coordorigin="1040,-18" coordsize="3000,980" path="m1040,842l1060,882,1080,862,1100,802,1140,882,1160,822,1180,842,1220,762,1240,702,1260,742,1280,802,1340,802,1380,642,1400,842,1420,782,1440,762,1460,762,1500,682,1540,742,1560,702,1580,742,1600,742,1660,862,1680,882,1700,922,1740,902,1760,842,1780,902,1800,882,1820,802,1840,702,1860,682,1900,742,1920,602,1940,702,1960,722,1980,602,2000,742,2020,742,2060,662,2080,682,2100,742,2120,842,2140,642,2160,742,2180,682,2200,682,2240,662,2260,762,2280,802,2300,702,2320,762,2340,662,2360,742,2400,762,2420,742,2440,782,2460,802,2480,902,2500,922,2540,922,2560,902,2600,922,2620,822,2640,862,2660,942,2680,942,2700,962,2720,842,2760,862,2780,742,2800,702,2820,642,2840,402,2860,762,2880,682,2920,702,2940,722,2960,842,2980,742,3000,802,3020,802,3040,722,3060,582,3100,462,3140,422,3160,342,3180,282,3200,162,3220,102,3240,62,3300,122,3320,102,3340,142,3360,162,3380,222,3400,342,3440,462,3460,382,3480,382,3520,462,3540,582,3560,522,3600,622,3640,622,3660,582,3680,682,3700,622,3720,582,3760,622,3780,542,3800,402,3820,422,3840,302,3860,362,3880,342,3900,362,3920,282,3960,202,3980,182,4000,142,4020,-18,4040,82e" filled="false" stroked="true" strokeweight="1pt" strokecolor="#faab54">
              <v:path arrowok="t"/>
              <v:stroke dashstyle="solid"/>
            </v:shape>
            <v:shape style="position:absolute;left:4100;top:62;width:100;height:600" coordorigin="4100,62" coordsize="100,600" path="m4200,662l4100,662m4200,62l4100,62e" filled="false" stroked="true" strokeweight=".5pt" strokecolor="#000000">
              <v:path arrowok="t"/>
              <v:stroke dashstyle="solid"/>
            </v:shape>
            <v:line style="position:absolute" from="1443,299" to="1443,565" stroked="true" strokeweight=".5pt" strokecolor="#000000">
              <v:stroke dashstyle="solid"/>
            </v:line>
            <v:shape style="position:absolute;left:1418;top:548;width:51;height:85" coordorigin="1418,548" coordsize="51,85" path="m1468,548l1418,548,1424,564,1429,576,1443,633,1445,624,1447,614,1450,602,1454,589,1457,578,1468,548xe" filled="true" fillcolor="#000000" stroked="false">
              <v:path arrowok="t"/>
              <v:fill type="solid"/>
            </v:shape>
            <v:shape style="position:absolute;left:1243;top:138;width:427;height:133" type="#_x0000_t202" filled="false" stroked="false">
              <v:textbox inset="0,0,0,0">
                <w:txbxContent>
                  <w:p>
                    <w:pPr>
                      <w:spacing w:line="133" w:lineRule="exact" w:before="0"/>
                      <w:ind w:left="0" w:right="0" w:firstLine="0"/>
                      <w:jc w:val="left"/>
                      <w:rPr>
                        <w:sz w:val="12"/>
                      </w:rPr>
                    </w:pPr>
                    <w:r>
                      <w:rPr>
                        <w:sz w:val="12"/>
                      </w:rPr>
                      <w:t>Average</w:t>
                    </w:r>
                  </w:p>
                </w:txbxContent>
              </v:textbox>
              <w10:wrap type="none"/>
            </v:shape>
            <v:shape style="position:absolute;left:2630;top:205;width:447;height:133" type="#_x0000_t202" filled="false" stroked="false">
              <v:textbox inset="0,0,0,0">
                <w:txbxContent>
                  <w:p>
                    <w:pPr>
                      <w:spacing w:line="133" w:lineRule="exact" w:before="0"/>
                      <w:ind w:left="0" w:right="0" w:firstLine="0"/>
                      <w:jc w:val="left"/>
                      <w:rPr>
                        <w:sz w:val="12"/>
                      </w:rPr>
                    </w:pPr>
                    <w:r>
                      <w:rPr>
                        <w:sz w:val="12"/>
                      </w:rPr>
                      <w:t>Business</w:t>
                    </w:r>
                  </w:p>
                </w:txbxContent>
              </v:textbox>
              <w10:wrap type="none"/>
            </v:shape>
            <w10:wrap type="none"/>
          </v:group>
        </w:pict>
      </w:r>
      <w:r>
        <w:rPr>
          <w:sz w:val="12"/>
        </w:rPr>
        <w:t>12.5</w:t>
      </w:r>
    </w:p>
    <w:p>
      <w:pPr>
        <w:pStyle w:val="BodyText"/>
        <w:rPr>
          <w:sz w:val="12"/>
        </w:rPr>
      </w:pPr>
    </w:p>
    <w:p>
      <w:pPr>
        <w:pStyle w:val="BodyText"/>
        <w:rPr>
          <w:sz w:val="12"/>
        </w:rPr>
      </w:pPr>
    </w:p>
    <w:p>
      <w:pPr>
        <w:pStyle w:val="BodyText"/>
        <w:spacing w:before="2"/>
        <w:rPr>
          <w:sz w:val="16"/>
        </w:rPr>
      </w:pPr>
    </w:p>
    <w:p>
      <w:pPr>
        <w:spacing w:before="0"/>
        <w:ind w:left="614" w:right="0" w:firstLine="0"/>
        <w:jc w:val="left"/>
        <w:rPr>
          <w:sz w:val="12"/>
        </w:rPr>
      </w:pPr>
      <w:r>
        <w:rPr>
          <w:sz w:val="12"/>
        </w:rPr>
        <w:t>10.0</w:t>
      </w:r>
    </w:p>
    <w:p>
      <w:pPr>
        <w:pStyle w:val="BodyText"/>
        <w:rPr>
          <w:sz w:val="12"/>
        </w:rPr>
      </w:pPr>
    </w:p>
    <w:p>
      <w:pPr>
        <w:pStyle w:val="BodyText"/>
        <w:rPr>
          <w:sz w:val="12"/>
        </w:rPr>
      </w:pPr>
    </w:p>
    <w:p>
      <w:pPr>
        <w:pStyle w:val="BodyText"/>
        <w:spacing w:before="2"/>
        <w:rPr>
          <w:sz w:val="16"/>
        </w:rPr>
      </w:pPr>
    </w:p>
    <w:p>
      <w:pPr>
        <w:spacing w:before="0"/>
        <w:ind w:left="674" w:right="0" w:firstLine="0"/>
        <w:jc w:val="left"/>
        <w:rPr>
          <w:sz w:val="12"/>
        </w:rPr>
      </w:pPr>
      <w:r>
        <w:rPr/>
        <w:pict>
          <v:group style="position:absolute;margin-left:44pt;margin-top:3.851563pt;width:168.05pt;height:8.85pt;mso-position-horizontal-relative:page;mso-position-vertical-relative:paragraph;z-index:15881728" coordorigin="880,77" coordsize="3361,177">
            <v:shape style="position:absolute;left:880;top:82;width:3334;height:167" coordorigin="880,82" coordsize="3334,167" path="m980,82l880,82m893,249l4213,249m1040,242l1040,182m1130,242l1130,182m1220,242l1220,182m1310,242l1310,182m1400,242l1400,182m1480,242l1480,182m1570,242l1570,182m1660,242l1660,182m1750,242l1750,182m1840,242l1840,182m1940,242l1940,182m2030,242l2030,182m2120,242l2120,182m2210,242l2210,182m2300,242l2300,182m2400,242l2400,182m2490,242l2490,182m2580,242l2580,182m2670,242l2670,182m2760,242l2760,182m2840,242l2840,182m2930,242l2930,182m3020,242l3020,182m3110,242l3110,182m3200,242l3200,182m3300,242l3300,182m3390,242l3390,182m3480,242l3480,182m3570,242l3570,182m3660,242l3660,182m3740,242l3740,182m3833,242l3833,182m3927,242l3927,182m4020,242l4020,182m1040,242l1040,142m1480,242l1480,142m1940,242l1940,142m2400,242l2400,142m2840,242l2840,142m3300,242l3300,142m3740,242l3740,142m4200,82l4100,82e" filled="false" stroked="true" strokeweight=".5pt" strokecolor="#000000">
              <v:path arrowok="t"/>
              <v:stroke dashstyle="solid"/>
            </v:shape>
            <v:shape style="position:absolute;left:4185;top:85;width:50;height:159" coordorigin="4185,85" coordsize="50,159" path="m4210,85l4205,243,4206,214,4235,202,4185,181,4235,156,4185,139,4210,118,4210,85xe" filled="true" fillcolor="#000000" stroked="false">
              <v:path arrowok="t"/>
              <v:fill type="solid"/>
            </v:shape>
            <v:shape style="position:absolute;left:4185;top:85;width:50;height:159" coordorigin="4185,85" coordsize="50,159" path="m4210,85l4210,118,4185,139,4235,156,4185,181,4235,202,4206,214,4205,243e" filled="false" stroked="true" strokeweight=".5pt" strokecolor="#000000">
              <v:path arrowok="t"/>
              <v:stroke dashstyle="solid"/>
            </v:shape>
            <v:shape style="position:absolute;left:964;top:86;width:50;height:159" coordorigin="965,86" coordsize="50,159" path="m990,86l985,244,986,215,1015,203,965,182,1015,157,965,140,990,119,990,86xe" filled="true" fillcolor="#000000" stroked="false">
              <v:path arrowok="t"/>
              <v:fill type="solid"/>
            </v:shape>
            <v:shape style="position:absolute;left:964;top:86;width:50;height:159" coordorigin="965,86" coordsize="50,159" path="m990,86l990,119,965,140,1015,157,965,182,1015,203,986,215,985,244e" filled="false" stroked="true" strokeweight=".5pt" strokecolor="#000000">
              <v:path arrowok="t"/>
              <v:stroke dashstyle="solid"/>
            </v:shape>
            <w10:wrap type="none"/>
          </v:group>
        </w:pict>
      </w:r>
      <w:r>
        <w:rPr>
          <w:sz w:val="12"/>
        </w:rPr>
        <w:t>7.5</w:t>
      </w:r>
    </w:p>
    <w:p>
      <w:pPr>
        <w:spacing w:line="132" w:lineRule="exact" w:before="2"/>
        <w:ind w:left="674" w:right="0" w:firstLine="0"/>
        <w:jc w:val="left"/>
        <w:rPr>
          <w:sz w:val="12"/>
        </w:rPr>
      </w:pPr>
      <w:r>
        <w:rPr>
          <w:sz w:val="12"/>
        </w:rPr>
        <w:t>0.0</w:t>
      </w:r>
    </w:p>
    <w:p>
      <w:pPr>
        <w:pStyle w:val="Heading4"/>
        <w:spacing w:line="242" w:lineRule="auto" w:before="2"/>
        <w:ind w:left="174" w:right="534"/>
      </w:pPr>
      <w:r>
        <w:rPr/>
        <w:br w:type="column"/>
      </w:r>
      <w:r>
        <w:rPr>
          <w:color w:val="231F20"/>
        </w:rPr>
        <w:t>Accounts, the business investment-output ratio is now estimated to be above its peak in the previous cycle (see Chart 2.6).</w:t>
      </w:r>
    </w:p>
    <w:p>
      <w:pPr>
        <w:pStyle w:val="BodyText"/>
        <w:spacing w:before="2"/>
        <w:rPr>
          <w:sz w:val="28"/>
        </w:rPr>
      </w:pPr>
    </w:p>
    <w:p>
      <w:pPr>
        <w:spacing w:line="242" w:lineRule="auto" w:before="0"/>
        <w:ind w:left="174" w:right="382" w:firstLine="0"/>
        <w:jc w:val="left"/>
        <w:rPr>
          <w:sz w:val="24"/>
        </w:rPr>
      </w:pPr>
      <w:r>
        <w:rPr>
          <w:color w:val="231F20"/>
          <w:sz w:val="24"/>
        </w:rPr>
        <w:t>Firms’ desired capital stock, and hence their investment decisions, are influenced by their expectations about future trends in output and profits. According to the British Chambers of Commerce (BCC) survey, confidence in profitability declined sharply in both the manufacturing and the service sectors in 1998 Q3 (see Chart 2.7). And the CBI October survey showed that optimism about business conditions among manufacturers fell to its lowest level since 1980.</w:t>
      </w:r>
    </w:p>
    <w:p>
      <w:pPr>
        <w:spacing w:line="242" w:lineRule="auto" w:before="11"/>
        <w:ind w:left="174" w:right="382" w:firstLine="0"/>
        <w:jc w:val="left"/>
        <w:rPr>
          <w:sz w:val="24"/>
        </w:rPr>
      </w:pPr>
      <w:r>
        <w:rPr>
          <w:color w:val="231F20"/>
          <w:sz w:val="24"/>
        </w:rPr>
        <w:t>Other factors that may restrain investment include the rise in the real cost of capital and the cost of borrowing for many firms, following the fall in equity prices.</w:t>
      </w:r>
    </w:p>
    <w:p>
      <w:pPr>
        <w:spacing w:after="0" w:line="242" w:lineRule="auto"/>
        <w:jc w:val="left"/>
        <w:rPr>
          <w:sz w:val="24"/>
        </w:rPr>
        <w:sectPr>
          <w:type w:val="continuous"/>
          <w:pgSz w:w="11900" w:h="16840"/>
          <w:pgMar w:top="1220" w:bottom="280" w:left="620" w:right="520"/>
          <w:cols w:num="3" w:equalWidth="0">
            <w:col w:w="2912" w:space="84"/>
            <w:col w:w="865" w:space="939"/>
            <w:col w:w="5960"/>
          </w:cols>
        </w:sectPr>
      </w:pPr>
    </w:p>
    <w:p>
      <w:pPr>
        <w:tabs>
          <w:tab w:pos="803" w:val="left" w:leader="none"/>
          <w:tab w:pos="1269" w:val="left" w:leader="none"/>
          <w:tab w:pos="1709" w:val="left" w:leader="none"/>
          <w:tab w:pos="2169" w:val="left" w:leader="none"/>
          <w:tab w:pos="2629" w:val="left" w:leader="none"/>
          <w:tab w:pos="3069" w:val="left" w:leader="none"/>
        </w:tabs>
        <w:spacing w:line="113" w:lineRule="exact" w:before="0"/>
        <w:ind w:left="303" w:right="0" w:firstLine="0"/>
        <w:jc w:val="left"/>
        <w:rPr>
          <w:sz w:val="12"/>
        </w:rPr>
      </w:pPr>
      <w:r>
        <w:rPr>
          <w:sz w:val="12"/>
        </w:rPr>
        <w:t>1965</w:t>
        <w:tab/>
        <w:t>70</w:t>
        <w:tab/>
        <w:t>75</w:t>
        <w:tab/>
        <w:t>80</w:t>
        <w:tab/>
        <w:t>85</w:t>
        <w:tab/>
        <w:t>90</w:t>
        <w:tab/>
        <w:t>95</w:t>
      </w:r>
    </w:p>
    <w:p>
      <w:pPr>
        <w:pStyle w:val="ListParagraph"/>
        <w:numPr>
          <w:ilvl w:val="0"/>
          <w:numId w:val="14"/>
        </w:numPr>
        <w:tabs>
          <w:tab w:pos="450" w:val="left" w:leader="none"/>
        </w:tabs>
        <w:spacing w:line="240" w:lineRule="auto" w:before="49" w:after="0"/>
        <w:ind w:left="449" w:right="0" w:hanging="240"/>
        <w:jc w:val="left"/>
        <w:rPr>
          <w:sz w:val="12"/>
        </w:rPr>
      </w:pPr>
      <w:r>
        <w:rPr>
          <w:color w:val="231F20"/>
          <w:sz w:val="12"/>
        </w:rPr>
        <w:t>At constant 1995 prices.</w:t>
      </w:r>
    </w:p>
    <w:p>
      <w:pPr>
        <w:pStyle w:val="BodyText"/>
        <w:rPr>
          <w:sz w:val="12"/>
        </w:rPr>
      </w:pPr>
    </w:p>
    <w:p>
      <w:pPr>
        <w:pStyle w:val="BodyText"/>
        <w:rPr>
          <w:sz w:val="17"/>
        </w:rPr>
      </w:pPr>
    </w:p>
    <w:p>
      <w:pPr>
        <w:pStyle w:val="Heading7"/>
        <w:spacing w:before="0"/>
        <w:ind w:left="180"/>
      </w:pPr>
      <w:r>
        <w:rPr>
          <w:color w:val="0093C1"/>
        </w:rPr>
        <w:t>Chart 2.7</w:t>
      </w:r>
    </w:p>
    <w:p>
      <w:pPr>
        <w:spacing w:before="10"/>
        <w:ind w:left="180" w:right="0" w:firstLine="0"/>
        <w:jc w:val="left"/>
        <w:rPr>
          <w:b/>
          <w:sz w:val="20"/>
        </w:rPr>
      </w:pPr>
      <w:r>
        <w:rPr>
          <w:b/>
          <w:color w:val="0093C1"/>
          <w:sz w:val="20"/>
        </w:rPr>
        <w:t>Confidence in profitability</w:t>
      </w:r>
    </w:p>
    <w:p>
      <w:pPr>
        <w:spacing w:before="105"/>
        <w:ind w:left="2368" w:right="0" w:firstLine="0"/>
        <w:jc w:val="left"/>
        <w:rPr>
          <w:sz w:val="12"/>
        </w:rPr>
      </w:pPr>
      <w:r>
        <w:rPr/>
        <w:pict>
          <v:line style="position:absolute;mso-position-horizontal-relative:page;mso-position-vertical-relative:paragraph;z-index:15886848" from="46.833pt,13.414562pt" to="41.833pt,13.414562pt" stroked="true" strokeweight=".5pt" strokecolor="#000000">
            <v:stroke dashstyle="solid"/>
            <w10:wrap type="none"/>
          </v:line>
        </w:pict>
      </w:r>
      <w:r>
        <w:rPr/>
        <w:pict>
          <v:line style="position:absolute;mso-position-horizontal-relative:page;mso-position-vertical-relative:paragraph;z-index:15887872" from="209.167007pt,13.351563pt" to="205.167007pt,13.351563pt" stroked="true" strokeweight=".5pt" strokecolor="#000000">
            <v:stroke dashstyle="solid"/>
            <w10:wrap type="none"/>
          </v:line>
        </w:pict>
      </w:r>
      <w:r>
        <w:rPr>
          <w:sz w:val="12"/>
        </w:rPr>
        <w:t>Percentage point balance</w:t>
      </w:r>
      <w:r>
        <w:rPr>
          <w:spacing w:val="25"/>
          <w:sz w:val="12"/>
        </w:rPr>
        <w:t> </w:t>
      </w:r>
      <w:r>
        <w:rPr>
          <w:position w:val="-5"/>
          <w:sz w:val="12"/>
        </w:rPr>
        <w:t>60</w:t>
      </w:r>
    </w:p>
    <w:p>
      <w:pPr>
        <w:pStyle w:val="BodyText"/>
        <w:spacing w:before="2"/>
        <w:rPr>
          <w:sz w:val="26"/>
        </w:rPr>
      </w:pPr>
    </w:p>
    <w:p>
      <w:pPr>
        <w:spacing w:before="1"/>
        <w:ind w:left="0" w:right="38" w:firstLine="0"/>
        <w:jc w:val="right"/>
        <w:rPr>
          <w:sz w:val="12"/>
        </w:rPr>
      </w:pPr>
      <w:r>
        <w:rPr/>
        <w:pict>
          <v:group style="position:absolute;margin-left:41.833pt;margin-top:1.651562pt;width:167.35pt;height:131.85pt;mso-position-horizontal-relative:page;mso-position-vertical-relative:paragraph;z-index:15883264" coordorigin="837,33" coordsize="3347,2637">
            <v:shape style="position:absolute;left:1023;top:123;width:3000;height:2380" coordorigin="1023,123" coordsize="3000,2380" path="m1023,683l1083,1463,1163,1583,1243,1683,1323,1343,1403,1503,1483,2243,1563,2503,1643,2183,1723,2103,1803,983,1883,1123,1963,1163,2043,863,2123,2063,2203,1423,2283,683,2363,563,2443,563,2523,343m2523,343l2603,383,2683,303,2763,123,2923,483,2983,743,3063,603,3143,683,3223,523,3303,563,3383,303,3463,163,3543,303,3623,743,3703,823,3783,743,3863,943,3943,1343,4023,2143e" filled="false" stroked="true" strokeweight="1pt" strokecolor="#0066a5">
              <v:path arrowok="t"/>
              <v:stroke dashstyle="solid"/>
            </v:shape>
            <v:shape style="position:absolute;left:836;top:83;width:3347;height:2582" coordorigin="837,83" coordsize="3347,2582" path="m4183,2243l4103,2243m4183,1803l4103,1803m4183,1383l4103,1383m4183,943l4103,943m4183,523l4103,523m4183,83l4103,83m937,2664l837,2664m1003,2663l4023,2663m1003,2663l1003,2623m1083,2663l1083,2623m1163,2663l1163,2623m1243,2663l1243,2623m1323,2663l1323,2623m1403,2663l1403,2623m1483,2663l1483,2623m1563,2663l1563,2623m1643,2663l1643,2623m1723,2663l1723,2623m1803,2663l1803,2623m1883,2663l1883,2623m1963,2663l1963,2623m2043,2663l2043,2623m2123,2663l2123,2623m2203,2663l2203,2623m2283,2663l2283,2623m2363,2663l2363,2623m2443,2663l2443,2623m2523,2663l2523,2623m2603,2663l2603,2623m2683,2663l2683,2623m2763,2663l2763,2623m2843,2663l2843,2623m2903,2663l2903,2623m2983,2663l2983,2623m3063,2663l3063,2623m3143,2663l3143,2623m3223,2663l3223,2623m3303,2663l3303,2623m3383,2663l3383,2623m3463,2663l3463,2623m3543,2663l3543,2623m3623,2663l3623,2623m3703,2663l3703,2623m3783,2663l3783,2623m3863,2663l3863,2623m3943,2663l3943,2623m4023,2663l4023,2623m1003,2663l1003,2563m1323,2663l1323,2563m1643,2663l1643,2563m1963,2663l1963,2563m2283,2663l2283,2563m2603,2663l2603,2563m2903,2663l2903,2563m3223,2663l3223,2563m3543,2663l3543,2563m3863,2663l3863,2563e" filled="false" stroked="true" strokeweight=".5pt" strokecolor="#000000">
              <v:path arrowok="t"/>
              <v:stroke dashstyle="solid"/>
            </v:shape>
            <v:shape style="position:absolute;left:1023;top:43;width:3000;height:2140" coordorigin="1023,43" coordsize="3000,2140" path="m1023,163l1083,823,1163,823,1243,1023,1323,1123,1403,1363,1483,2063,1563,2183,1643,1883,1723,1883,1803,983,1883,1283,1963,1343,2043,983,2123,2063,2203,1363,2283,823,2363,563,2443,343,2523,683m2523,683l2603,483,2683,423,2763,523,2843,643,2923,603,2983,943,3063,1083,3143,863,3223,423,3303,483,3383,303,3463,43,3543,223,3623,303,3703,163,3783,383,3863,483,3943,763,4023,1503e" filled="false" stroked="true" strokeweight="1pt" strokecolor="#faab54">
              <v:path arrowok="t"/>
              <v:stroke dashstyle="solid"/>
            </v:shape>
            <v:shape style="position:absolute;left:1093;top:239;width:697;height:133" type="#_x0000_t202" filled="false" stroked="false">
              <v:textbox inset="0,0,0,0">
                <w:txbxContent>
                  <w:p>
                    <w:pPr>
                      <w:spacing w:line="133" w:lineRule="exact" w:before="0"/>
                      <w:ind w:left="0" w:right="0" w:firstLine="0"/>
                      <w:jc w:val="left"/>
                      <w:rPr>
                        <w:sz w:val="12"/>
                      </w:rPr>
                    </w:pPr>
                    <w:r>
                      <w:rPr>
                        <w:sz w:val="12"/>
                      </w:rPr>
                      <w:t>Service sector</w:t>
                    </w:r>
                  </w:p>
                </w:txbxContent>
              </v:textbox>
              <w10:wrap type="none"/>
            </v:shape>
            <v:shape style="position:absolute;left:1003;top:1819;width:3040;height:480" type="#_x0000_t202" filled="false" stroked="false">
              <v:textbox inset="0,0,0,0">
                <w:txbxContent>
                  <w:p>
                    <w:pPr>
                      <w:spacing w:line="133" w:lineRule="exact" w:before="0"/>
                      <w:ind w:left="1929" w:right="0" w:firstLine="0"/>
                      <w:jc w:val="left"/>
                      <w:rPr>
                        <w:sz w:val="12"/>
                      </w:rPr>
                    </w:pPr>
                    <w:r>
                      <w:rPr>
                        <w:sz w:val="12"/>
                      </w:rPr>
                      <w:t>Manufacturing sector</w:t>
                    </w:r>
                  </w:p>
                  <w:p>
                    <w:pPr>
                      <w:spacing w:line="240" w:lineRule="auto" w:before="0"/>
                      <w:rPr>
                        <w:sz w:val="12"/>
                      </w:rPr>
                    </w:pPr>
                  </w:p>
                  <w:p>
                    <w:pPr>
                      <w:tabs>
                        <w:tab w:pos="3019" w:val="left" w:leader="none"/>
                      </w:tabs>
                      <w:spacing w:before="70"/>
                      <w:ind w:left="0" w:right="0" w:firstLine="0"/>
                      <w:jc w:val="left"/>
                      <w:rPr>
                        <w:sz w:val="12"/>
                      </w:rPr>
                    </w:pPr>
                    <w:r>
                      <w:rPr>
                        <w:sz w:val="12"/>
                        <w:u w:val="single"/>
                      </w:rPr>
                      <w:t> </w:t>
                      <w:tab/>
                    </w:r>
                  </w:p>
                </w:txbxContent>
              </v:textbox>
              <w10:wrap type="none"/>
            </v:shape>
            <w10:wrap type="none"/>
          </v:group>
        </w:pict>
      </w:r>
      <w:r>
        <w:rPr/>
        <w:pict>
          <v:line style="position:absolute;mso-position-horizontal-relative:page;mso-position-vertical-relative:paragraph;z-index:15886336" from="46.833pt,4.214562pt" to="41.833pt,4.214562pt" stroked="true" strokeweight=".5pt" strokecolor="#000000">
            <v:stroke dashstyle="solid"/>
            <w10:wrap type="none"/>
          </v:line>
        </w:pict>
      </w:r>
      <w:r>
        <w:rPr>
          <w:sz w:val="12"/>
        </w:rPr>
        <w:t>50</w:t>
      </w:r>
    </w:p>
    <w:p>
      <w:pPr>
        <w:pStyle w:val="BodyText"/>
        <w:rPr>
          <w:sz w:val="12"/>
        </w:rPr>
      </w:pPr>
    </w:p>
    <w:p>
      <w:pPr>
        <w:pStyle w:val="BodyText"/>
        <w:spacing w:before="6"/>
        <w:rPr>
          <w:sz w:val="12"/>
        </w:rPr>
      </w:pPr>
    </w:p>
    <w:p>
      <w:pPr>
        <w:spacing w:before="0"/>
        <w:ind w:left="0" w:right="38" w:firstLine="0"/>
        <w:jc w:val="right"/>
        <w:rPr>
          <w:sz w:val="12"/>
        </w:rPr>
      </w:pPr>
      <w:r>
        <w:rPr/>
        <w:pict>
          <v:line style="position:absolute;mso-position-horizontal-relative:page;mso-position-vertical-relative:paragraph;z-index:15885824" from="46.833pt,5.164563pt" to="41.833pt,5.164563pt" stroked="true" strokeweight=".5pt" strokecolor="#000000">
            <v:stroke dashstyle="solid"/>
            <w10:wrap type="none"/>
          </v:line>
        </w:pict>
      </w:r>
      <w:r>
        <w:rPr>
          <w:sz w:val="12"/>
        </w:rPr>
        <w:t>40</w:t>
      </w:r>
    </w:p>
    <w:p>
      <w:pPr>
        <w:pStyle w:val="BodyText"/>
        <w:rPr>
          <w:sz w:val="12"/>
        </w:rPr>
      </w:pPr>
    </w:p>
    <w:p>
      <w:pPr>
        <w:pStyle w:val="BodyText"/>
        <w:spacing w:before="3"/>
        <w:rPr>
          <w:sz w:val="14"/>
        </w:rPr>
      </w:pPr>
    </w:p>
    <w:p>
      <w:pPr>
        <w:spacing w:before="0"/>
        <w:ind w:left="0" w:right="38" w:firstLine="0"/>
        <w:jc w:val="right"/>
        <w:rPr>
          <w:sz w:val="12"/>
        </w:rPr>
      </w:pPr>
      <w:r>
        <w:rPr/>
        <w:pict>
          <v:line style="position:absolute;mso-position-horizontal-relative:page;mso-position-vertical-relative:paragraph;z-index:15885312" from="46.833pt,4.164364pt" to="41.833pt,4.164364pt" stroked="true" strokeweight=".5pt" strokecolor="#000000">
            <v:stroke dashstyle="solid"/>
            <w10:wrap type="none"/>
          </v:line>
        </w:pict>
      </w:r>
      <w:r>
        <w:rPr>
          <w:sz w:val="12"/>
        </w:rPr>
        <w:t>30</w:t>
      </w:r>
    </w:p>
    <w:p>
      <w:pPr>
        <w:pStyle w:val="BodyText"/>
        <w:rPr>
          <w:sz w:val="12"/>
        </w:rPr>
      </w:pPr>
    </w:p>
    <w:p>
      <w:pPr>
        <w:pStyle w:val="BodyText"/>
        <w:spacing w:before="9"/>
        <w:rPr>
          <w:sz w:val="14"/>
        </w:rPr>
      </w:pPr>
    </w:p>
    <w:p>
      <w:pPr>
        <w:spacing w:before="0"/>
        <w:ind w:left="0" w:right="38" w:firstLine="0"/>
        <w:jc w:val="right"/>
        <w:rPr>
          <w:sz w:val="12"/>
        </w:rPr>
      </w:pPr>
      <w:r>
        <w:rPr/>
        <w:pict>
          <v:line style="position:absolute;mso-position-horizontal-relative:page;mso-position-vertical-relative:paragraph;z-index:15884800" from="46.833pt,3.831158pt" to="41.833pt,3.831158pt" stroked="true" strokeweight=".5pt" strokecolor="#000000">
            <v:stroke dashstyle="solid"/>
            <w10:wrap type="none"/>
          </v:line>
        </w:pict>
      </w:r>
      <w:r>
        <w:rPr>
          <w:sz w:val="12"/>
        </w:rPr>
        <w:t>20</w:t>
      </w:r>
    </w:p>
    <w:p>
      <w:pPr>
        <w:pStyle w:val="BodyText"/>
        <w:rPr>
          <w:sz w:val="12"/>
        </w:rPr>
      </w:pPr>
    </w:p>
    <w:p>
      <w:pPr>
        <w:pStyle w:val="BodyText"/>
        <w:spacing w:before="6"/>
        <w:rPr>
          <w:sz w:val="12"/>
        </w:rPr>
      </w:pPr>
    </w:p>
    <w:p>
      <w:pPr>
        <w:spacing w:before="0"/>
        <w:ind w:left="0" w:right="38" w:firstLine="0"/>
        <w:jc w:val="right"/>
        <w:rPr>
          <w:sz w:val="12"/>
        </w:rPr>
      </w:pPr>
      <w:r>
        <w:rPr/>
        <w:pict>
          <v:line style="position:absolute;mso-position-horizontal-relative:page;mso-position-vertical-relative:paragraph;z-index:15884288" from="46.833pt,3.831158pt" to="41.833pt,3.831158pt" stroked="true" strokeweight=".5pt" strokecolor="#000000">
            <v:stroke dashstyle="solid"/>
            <w10:wrap type="none"/>
          </v:line>
        </w:pict>
      </w:r>
      <w:r>
        <w:rPr>
          <w:sz w:val="12"/>
        </w:rPr>
        <w:t>10</w:t>
      </w:r>
    </w:p>
    <w:p>
      <w:pPr>
        <w:spacing w:before="58"/>
        <w:ind w:left="3553" w:right="0" w:firstLine="0"/>
        <w:jc w:val="left"/>
        <w:rPr>
          <w:sz w:val="16"/>
        </w:rPr>
      </w:pPr>
      <w:r>
        <w:rPr>
          <w:sz w:val="16"/>
        </w:rPr>
        <w:t>+</w:t>
      </w:r>
    </w:p>
    <w:p>
      <w:pPr>
        <w:spacing w:before="54"/>
        <w:ind w:left="0" w:right="38" w:firstLine="0"/>
        <w:jc w:val="right"/>
        <w:rPr>
          <w:sz w:val="12"/>
        </w:rPr>
      </w:pPr>
      <w:r>
        <w:rPr/>
        <w:pict>
          <v:line style="position:absolute;mso-position-horizontal-relative:page;mso-position-vertical-relative:paragraph;z-index:15883776" from="46.833pt,6.863563pt" to="41.833pt,6.863563pt" stroked="true" strokeweight=".5pt" strokecolor="#000000">
            <v:stroke dashstyle="solid"/>
            <w10:wrap type="none"/>
          </v:line>
        </w:pict>
      </w:r>
      <w:r>
        <w:rPr>
          <w:sz w:val="12"/>
        </w:rPr>
        <w:t>0</w:t>
      </w:r>
    </w:p>
    <w:p>
      <w:pPr>
        <w:spacing w:before="5"/>
        <w:ind w:left="3553" w:right="0" w:firstLine="0"/>
        <w:jc w:val="left"/>
        <w:rPr>
          <w:sz w:val="16"/>
        </w:rPr>
      </w:pPr>
      <w:r>
        <w:rPr>
          <w:sz w:val="16"/>
        </w:rPr>
        <w:t>_</w:t>
      </w:r>
    </w:p>
    <w:p>
      <w:pPr>
        <w:spacing w:line="125" w:lineRule="exact" w:before="93"/>
        <w:ind w:left="3623" w:right="0" w:firstLine="0"/>
        <w:jc w:val="left"/>
        <w:rPr>
          <w:sz w:val="12"/>
        </w:rPr>
      </w:pPr>
      <w:r>
        <w:rPr/>
        <w:pict>
          <v:line style="position:absolute;mso-position-horizontal-relative:page;mso-position-vertical-relative:paragraph;z-index:15887360" from="209.167007pt,8.751562pt" to="205.167007pt,8.751562pt" stroked="true" strokeweight=".5pt" strokecolor="#000000">
            <v:stroke dashstyle="solid"/>
            <w10:wrap type="none"/>
          </v:line>
        </w:pict>
      </w:r>
      <w:r>
        <w:rPr>
          <w:sz w:val="12"/>
        </w:rPr>
        <w:t>10</w:t>
      </w:r>
    </w:p>
    <w:p>
      <w:pPr>
        <w:tabs>
          <w:tab w:pos="1448" w:val="left" w:leader="none"/>
        </w:tabs>
        <w:spacing w:line="125" w:lineRule="exact" w:before="0"/>
        <w:ind w:left="393" w:right="0" w:firstLine="0"/>
        <w:jc w:val="left"/>
        <w:rPr>
          <w:sz w:val="12"/>
        </w:rPr>
      </w:pPr>
      <w:r>
        <w:rPr>
          <w:sz w:val="12"/>
        </w:rPr>
        <w:t>1989    </w:t>
      </w:r>
      <w:r>
        <w:rPr>
          <w:spacing w:val="20"/>
          <w:sz w:val="12"/>
        </w:rPr>
        <w:t> </w:t>
      </w:r>
      <w:r>
        <w:rPr>
          <w:sz w:val="12"/>
        </w:rPr>
        <w:t>90     </w:t>
      </w:r>
      <w:r>
        <w:rPr>
          <w:spacing w:val="9"/>
          <w:sz w:val="12"/>
        </w:rPr>
        <w:t> </w:t>
      </w:r>
      <w:r>
        <w:rPr>
          <w:sz w:val="12"/>
        </w:rPr>
        <w:t>91</w:t>
        <w:tab/>
        <w:t>92 93 94 95 96 97</w:t>
      </w:r>
      <w:r>
        <w:rPr>
          <w:spacing w:val="14"/>
          <w:sz w:val="12"/>
        </w:rPr>
        <w:t> </w:t>
      </w:r>
      <w:r>
        <w:rPr>
          <w:sz w:val="12"/>
        </w:rPr>
        <w:t>98</w:t>
      </w:r>
    </w:p>
    <w:p>
      <w:pPr>
        <w:spacing w:before="84"/>
        <w:ind w:left="180" w:right="0" w:firstLine="0"/>
        <w:jc w:val="left"/>
        <w:rPr>
          <w:sz w:val="12"/>
        </w:rPr>
      </w:pPr>
      <w:r>
        <w:rPr>
          <w:color w:val="231F20"/>
          <w:sz w:val="12"/>
        </w:rPr>
        <w:t>Source: British Chambers of Commerce.</w:t>
      </w:r>
    </w:p>
    <w:p>
      <w:pPr>
        <w:pStyle w:val="Heading4"/>
        <w:spacing w:line="242" w:lineRule="auto" w:before="4"/>
        <w:ind w:left="180" w:right="287"/>
      </w:pPr>
      <w:r>
        <w:rPr/>
        <w:br w:type="column"/>
      </w:r>
      <w:r>
        <w:rPr>
          <w:color w:val="231F20"/>
        </w:rPr>
        <w:t>However, after a sharp increase in real yields on corporate bonds in September, they have since fallen back, and are below their level in the immediate </w:t>
      </w:r>
      <w:hyperlink w:history="true" w:anchor="_bookmark0">
        <w:r>
          <w:rPr>
            <w:color w:val="231F20"/>
          </w:rPr>
          <w:t>aftermath of the Asian crisis (see Section 1).</w:t>
        </w:r>
      </w:hyperlink>
    </w:p>
    <w:p>
      <w:pPr>
        <w:pStyle w:val="BodyText"/>
        <w:spacing w:before="1"/>
        <w:rPr>
          <w:sz w:val="23"/>
        </w:rPr>
      </w:pPr>
    </w:p>
    <w:p>
      <w:pPr>
        <w:spacing w:line="242" w:lineRule="auto" w:before="0"/>
        <w:ind w:left="180" w:right="287" w:firstLine="0"/>
        <w:jc w:val="left"/>
        <w:rPr>
          <w:sz w:val="24"/>
        </w:rPr>
      </w:pPr>
      <w:r>
        <w:rPr>
          <w:color w:val="231F20"/>
          <w:sz w:val="24"/>
        </w:rPr>
        <w:t>Surveys show that investment intentions have weakened, particularly among manufacturing firms (see Chart 2.8). As many manufacturing firms expected to reduce investment in plant and machinery in 1998 Q3 as intended to increase it, according to the BCC survey.</w:t>
      </w:r>
    </w:p>
    <w:p>
      <w:pPr>
        <w:spacing w:line="242" w:lineRule="auto" w:before="6"/>
        <w:ind w:left="180" w:right="314" w:firstLine="0"/>
        <w:jc w:val="left"/>
        <w:rPr>
          <w:sz w:val="24"/>
        </w:rPr>
      </w:pPr>
      <w:r>
        <w:rPr>
          <w:color w:val="231F20"/>
          <w:sz w:val="24"/>
        </w:rPr>
        <w:t>And the balance of CBI manufacturing firms intending to decrease investment was at its highest in October since 1991. Service sector investment intentions </w:t>
      </w:r>
      <w:r>
        <w:rPr>
          <w:color w:val="231F20"/>
          <w:spacing w:val="-3"/>
          <w:sz w:val="24"/>
        </w:rPr>
        <w:t>have </w:t>
      </w:r>
      <w:r>
        <w:rPr>
          <w:color w:val="231F20"/>
          <w:sz w:val="24"/>
        </w:rPr>
        <w:t>also weakened since the beginning of the year,</w:t>
      </w:r>
      <w:r>
        <w:rPr>
          <w:color w:val="231F20"/>
          <w:spacing w:val="-32"/>
          <w:sz w:val="24"/>
        </w:rPr>
        <w:t> </w:t>
      </w:r>
      <w:r>
        <w:rPr>
          <w:color w:val="231F20"/>
          <w:sz w:val="24"/>
        </w:rPr>
        <w:t>according to the BCC </w:t>
      </w:r>
      <w:r>
        <w:rPr>
          <w:color w:val="231F20"/>
          <w:spacing w:val="-4"/>
          <w:sz w:val="24"/>
        </w:rPr>
        <w:t>survey.</w:t>
      </w:r>
    </w:p>
    <w:p>
      <w:pPr>
        <w:pStyle w:val="BodyText"/>
        <w:spacing w:before="10"/>
        <w:rPr>
          <w:sz w:val="24"/>
        </w:rPr>
      </w:pPr>
    </w:p>
    <w:p>
      <w:pPr>
        <w:spacing w:line="242" w:lineRule="auto" w:before="1"/>
        <w:ind w:left="180" w:right="287" w:firstLine="0"/>
        <w:jc w:val="left"/>
        <w:rPr>
          <w:sz w:val="24"/>
        </w:rPr>
      </w:pPr>
      <w:r>
        <w:rPr>
          <w:color w:val="231F20"/>
          <w:sz w:val="24"/>
        </w:rPr>
        <w:t>The autumn pre-Budget report detailed an increase in net public investment over the next five years, which should</w:t>
      </w:r>
    </w:p>
    <w:p>
      <w:pPr>
        <w:spacing w:after="0" w:line="242" w:lineRule="auto"/>
        <w:jc w:val="left"/>
        <w:rPr>
          <w:sz w:val="24"/>
        </w:rPr>
        <w:sectPr>
          <w:type w:val="continuous"/>
          <w:pgSz w:w="11900" w:h="16840"/>
          <w:pgMar w:top="1220" w:bottom="280" w:left="620" w:right="520"/>
          <w:cols w:num="2" w:equalWidth="0">
            <w:col w:w="3784" w:space="1011"/>
            <w:col w:w="5965"/>
          </w:cols>
        </w:sectPr>
      </w:pPr>
    </w:p>
    <w:p>
      <w:pPr>
        <w:pStyle w:val="BodyText"/>
        <w:spacing w:before="9"/>
      </w:pPr>
    </w:p>
    <w:p>
      <w:pPr>
        <w:pStyle w:val="BodyText"/>
        <w:spacing w:line="20" w:lineRule="exact"/>
        <w:ind w:left="4978"/>
        <w:rPr>
          <w:sz w:val="2"/>
        </w:rPr>
      </w:pPr>
      <w:r>
        <w:rPr>
          <w:sz w:val="2"/>
        </w:rPr>
        <w:pict>
          <v:group style="width:274.75pt;height:.15pt;mso-position-horizontal-relative:char;mso-position-vertical-relative:line" coordorigin="0,0" coordsize="5495,3">
            <v:line style="position:absolute" from="0,1" to="5495,1" stroked="true" strokeweight=".125pt" strokecolor="#231f20">
              <v:stroke dashstyle="solid"/>
            </v:line>
          </v:group>
        </w:pict>
      </w:r>
      <w:r>
        <w:rPr>
          <w:sz w:val="2"/>
        </w:rPr>
      </w:r>
    </w:p>
    <w:p>
      <w:pPr>
        <w:pStyle w:val="ListParagraph"/>
        <w:numPr>
          <w:ilvl w:val="1"/>
          <w:numId w:val="14"/>
        </w:numPr>
        <w:tabs>
          <w:tab w:pos="5241" w:val="left" w:leader="none"/>
        </w:tabs>
        <w:spacing w:line="208" w:lineRule="auto" w:before="4" w:after="0"/>
        <w:ind w:left="5240" w:right="883" w:hanging="240"/>
        <w:jc w:val="both"/>
        <w:rPr>
          <w:sz w:val="16"/>
        </w:rPr>
      </w:pPr>
      <w:r>
        <w:rPr>
          <w:color w:val="231F20"/>
          <w:sz w:val="16"/>
        </w:rPr>
        <w:t>Daron Acemoglu and Andrew Scott, ‘Consumer confidence and </w:t>
      </w:r>
      <w:r>
        <w:rPr>
          <w:color w:val="231F20"/>
          <w:spacing w:val="-3"/>
          <w:sz w:val="16"/>
        </w:rPr>
        <w:t>rational </w:t>
      </w:r>
      <w:r>
        <w:rPr>
          <w:color w:val="231F20"/>
          <w:sz w:val="16"/>
        </w:rPr>
        <w:t>expectations: are agents’ beliefs consistent with the theory?’, </w:t>
      </w:r>
      <w:r>
        <w:rPr>
          <w:i/>
          <w:color w:val="231F20"/>
          <w:sz w:val="16"/>
        </w:rPr>
        <w:t>Economic </w:t>
      </w:r>
      <w:r>
        <w:rPr>
          <w:i/>
          <w:color w:val="231F20"/>
          <w:sz w:val="16"/>
        </w:rPr>
        <w:t>Journal</w:t>
      </w:r>
      <w:r>
        <w:rPr>
          <w:color w:val="231F20"/>
          <w:sz w:val="16"/>
        </w:rPr>
        <w:t>, January</w:t>
      </w:r>
      <w:r>
        <w:rPr>
          <w:color w:val="231F20"/>
          <w:spacing w:val="-1"/>
          <w:sz w:val="16"/>
        </w:rPr>
        <w:t> </w:t>
      </w:r>
      <w:r>
        <w:rPr>
          <w:color w:val="231F20"/>
          <w:sz w:val="16"/>
        </w:rPr>
        <w:t>1994.</w:t>
      </w:r>
    </w:p>
    <w:p>
      <w:pPr>
        <w:spacing w:after="0" w:line="208" w:lineRule="auto"/>
        <w:jc w:val="both"/>
        <w:rPr>
          <w:sz w:val="16"/>
        </w:rPr>
        <w:sectPr>
          <w:type w:val="continuous"/>
          <w:pgSz w:w="11900" w:h="16840"/>
          <w:pgMar w:top="1220" w:bottom="280" w:left="620" w:right="520"/>
        </w:sectPr>
      </w:pPr>
    </w:p>
    <w:p>
      <w:pPr>
        <w:pStyle w:val="BodyText"/>
        <w:rPr>
          <w:sz w:val="20"/>
        </w:rPr>
      </w:pPr>
    </w:p>
    <w:p>
      <w:pPr>
        <w:spacing w:after="0"/>
        <w:rPr>
          <w:sz w:val="20"/>
        </w:rPr>
        <w:sectPr>
          <w:headerReference w:type="default" r:id="rId53"/>
          <w:headerReference w:type="even" r:id="rId54"/>
          <w:footerReference w:type="default" r:id="rId55"/>
          <w:footerReference w:type="even" r:id="rId56"/>
          <w:pgSz w:w="11900" w:h="16840"/>
          <w:pgMar w:header="586" w:footer="617" w:top="780" w:bottom="800" w:left="620" w:right="520"/>
          <w:pgNumType w:start="19"/>
        </w:sectPr>
      </w:pPr>
    </w:p>
    <w:p>
      <w:pPr>
        <w:pStyle w:val="BodyText"/>
        <w:spacing w:before="5"/>
        <w:rPr>
          <w:sz w:val="21"/>
        </w:rPr>
      </w:pPr>
    </w:p>
    <w:p>
      <w:pPr>
        <w:pStyle w:val="Heading7"/>
        <w:spacing w:before="0"/>
        <w:ind w:left="180"/>
      </w:pPr>
      <w:bookmarkStart w:name="Inventory investment" w:id="42"/>
      <w:bookmarkEnd w:id="42"/>
      <w:r>
        <w:rPr>
          <w:b w:val="0"/>
        </w:rPr>
      </w:r>
      <w:bookmarkStart w:name="_bookmark13" w:id="43"/>
      <w:bookmarkEnd w:id="43"/>
      <w:r>
        <w:rPr>
          <w:b w:val="0"/>
        </w:rPr>
      </w:r>
      <w:r>
        <w:rPr>
          <w:color w:val="0093C1"/>
        </w:rPr>
        <w:t>Chart 2.8</w:t>
      </w:r>
    </w:p>
    <w:p>
      <w:pPr>
        <w:spacing w:before="10"/>
        <w:ind w:left="180" w:right="0" w:firstLine="0"/>
        <w:jc w:val="left"/>
        <w:rPr>
          <w:b/>
          <w:sz w:val="20"/>
        </w:rPr>
      </w:pPr>
      <w:r>
        <w:rPr>
          <w:b/>
          <w:color w:val="0093C1"/>
          <w:sz w:val="20"/>
        </w:rPr>
        <w:t>Investment intentions (plant and machinery)</w:t>
      </w:r>
    </w:p>
    <w:p>
      <w:pPr>
        <w:spacing w:before="85"/>
        <w:ind w:left="2355" w:right="0" w:firstLine="0"/>
        <w:jc w:val="left"/>
        <w:rPr>
          <w:sz w:val="12"/>
        </w:rPr>
      </w:pPr>
      <w:r>
        <w:rPr/>
        <w:pict>
          <v:group style="position:absolute;margin-left:41.5pt;margin-top:20.505110pt;width:167pt;height:131.0500pt;mso-position-horizontal-relative:page;mso-position-vertical-relative:paragraph;z-index:15890944" coordorigin="830,410" coordsize="3340,2621">
            <v:shape style="position:absolute;left:830;top:980;width:100;height:1140" coordorigin="830,980" coordsize="100,1140" path="m930,2120l830,2120m930,1740l830,1740m930,1360l830,1360m930,980l830,980e" filled="false" stroked="true" strokeweight=".5pt" strokecolor="#000000">
              <v:path arrowok="t"/>
              <v:stroke dashstyle="solid"/>
            </v:shape>
            <v:shape style="position:absolute;left:1010;top:760;width:3000;height:1620" coordorigin="1010,760" coordsize="3000,1620" path="m1010,1060l1070,1240,1150,1220,1230,1360,1310,1360,1390,1600,1470,1740,1550,2080,1630,2380,1710,2240,1790,2040,1870,1820,1950,1860,2030,1700,2110,1820,2190,1620,2270,1400,2350,1240,2430,1100,2510,1100,2590,980,2670,920,2750,760,2830,800,2910,800,2970,880,3050,880,3130,920,3210,920,3290,1020,3370,920,3450,1060,3530,800,3610,920,3690,980,3770,880,3850,1140,3930,1240,4010,1740e" filled="false" stroked="true" strokeweight="1pt" strokecolor="#0066a5">
              <v:path arrowok="t"/>
              <v:stroke dashstyle="solid"/>
            </v:shape>
            <v:line style="position:absolute" from="930,600" to="830,600" stroked="true" strokeweight=".5pt" strokecolor="#000000">
              <v:stroke dashstyle="solid"/>
            </v:line>
            <v:shape style="position:absolute;left:1010;top:540;width:3000;height:1760" coordorigin="1010,540" coordsize="3000,1760" path="m1010,680l1070,1060,1230,1220,1310,1220,1390,1400,1550,1920,1630,2300,1710,2120,1790,1920,1870,1960,1950,1780,2030,1620,2110,1880,2270,1520,2350,1360,2430,1180,2510,1180,2670,1100,2750,1180,2830,1060,2910,720,2970,980,3050,1020,3130,1020,3210,840,3290,840,3370,940,3450,840,3530,680,3610,680,3690,540,3770,840,3850,760,3930,720,4010,1200e" filled="false" stroked="true" strokeweight="1pt" strokecolor="#faab54">
              <v:path arrowok="t"/>
              <v:stroke dashstyle="solid"/>
            </v:shape>
            <v:shape style="position:absolute;left:830;top:2480;width:100;height:380" coordorigin="830,2480" coordsize="100,380" path="m930,2480l830,2480m930,2860l830,2860e" filled="false" stroked="true" strokeweight=".5pt" strokecolor="#000000">
              <v:path arrowok="t"/>
              <v:stroke dashstyle="solid"/>
            </v:shape>
            <v:shape style="position:absolute;left:1010;top:940;width:3000;height:2080" coordorigin="1010,940" coordsize="3000,2080" path="m1010,1060l1070,1620,1150,1860,1230,2040,1310,2040,1390,2000,1470,2300,1550,2900,1630,3020,1710,2880,1790,2000,1870,2340,1950,2120,2030,2080,2110,2420,2190,2000,2270,2040,2350,1860,2430,1780,2510,1480,2590,1600,2670,1520,2750,1140,2830,1480,2910,1240,2970,1100,3050,1280,3130,1360,3290,1280,3370,1060,3450,1200,3530,1240,3610,940,3690,1400,3770,1520,3850,2160,3930,2520,4010,2940e" filled="false" stroked="true" strokeweight="1pt" strokecolor="#0099d8">
              <v:path arrowok="t"/>
              <v:stroke dashstyle="solid"/>
            </v:shape>
            <v:shape style="position:absolute;left:4090;top:600;width:80;height:2260" coordorigin="4090,600" coordsize="80,2260" path="m4170,2120l4090,2120m4170,2480l4090,2480m4170,2860l4090,2860m4170,1740l4090,1740m4170,1360l4090,1360m4170,980l4090,980m4170,600l4090,600e" filled="false" stroked="true" strokeweight=".5pt" strokecolor="#000000">
              <v:path arrowok="t"/>
              <v:stroke dashstyle="solid"/>
            </v:shape>
            <v:shape style="position:absolute;left:2081;top:772;width:277;height:401" type="#_x0000_t75" stroked="false">
              <v:imagedata r:id="rId57" o:title=""/>
            </v:shape>
            <v:shape style="position:absolute;left:2760;top:410;width:947;height:133" type="#_x0000_t202" filled="false" stroked="false">
              <v:textbox inset="0,0,0,0">
                <w:txbxContent>
                  <w:p>
                    <w:pPr>
                      <w:spacing w:line="133" w:lineRule="exact" w:before="0"/>
                      <w:ind w:left="0" w:right="0" w:firstLine="0"/>
                      <w:jc w:val="left"/>
                      <w:rPr>
                        <w:sz w:val="12"/>
                      </w:rPr>
                    </w:pPr>
                    <w:r>
                      <w:rPr>
                        <w:sz w:val="12"/>
                      </w:rPr>
                      <w:t>BCC service sector</w:t>
                    </w:r>
                  </w:p>
                </w:txbxContent>
              </v:textbox>
              <w10:wrap type="none"/>
            </v:shape>
            <v:shape style="position:absolute;left:1253;top:616;width:1307;height:133" type="#_x0000_t202" filled="false" stroked="false">
              <v:textbox inset="0,0,0,0">
                <w:txbxContent>
                  <w:p>
                    <w:pPr>
                      <w:spacing w:line="133" w:lineRule="exact" w:before="0"/>
                      <w:ind w:left="0" w:right="0" w:firstLine="0"/>
                      <w:jc w:val="left"/>
                      <w:rPr>
                        <w:sz w:val="12"/>
                      </w:rPr>
                    </w:pPr>
                    <w:r>
                      <w:rPr>
                        <w:sz w:val="12"/>
                      </w:rPr>
                      <w:t>BCC manufacturing sector</w:t>
                    </w:r>
                  </w:p>
                </w:txbxContent>
              </v:textbox>
              <w10:wrap type="none"/>
            </v:shape>
            <v:shape style="position:absolute;left:990;top:1454;width:3040;height:178" type="#_x0000_t202" filled="false" stroked="false">
              <v:textbox inset="0,0,0,0">
                <w:txbxContent>
                  <w:p>
                    <w:pPr>
                      <w:tabs>
                        <w:tab w:pos="3019" w:val="left" w:leader="none"/>
                      </w:tabs>
                      <w:spacing w:line="177" w:lineRule="exact" w:before="0"/>
                      <w:ind w:left="0" w:right="0" w:firstLine="0"/>
                      <w:jc w:val="left"/>
                      <w:rPr>
                        <w:sz w:val="16"/>
                      </w:rPr>
                    </w:pPr>
                    <w:r>
                      <w:rPr>
                        <w:sz w:val="16"/>
                        <w:u w:val="single"/>
                      </w:rPr>
                      <w:t> </w:t>
                      <w:tab/>
                    </w:r>
                  </w:p>
                </w:txbxContent>
              </v:textbox>
              <w10:wrap type="none"/>
            </v:shape>
            <v:shape style="position:absolute;left:1733;top:2763;width:1267;height:133" type="#_x0000_t202" filled="false" stroked="false">
              <v:textbox inset="0,0,0,0">
                <w:txbxContent>
                  <w:p>
                    <w:pPr>
                      <w:spacing w:line="133" w:lineRule="exact" w:before="0"/>
                      <w:ind w:left="0" w:right="0" w:firstLine="0"/>
                      <w:jc w:val="left"/>
                      <w:rPr>
                        <w:sz w:val="12"/>
                      </w:rPr>
                    </w:pPr>
                    <w:r>
                      <w:rPr>
                        <w:sz w:val="12"/>
                      </w:rPr>
                      <w:t>CBI manufacturing sector</w:t>
                    </w:r>
                  </w:p>
                </w:txbxContent>
              </v:textbox>
              <w10:wrap type="none"/>
            </v:shape>
            <w10:wrap type="none"/>
          </v:group>
        </w:pict>
      </w:r>
      <w:r>
        <w:rPr/>
        <w:pict>
          <v:line style="position:absolute;mso-position-horizontal-relative:page;mso-position-vertical-relative:paragraph;z-index:15891968" from="46.5pt,12.01899pt" to="41.5pt,12.01899pt" stroked="true" strokeweight=".5pt" strokecolor="#000000">
            <v:stroke dashstyle="solid"/>
            <w10:wrap type="none"/>
          </v:line>
        </w:pict>
      </w:r>
      <w:r>
        <w:rPr/>
        <w:pict>
          <v:line style="position:absolute;mso-position-horizontal-relative:page;mso-position-vertical-relative:paragraph;z-index:-21595648" from="208.5pt,12.01899pt" to="204.5pt,12.01899pt" stroked="true" strokeweight=".5pt" strokecolor="#000000">
            <v:stroke dashstyle="solid"/>
            <w10:wrap type="none"/>
          </v:line>
        </w:pict>
      </w:r>
      <w:r>
        <w:rPr>
          <w:sz w:val="12"/>
        </w:rPr>
        <w:t>Percentage point balance </w:t>
      </w:r>
      <w:r>
        <w:rPr>
          <w:spacing w:val="18"/>
          <w:sz w:val="12"/>
        </w:rPr>
        <w:t> </w:t>
      </w:r>
      <w:r>
        <w:rPr>
          <w:position w:val="-8"/>
          <w:sz w:val="12"/>
        </w:rPr>
        <w:t>40</w:t>
      </w:r>
    </w:p>
    <w:p>
      <w:pPr>
        <w:pStyle w:val="BodyText"/>
        <w:rPr>
          <w:sz w:val="19"/>
        </w:rPr>
      </w:pPr>
    </w:p>
    <w:p>
      <w:pPr>
        <w:spacing w:before="0"/>
        <w:ind w:left="0" w:right="320" w:firstLine="0"/>
        <w:jc w:val="right"/>
        <w:rPr>
          <w:sz w:val="12"/>
        </w:rPr>
      </w:pPr>
      <w:r>
        <w:rPr>
          <w:sz w:val="12"/>
        </w:rPr>
        <w:t>30</w:t>
      </w:r>
    </w:p>
    <w:p>
      <w:pPr>
        <w:pStyle w:val="BodyText"/>
        <w:rPr>
          <w:sz w:val="12"/>
        </w:rPr>
      </w:pPr>
    </w:p>
    <w:p>
      <w:pPr>
        <w:spacing w:before="104"/>
        <w:ind w:left="0" w:right="320" w:firstLine="0"/>
        <w:jc w:val="right"/>
        <w:rPr>
          <w:sz w:val="12"/>
        </w:rPr>
      </w:pPr>
      <w:r>
        <w:rPr>
          <w:sz w:val="12"/>
        </w:rPr>
        <w:t>20</w:t>
      </w:r>
    </w:p>
    <w:p>
      <w:pPr>
        <w:pStyle w:val="BodyText"/>
        <w:rPr>
          <w:sz w:val="12"/>
        </w:rPr>
      </w:pPr>
    </w:p>
    <w:p>
      <w:pPr>
        <w:spacing w:before="104"/>
        <w:ind w:left="0" w:right="320" w:firstLine="0"/>
        <w:jc w:val="right"/>
        <w:rPr>
          <w:sz w:val="12"/>
        </w:rPr>
      </w:pPr>
      <w:r>
        <w:rPr>
          <w:sz w:val="12"/>
        </w:rPr>
        <w:t>10</w:t>
      </w:r>
    </w:p>
    <w:p>
      <w:pPr>
        <w:spacing w:before="18"/>
        <w:ind w:left="3576" w:right="0" w:firstLine="0"/>
        <w:jc w:val="left"/>
        <w:rPr>
          <w:sz w:val="16"/>
        </w:rPr>
      </w:pPr>
      <w:r>
        <w:rPr>
          <w:sz w:val="16"/>
        </w:rPr>
        <w:t>+</w:t>
      </w:r>
    </w:p>
    <w:p>
      <w:pPr>
        <w:spacing w:line="117" w:lineRule="exact" w:before="40"/>
        <w:ind w:left="3693" w:right="0" w:firstLine="0"/>
        <w:jc w:val="left"/>
        <w:rPr>
          <w:sz w:val="12"/>
        </w:rPr>
      </w:pPr>
      <w:r>
        <w:rPr>
          <w:sz w:val="12"/>
        </w:rPr>
        <w:t>0</w:t>
      </w:r>
    </w:p>
    <w:p>
      <w:pPr>
        <w:spacing w:line="163" w:lineRule="exact" w:before="0"/>
        <w:ind w:left="3586" w:right="0" w:firstLine="0"/>
        <w:jc w:val="left"/>
        <w:rPr>
          <w:sz w:val="16"/>
        </w:rPr>
      </w:pPr>
      <w:r>
        <w:rPr>
          <w:sz w:val="16"/>
        </w:rPr>
        <w:t>_</w:t>
      </w:r>
    </w:p>
    <w:p>
      <w:pPr>
        <w:spacing w:before="100"/>
        <w:ind w:left="0" w:right="320" w:firstLine="0"/>
        <w:jc w:val="right"/>
        <w:rPr>
          <w:sz w:val="12"/>
        </w:rPr>
      </w:pPr>
      <w:r>
        <w:rPr>
          <w:sz w:val="12"/>
        </w:rPr>
        <w:t>10</w:t>
      </w:r>
    </w:p>
    <w:p>
      <w:pPr>
        <w:pStyle w:val="BodyText"/>
        <w:rPr>
          <w:sz w:val="12"/>
        </w:rPr>
      </w:pPr>
    </w:p>
    <w:p>
      <w:pPr>
        <w:spacing w:before="84"/>
        <w:ind w:left="0" w:right="320" w:firstLine="0"/>
        <w:jc w:val="right"/>
        <w:rPr>
          <w:sz w:val="12"/>
        </w:rPr>
      </w:pPr>
      <w:r>
        <w:rPr>
          <w:sz w:val="12"/>
        </w:rPr>
        <w:t>20</w:t>
      </w:r>
    </w:p>
    <w:p>
      <w:pPr>
        <w:pStyle w:val="BodyText"/>
        <w:rPr>
          <w:sz w:val="12"/>
        </w:rPr>
      </w:pPr>
    </w:p>
    <w:p>
      <w:pPr>
        <w:spacing w:before="104"/>
        <w:ind w:left="0" w:right="320" w:firstLine="0"/>
        <w:jc w:val="right"/>
        <w:rPr>
          <w:sz w:val="12"/>
        </w:rPr>
      </w:pPr>
      <w:r>
        <w:rPr>
          <w:sz w:val="12"/>
        </w:rPr>
        <w:t>30</w:t>
      </w:r>
    </w:p>
    <w:p>
      <w:pPr>
        <w:pStyle w:val="BodyText"/>
        <w:rPr>
          <w:sz w:val="12"/>
        </w:rPr>
      </w:pPr>
    </w:p>
    <w:p>
      <w:pPr>
        <w:spacing w:line="116" w:lineRule="exact" w:before="104"/>
        <w:ind w:left="3633" w:right="0" w:firstLine="0"/>
        <w:jc w:val="left"/>
        <w:rPr>
          <w:sz w:val="12"/>
        </w:rPr>
      </w:pPr>
      <w:r>
        <w:rPr/>
        <w:pict>
          <v:shape style="position:absolute;margin-left:41.5pt;margin-top:3.635555pt;width:159pt;height:5pt;mso-position-horizontal-relative:page;mso-position-vertical-relative:paragraph;z-index:15891456" coordorigin="830,73" coordsize="3180,100" path="m930,173l830,173m990,173l4010,173m990,173l990,133m1070,173l1070,133m1150,173l1150,133m1230,173l1230,133m1310,173l1310,133m1390,173l1390,133m1470,173l1470,133m1550,173l1550,133m1630,173l1630,133m1710,173l1710,133m1790,173l1790,133m1870,173l1870,133m1950,173l1950,133m2030,173l2030,133m2110,173l2110,133m2190,173l2190,133m2270,173l2270,133m2350,173l2350,133m2430,173l2430,133m2510,173l2510,133m2590,173l2590,133m2670,173l2670,133m2750,173l2750,133m2830,173l2830,133m2890,173l2890,133m2970,173l2970,133m3050,173l3050,133m3130,173l3130,133m3210,173l3210,133m3290,173l3290,133m3370,173l3370,133m3450,173l3450,133m3530,173l3530,133m3610,173l3610,133m3690,173l3690,133m3770,173l3770,133m3850,173l3850,133m3930,173l3930,133m4010,173l4010,133m990,173l990,73m1310,173l1310,73m1630,173l1630,73m1950,173l1950,73m2270,173l2270,73m2590,173l2590,73m2890,173l2890,73m3210,173l3210,73m3530,173l3530,73m3850,173l3850,73e" filled="false" stroked="true" strokeweight=".5pt" strokecolor="#000000">
            <v:path arrowok="t"/>
            <v:stroke dashstyle="solid"/>
            <w10:wrap type="none"/>
          </v:shape>
        </w:pict>
      </w:r>
      <w:r>
        <w:rPr/>
        <w:pict>
          <v:line style="position:absolute;mso-position-horizontal-relative:page;mso-position-vertical-relative:paragraph;z-index:15892480" from="208.5pt,8.635554pt" to="204.5pt,8.635554pt" stroked="true" strokeweight=".5pt" strokecolor="#000000">
            <v:stroke dashstyle="solid"/>
            <w10:wrap type="none"/>
          </v:line>
        </w:pict>
      </w:r>
      <w:r>
        <w:rPr>
          <w:sz w:val="12"/>
        </w:rPr>
        <w:t>40</w:t>
      </w:r>
    </w:p>
    <w:p>
      <w:pPr>
        <w:spacing w:line="116" w:lineRule="exact" w:before="0"/>
        <w:ind w:left="380" w:right="0" w:firstLine="0"/>
        <w:jc w:val="left"/>
        <w:rPr>
          <w:sz w:val="12"/>
        </w:rPr>
      </w:pPr>
      <w:r>
        <w:rPr>
          <w:sz w:val="12"/>
        </w:rPr>
        <w:t>1989 90 91 92 93 94 95 96 97 98</w:t>
      </w:r>
    </w:p>
    <w:p>
      <w:pPr>
        <w:pStyle w:val="BodyText"/>
        <w:spacing w:before="11"/>
        <w:rPr>
          <w:sz w:val="10"/>
        </w:rPr>
      </w:pPr>
    </w:p>
    <w:p>
      <w:pPr>
        <w:spacing w:before="0"/>
        <w:ind w:left="180" w:right="0" w:firstLine="0"/>
        <w:jc w:val="left"/>
        <w:rPr>
          <w:sz w:val="12"/>
        </w:rPr>
      </w:pPr>
      <w:r>
        <w:rPr>
          <w:color w:val="231F20"/>
          <w:sz w:val="12"/>
        </w:rPr>
        <w:t>Sources: British Chambers of Commerce and CBI.</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1"/>
        <w:rPr>
          <w:sz w:val="15"/>
        </w:rPr>
      </w:pPr>
    </w:p>
    <w:p>
      <w:pPr>
        <w:pStyle w:val="Heading7"/>
        <w:spacing w:before="0"/>
        <w:ind w:left="187"/>
      </w:pPr>
      <w:r>
        <w:rPr>
          <w:color w:val="0093C1"/>
        </w:rPr>
        <w:t>Chart 2.9</w:t>
      </w:r>
    </w:p>
    <w:p>
      <w:pPr>
        <w:spacing w:before="10"/>
        <w:ind w:left="187" w:right="0" w:firstLine="0"/>
        <w:jc w:val="left"/>
        <w:rPr>
          <w:b/>
          <w:sz w:val="20"/>
        </w:rPr>
      </w:pPr>
      <w:r>
        <w:rPr>
          <w:b/>
          <w:color w:val="0093C1"/>
          <w:sz w:val="20"/>
        </w:rPr>
        <w:t>UK and US inventory-output ratios</w:t>
      </w:r>
    </w:p>
    <w:p>
      <w:pPr>
        <w:pStyle w:val="BodyText"/>
        <w:spacing w:before="5"/>
        <w:rPr>
          <w:b/>
        </w:rPr>
      </w:pPr>
    </w:p>
    <w:p>
      <w:pPr>
        <w:spacing w:line="135" w:lineRule="exact" w:before="1"/>
        <w:ind w:left="2370" w:right="0" w:firstLine="0"/>
        <w:jc w:val="left"/>
        <w:rPr>
          <w:sz w:val="12"/>
        </w:rPr>
      </w:pPr>
      <w:r>
        <w:rPr>
          <w:sz w:val="12"/>
        </w:rPr>
        <w:t>Weeks of output cover</w:t>
      </w:r>
    </w:p>
    <w:p>
      <w:pPr>
        <w:spacing w:line="135" w:lineRule="exact" w:before="0"/>
        <w:ind w:left="3484" w:right="0" w:firstLine="0"/>
        <w:jc w:val="left"/>
        <w:rPr>
          <w:sz w:val="12"/>
        </w:rPr>
      </w:pPr>
      <w:r>
        <w:rPr/>
        <w:pict>
          <v:line style="position:absolute;mso-position-horizontal-relative:page;mso-position-vertical-relative:paragraph;z-index:15895552" from="199.307007pt,3.39956pt" to="203.973007pt,3.39956pt" stroked="true" strokeweight=".5pt" strokecolor="#231f20">
            <v:stroke dashstyle="solid"/>
            <w10:wrap type="none"/>
          </v:line>
        </w:pict>
      </w:r>
      <w:r>
        <w:rPr/>
        <w:pict>
          <v:line style="position:absolute;mso-position-horizontal-relative:page;mso-position-vertical-relative:paragraph;z-index:15896576" from="46.817001pt,3.09756pt" to="51.484001pt,3.09756pt" stroked="true" strokeweight=".5pt" strokecolor="#231f20">
            <v:stroke dashstyle="solid"/>
            <w10:wrap type="none"/>
          </v:line>
        </w:pict>
      </w:r>
      <w:r>
        <w:rPr>
          <w:sz w:val="12"/>
        </w:rPr>
        <w:t>13</w:t>
      </w:r>
    </w:p>
    <w:p>
      <w:pPr>
        <w:pStyle w:val="BodyText"/>
        <w:rPr>
          <w:sz w:val="12"/>
        </w:rPr>
      </w:pPr>
    </w:p>
    <w:p>
      <w:pPr>
        <w:pStyle w:val="BodyText"/>
        <w:rPr>
          <w:sz w:val="12"/>
        </w:rPr>
      </w:pPr>
    </w:p>
    <w:p>
      <w:pPr>
        <w:pStyle w:val="BodyText"/>
        <w:spacing w:before="5"/>
        <w:rPr>
          <w:sz w:val="13"/>
        </w:rPr>
      </w:pPr>
    </w:p>
    <w:p>
      <w:pPr>
        <w:spacing w:before="0"/>
        <w:ind w:left="0" w:right="469" w:firstLine="0"/>
        <w:jc w:val="right"/>
        <w:rPr>
          <w:sz w:val="12"/>
        </w:rPr>
      </w:pPr>
      <w:r>
        <w:rPr/>
        <w:pict>
          <v:group style="position:absolute;margin-left:45.484001pt;margin-top:-7.735053pt;width:158.2pt;height:109.45pt;mso-position-horizontal-relative:page;mso-position-vertical-relative:paragraph;z-index:15895040" coordorigin="910,-155" coordsize="3164,2189">
            <v:shape style="position:absolute;left:1060;top:-42;width:71;height:259" coordorigin="1061,-41" coordsize="71,259" path="m1061,-27l1100,217m1100,217l1131,-41e" filled="false" stroked="true" strokeweight="1pt" strokecolor="#008256">
              <v:path arrowok="t"/>
              <v:stroke dashstyle="solid"/>
            </v:shape>
            <v:line style="position:absolute" from="1121,-39" to="1183,-39" stroked="true" strokeweight="1.235pt" strokecolor="#008256">
              <v:stroke dashstyle="solid"/>
            </v:line>
            <v:shape style="position:absolute;left:1173;top:-145;width:260;height:414" coordorigin="1173,-145" coordsize="260,414" path="m1173,-41l1205,-27m1205,-27l1247,-145m1247,-145l1278,-93m1278,-93l1317,-60m1317,-60l1360,25m1360,25l1391,147m1391,147l1433,269e" filled="false" stroked="true" strokeweight="1pt" strokecolor="#008256">
              <v:path arrowok="t"/>
              <v:stroke dashstyle="solid"/>
            </v:shape>
            <v:line style="position:absolute" from="1423,272" to="1474,272" stroked="true" strokeweight="1.235pt" strokecolor="#008256">
              <v:stroke dashstyle="solid"/>
            </v:line>
            <v:shape style="position:absolute;left:1464;top:231;width:370;height:504" coordorigin="1464,232" coordsize="370,504" path="m1464,269l1504,232m1504,232l1535,269m1535,269l1577,354m1577,354l1617,509m1617,509l1648,613m1648,613l1690,580m1690,580l1721,646m1721,646l1763,664m1763,664l1794,735m1794,735l1834,664e" filled="false" stroked="true" strokeweight="1pt" strokecolor="#008256">
              <v:path arrowok="t"/>
              <v:stroke dashstyle="solid"/>
            </v:shape>
            <v:line style="position:absolute" from="1824,667" to="1886,667" stroked="true" strokeweight="1.235pt" strokecolor="#008256">
              <v:stroke dashstyle="solid"/>
            </v:line>
            <v:shape style="position:absolute;left:1876;top:664;width:144;height:207" coordorigin="1876,664" coordsize="144,207" path="m1876,664l1907,697m1907,697l1950,834m1950,834l1981,852m1981,852l2020,871e" filled="false" stroked="true" strokeweight="1pt" strokecolor="#008256">
              <v:path arrowok="t"/>
              <v:stroke dashstyle="solid"/>
            </v:shape>
            <v:line style="position:absolute" from="2010,874" to="2061,874" stroked="true" strokeweight="1.235pt" strokecolor="#008256">
              <v:stroke dashstyle="solid"/>
            </v:line>
            <v:shape style="position:absolute;left:2051;top:871;width:342;height:499" coordorigin="2051,871" coordsize="342,499" path="m2051,871l2094,989m2094,989l2136,1027m2136,1027l2167,1078m2167,1078l2206,1111m2206,1111l2237,1130m2237,1130l2280,1144m2280,1144l2311,1233m2311,1233l2353,1285m2353,1285l2393,1370e" filled="false" stroked="true" strokeweight="1pt" strokecolor="#008256">
              <v:path arrowok="t"/>
              <v:stroke dashstyle="solid"/>
            </v:shape>
            <v:line style="position:absolute" from="2383,1372" to="2434,1372" stroked="true" strokeweight="1.235pt" strokecolor="#008256">
              <v:stroke dashstyle="solid"/>
            </v:line>
            <v:shape style="position:absolute;left:2423;top:1130;width:517;height:311" coordorigin="2424,1130" coordsize="517,311" path="m2424,1370l2466,1389m2466,1389l2497,1266m2497,1266l2539,1233m2539,1233l2571,1182m2571,1182l2610,1130m2610,1130l2652,1163m2652,1163l2683,1196m2683,1196l2723,1182m2723,1182l2754,1144m2754,1144l2796,1233m2796,1233l2827,1248m2827,1248l2870,1318m2870,1318l2909,1403m2909,1403l2940,1440e" filled="false" stroked="true" strokeweight="1pt" strokecolor="#008256">
              <v:path arrowok="t"/>
              <v:stroke dashstyle="solid"/>
            </v:shape>
            <v:line style="position:absolute" from="2930,1443" to="2993,1443" stroked="true" strokeweight="1.235pt" strokecolor="#008256">
              <v:stroke dashstyle="solid"/>
            </v:line>
            <v:shape style="position:absolute;left:2982;top:1440;width:808;height:363" coordorigin="2983,1440" coordsize="808,363" path="m2983,1440l3014,1492m3014,1492l3056,1544m3056,1544l3087,1558m3087,1558l3126,1610m3126,1610l3169,1629m3169,1629l3200,1680m3200,1680l3242,1713m3242,1713l3273,1784m3273,1784l3313,1765m3313,1765l3344,1784m3344,1784l3386,1751m3386,1751l3428,1765m3428,1765l3460,1699m3460,1699l3499,1680m3499,1680l3530,1662m3530,1662l3572,1647m3572,1647l3603,1662m3603,1662l3646,1680m3646,1680l3685,1713m3685,1713l3716,1751m3716,1751l3759,1784m3759,1784l3790,1803e" filled="false" stroked="true" strokeweight="1pt" strokecolor="#008256">
              <v:path arrowok="t"/>
              <v:stroke dashstyle="solid"/>
            </v:shape>
            <v:shape style="position:absolute;left:3779;top:1805;width:91;height:2" coordorigin="3780,1805" coordsize="91,0" path="m3780,1805l3839,1805m3819,1805l3870,1805e" filled="false" stroked="true" strokeweight="1.236pt" strokecolor="#008256">
              <v:path arrowok="t"/>
              <v:stroke dashstyle="solid"/>
            </v:shape>
            <v:line style="position:absolute" from="3860,1803" to="3903,1751" stroked="true" strokeweight="1pt" strokecolor="#008256">
              <v:stroke dashstyle="solid"/>
            </v:line>
            <v:shape style="position:absolute;left:1060;top:1473;width:71;height:52" coordorigin="1061,1473" coordsize="71,52" path="m1061,1525l1100,1473m1100,1473l1131,1492e" filled="false" stroked="true" strokeweight="1pt" strokecolor="#0066a5">
              <v:path arrowok="t"/>
              <v:stroke dashstyle="solid"/>
            </v:shape>
            <v:line style="position:absolute" from="1121,1495" to="1183,1495" stroked="true" strokeweight="1.235pt" strokecolor="#0066a5">
              <v:stroke dashstyle="solid"/>
            </v:line>
            <v:shape style="position:absolute;left:1173;top:1318;width:777;height:485" coordorigin="1173,1318" coordsize="777,485" path="m1173,1492l1205,1506m1205,1506l1247,1370m1247,1370l1278,1440m1278,1440l1317,1558m1317,1558l1360,1577m1360,1577l1391,1525m1391,1525l1433,1506m1433,1506l1464,1389m1464,1389l1504,1337m1504,1337l1535,1370m1535,1370l1577,1318m1577,1318l1617,1403m1617,1403l1690,1647m1690,1647l1721,1732m1721,1732l1763,1803m1763,1803l1794,1784m1794,1784l1834,1751m1834,1751l1907,1629m1907,1629l1950,1647e" filled="false" stroked="true" strokeweight="1pt" strokecolor="#0066a5">
              <v:path arrowok="t"/>
              <v:stroke dashstyle="solid"/>
            </v:shape>
            <v:line style="position:absolute" from="1940,1650" to="1991,1650" stroked="true" strokeweight="1.235pt" strokecolor="#0066a5">
              <v:stroke dashstyle="solid"/>
            </v:line>
            <v:shape style="position:absolute;left:1980;top:1628;width:226;height:104" coordorigin="1981,1629" coordsize="226,104" path="m1981,1647l2020,1680m2020,1680l2051,1662m2051,1662l2094,1647m2094,1647l2136,1629m2136,1629l2167,1680m2167,1680l2206,1732e" filled="false" stroked="true" strokeweight="1pt" strokecolor="#0066a5">
              <v:path arrowok="t"/>
              <v:stroke dashstyle="solid"/>
            </v:shape>
            <v:line style="position:absolute" from="2196,1734" to="2247,1734" stroked="true" strokeweight="1.235pt" strokecolor="#0066a5">
              <v:stroke dashstyle="solid"/>
            </v:line>
            <v:shape style="position:absolute;left:2237;top:1732;width:74;height:71" coordorigin="2237,1732" coordsize="74,71" path="m2237,1732l2280,1751m2280,1751l2311,1803e" filled="false" stroked="true" strokeweight="1pt" strokecolor="#0066a5">
              <v:path arrowok="t"/>
              <v:stroke dashstyle="solid"/>
            </v:shape>
            <v:line style="position:absolute" from="2301,1805" to="2363,1805" stroked="true" strokeweight="1.236pt" strokecolor="#0066a5">
              <v:stroke dashstyle="solid"/>
            </v:line>
            <v:shape style="position:absolute;left:2353;top:1802;width:144;height:118" coordorigin="2353,1803" coordsize="144,118" path="m2353,1803l2393,1817m2393,1817l2424,1854m2424,1854l2466,1868m2466,1868l2497,1920e" filled="false" stroked="true" strokeweight="1pt" strokecolor="#0066a5">
              <v:path arrowok="t"/>
              <v:stroke dashstyle="solid"/>
            </v:shape>
            <v:line style="position:absolute" from="2487,1923" to="2549,1923" stroked="true" strokeweight="1.235pt" strokecolor="#0066a5">
              <v:stroke dashstyle="solid"/>
            </v:line>
            <v:shape style="position:absolute;left:2539;top:1802;width:331;height:118" coordorigin="2539,1803" coordsize="331,118" path="m2539,1920l2571,1906m2571,1906l2610,1887m2610,1887l2652,1868m2652,1868l2683,1906m2683,1906l2723,1868m2723,1868l2754,1836m2754,1836l2796,1817m2796,1817l2827,1803m2827,1803l2870,1854e" filled="false" stroked="true" strokeweight="1pt" strokecolor="#0066a5">
              <v:path arrowok="t"/>
              <v:stroke dashstyle="solid"/>
            </v:shape>
            <v:shape style="position:absolute;left:2859;top:1856;width:91;height:2" coordorigin="2860,1857" coordsize="91,0" path="m2860,1857l2919,1857m2899,1857l2950,1857e" filled="false" stroked="true" strokeweight="1.235pt" strokecolor="#0066a5">
              <v:path arrowok="t"/>
              <v:stroke dashstyle="solid"/>
            </v:shape>
            <v:shape style="position:absolute;left:2940;top:1854;width:187;height:137" coordorigin="2940,1854" coordsize="187,137" path="m2940,1854l2983,1906m2983,1906l3014,1920m3014,1920l3056,1939m3056,1939l3087,1991m3087,1991l3127,1958e" filled="false" stroked="true" strokeweight="1pt" strokecolor="#0066a5">
              <v:path arrowok="t"/>
              <v:stroke dashstyle="solid"/>
            </v:shape>
            <v:line style="position:absolute" from="3117,1960" to="3179,1960" stroked="true" strokeweight="1.235pt" strokecolor="#0066a5">
              <v:stroke dashstyle="solid"/>
            </v:line>
            <v:shape style="position:absolute;left:3168;top:1835;width:590;height:175" coordorigin="3169,1836" coordsize="590,175" path="m3169,1958l3200,1972m3200,1972l3242,2010m3242,2010l3273,1991m3273,1991l3313,1958m3313,1958l3344,1920m3344,1920l3386,1906m3386,1906l3428,1868m3428,1868l3460,1836m3460,1836l3499,1868m3499,1868l3530,1887m3530,1887l3572,1906m3572,1906l3603,1958m3603,1958l3646,1939m3646,1939l3685,1958m3685,1958l3716,1939m3716,1939l3759,1906e" filled="false" stroked="true" strokeweight="1pt" strokecolor="#0066a5">
              <v:path arrowok="t"/>
              <v:stroke dashstyle="solid"/>
            </v:shape>
            <v:line style="position:absolute" from="3749,1908" to="3800,1908" stroked="true" strokeweight="1.236pt" strokecolor="#0066a5">
              <v:stroke dashstyle="solid"/>
            </v:line>
            <v:shape style="position:absolute;left:3789;top:1835;width:113;height:71" coordorigin="3790,1836" coordsize="113,71" path="m3790,1906l3829,1887m3829,1887l3860,1868m3860,1868l3903,1836e" filled="false" stroked="true" strokeweight="1pt" strokecolor="#0066a5">
              <v:path arrowok="t"/>
              <v:stroke dashstyle="solid"/>
            </v:shape>
            <v:shape style="position:absolute;left:909;top:62;width:3164;height:1753" coordorigin="910,62" coordsize="3164,1753" path="m3959,68l4053,68m3979,655l4073,655m3966,1221l4059,1221m3964,1814l4057,1814m910,62l1003,62m930,649l1023,649m916,1215l1010,1215m914,1808l1007,1808e" filled="false" stroked="true" strokeweight=".5pt" strokecolor="#231f20">
              <v:path arrowok="t"/>
              <v:stroke dashstyle="solid"/>
            </v:shape>
            <v:shape style="position:absolute;left:1622;top:287;width:194;height:133" type="#_x0000_t202" filled="false" stroked="false">
              <v:textbox inset="0,0,0,0">
                <w:txbxContent>
                  <w:p>
                    <w:pPr>
                      <w:spacing w:line="133" w:lineRule="exact" w:before="0"/>
                      <w:ind w:left="0" w:right="0" w:firstLine="0"/>
                      <w:jc w:val="left"/>
                      <w:rPr>
                        <w:sz w:val="12"/>
                      </w:rPr>
                    </w:pPr>
                    <w:r>
                      <w:rPr>
                        <w:color w:val="231F20"/>
                        <w:sz w:val="12"/>
                      </w:rPr>
                      <w:t>UK</w:t>
                    </w:r>
                  </w:p>
                </w:txbxContent>
              </v:textbox>
              <w10:wrap type="none"/>
            </v:shape>
            <v:shape style="position:absolute;left:1769;top:1900;width:174;height:133" type="#_x0000_t202" filled="false" stroked="false">
              <v:textbox inset="0,0,0,0">
                <w:txbxContent>
                  <w:p>
                    <w:pPr>
                      <w:spacing w:line="133" w:lineRule="exact" w:before="0"/>
                      <w:ind w:left="0" w:right="0" w:firstLine="0"/>
                      <w:jc w:val="left"/>
                      <w:rPr>
                        <w:sz w:val="12"/>
                      </w:rPr>
                    </w:pPr>
                    <w:r>
                      <w:rPr>
                        <w:color w:val="231F20"/>
                        <w:sz w:val="12"/>
                      </w:rPr>
                      <w:t>US</w:t>
                    </w:r>
                  </w:p>
                </w:txbxContent>
              </v:textbox>
              <w10:wrap type="none"/>
            </v:shape>
            <w10:wrap type="none"/>
          </v:group>
        </w:pict>
      </w:r>
      <w:r>
        <w:rPr>
          <w:sz w:val="12"/>
        </w:rPr>
        <w:t>12</w:t>
      </w:r>
    </w:p>
    <w:p>
      <w:pPr>
        <w:pStyle w:val="BodyText"/>
        <w:rPr>
          <w:sz w:val="12"/>
        </w:rPr>
      </w:pPr>
    </w:p>
    <w:p>
      <w:pPr>
        <w:pStyle w:val="BodyText"/>
        <w:rPr>
          <w:sz w:val="12"/>
        </w:rPr>
      </w:pPr>
    </w:p>
    <w:p>
      <w:pPr>
        <w:pStyle w:val="BodyText"/>
        <w:spacing w:before="2"/>
        <w:rPr>
          <w:sz w:val="15"/>
        </w:rPr>
      </w:pPr>
    </w:p>
    <w:p>
      <w:pPr>
        <w:spacing w:before="0"/>
        <w:ind w:left="0" w:right="469" w:firstLine="0"/>
        <w:jc w:val="right"/>
        <w:rPr>
          <w:sz w:val="12"/>
        </w:rPr>
      </w:pPr>
      <w:r>
        <w:rPr>
          <w:sz w:val="12"/>
        </w:rPr>
        <w:t>11</w:t>
      </w:r>
    </w:p>
    <w:p>
      <w:pPr>
        <w:pStyle w:val="BodyText"/>
        <w:rPr>
          <w:sz w:val="12"/>
        </w:rPr>
      </w:pPr>
    </w:p>
    <w:p>
      <w:pPr>
        <w:pStyle w:val="BodyText"/>
        <w:rPr>
          <w:sz w:val="12"/>
        </w:rPr>
      </w:pPr>
    </w:p>
    <w:p>
      <w:pPr>
        <w:pStyle w:val="BodyText"/>
        <w:spacing w:before="1"/>
        <w:rPr>
          <w:sz w:val="13"/>
        </w:rPr>
      </w:pPr>
    </w:p>
    <w:p>
      <w:pPr>
        <w:spacing w:before="0"/>
        <w:ind w:left="0" w:right="469" w:firstLine="0"/>
        <w:jc w:val="right"/>
        <w:rPr>
          <w:sz w:val="12"/>
        </w:rPr>
      </w:pPr>
      <w:r>
        <w:rPr>
          <w:sz w:val="12"/>
        </w:rPr>
        <w:t>10</w:t>
      </w:r>
    </w:p>
    <w:p>
      <w:pPr>
        <w:pStyle w:val="BodyText"/>
        <w:rPr>
          <w:sz w:val="12"/>
        </w:rPr>
      </w:pPr>
    </w:p>
    <w:p>
      <w:pPr>
        <w:pStyle w:val="BodyText"/>
        <w:rPr>
          <w:sz w:val="12"/>
        </w:rPr>
      </w:pPr>
    </w:p>
    <w:p>
      <w:pPr>
        <w:pStyle w:val="BodyText"/>
        <w:spacing w:before="1"/>
        <w:rPr>
          <w:sz w:val="15"/>
        </w:rPr>
      </w:pPr>
    </w:p>
    <w:p>
      <w:pPr>
        <w:spacing w:before="0"/>
        <w:ind w:left="0" w:right="469" w:firstLine="0"/>
        <w:jc w:val="right"/>
        <w:rPr>
          <w:sz w:val="12"/>
        </w:rPr>
      </w:pPr>
      <w:r>
        <w:rPr>
          <w:sz w:val="12"/>
        </w:rPr>
        <w:t>9</w:t>
      </w:r>
    </w:p>
    <w:p>
      <w:pPr>
        <w:pStyle w:val="BodyText"/>
        <w:rPr>
          <w:sz w:val="12"/>
        </w:rPr>
      </w:pPr>
    </w:p>
    <w:p>
      <w:pPr>
        <w:pStyle w:val="BodyText"/>
        <w:rPr>
          <w:sz w:val="12"/>
        </w:rPr>
      </w:pPr>
    </w:p>
    <w:p>
      <w:pPr>
        <w:pStyle w:val="BodyText"/>
        <w:spacing w:before="6"/>
        <w:rPr>
          <w:sz w:val="13"/>
        </w:rPr>
      </w:pPr>
    </w:p>
    <w:p>
      <w:pPr>
        <w:spacing w:line="128" w:lineRule="exact" w:before="0"/>
        <w:ind w:left="3544" w:right="0" w:firstLine="0"/>
        <w:jc w:val="left"/>
        <w:rPr>
          <w:sz w:val="12"/>
        </w:rPr>
      </w:pPr>
      <w:r>
        <w:rPr/>
        <w:pict>
          <v:group style="position:absolute;margin-left:45.484001pt;margin-top:.275561pt;width:148.8pt;height:3.6pt;mso-position-horizontal-relative:page;mso-position-vertical-relative:paragraph;z-index:15893504" coordorigin="910,6" coordsize="2976,72">
            <v:line style="position:absolute" from="1062,6" to="1062,67" stroked="true" strokeweight=".641pt" strokecolor="#000000">
              <v:stroke dashstyle="solid"/>
            </v:line>
            <v:line style="position:absolute" from="910,66" to="1003,66" stroked="true" strokeweight=".5pt" strokecolor="#231f20">
              <v:stroke dashstyle="solid"/>
            </v:line>
            <v:line style="position:absolute" from="1361,6" to="1361,67" stroked="true" strokeweight=".641pt" strokecolor="#000000">
              <v:stroke dashstyle="solid"/>
            </v:line>
            <v:line style="position:absolute" from="1649,6" to="1649,67" stroked="true" strokeweight=".641pt" strokecolor="#000000">
              <v:stroke dashstyle="solid"/>
            </v:line>
            <v:shape style="position:absolute;left:1951;top:5;width:590;height:62" coordorigin="1951,6" coordsize="590,62" path="m1951,6l1951,67m2541,6l2541,67e" filled="false" stroked="true" strokeweight=".641pt" strokecolor="#000000">
              <v:path arrowok="t"/>
              <v:stroke dashstyle="solid"/>
            </v:shape>
            <v:shape style="position:absolute;left:2828;top:5;width:300;height:62" coordorigin="2829,6" coordsize="300,62" path="m2829,6l2829,67m3128,6l3128,67e" filled="false" stroked="true" strokeweight=".641pt" strokecolor="#000000">
              <v:path arrowok="t"/>
              <v:stroke dashstyle="solid"/>
            </v:shape>
            <v:shape style="position:absolute;left:3429;top:5;width:288;height:62" coordorigin="3430,6" coordsize="288,62" path="m3430,6l3430,67m3718,6l3718,67e" filled="false" stroked="true" strokeweight=".641pt" strokecolor="#000000">
              <v:path arrowok="t"/>
              <v:stroke dashstyle="solid"/>
            </v:shape>
            <v:line style="position:absolute" from="1059,72" to="3885,72" stroked="true" strokeweight=".5pt" strokecolor="#231f20">
              <v:stroke dashstyle="solid"/>
            </v:line>
            <v:line style="position:absolute" from="2235,10" to="2235,72" stroked="true" strokeweight=".642pt" strokecolor="#000000">
              <v:stroke dashstyle="solid"/>
            </v:line>
            <w10:wrap type="none"/>
          </v:group>
        </w:pict>
      </w:r>
      <w:r>
        <w:rPr/>
        <w:pict>
          <v:line style="position:absolute;mso-position-horizontal-relative:page;mso-position-vertical-relative:paragraph;z-index:15896064" from="197.973007pt,3.578561pt" to="202.640007pt,3.578561pt" stroked="true" strokeweight=".5pt" strokecolor="#231f20">
            <v:stroke dashstyle="solid"/>
            <w10:wrap type="none"/>
          </v:line>
        </w:pict>
      </w:r>
      <w:r>
        <w:rPr>
          <w:sz w:val="12"/>
        </w:rPr>
        <w:t>8</w:t>
      </w:r>
    </w:p>
    <w:p>
      <w:pPr>
        <w:spacing w:line="128" w:lineRule="exact" w:before="0"/>
        <w:ind w:left="356" w:right="0" w:firstLine="0"/>
        <w:jc w:val="left"/>
        <w:rPr>
          <w:sz w:val="12"/>
        </w:rPr>
      </w:pPr>
      <w:r>
        <w:rPr>
          <w:sz w:val="12"/>
        </w:rPr>
        <w:t>1979 81 83 85 87 89 91 93 95 97</w:t>
      </w:r>
    </w:p>
    <w:p>
      <w:pPr>
        <w:pStyle w:val="BodyText"/>
        <w:rPr>
          <w:sz w:val="10"/>
        </w:rPr>
      </w:pPr>
    </w:p>
    <w:p>
      <w:pPr>
        <w:spacing w:line="208" w:lineRule="auto" w:before="0"/>
        <w:ind w:left="660" w:right="26" w:hanging="480"/>
        <w:jc w:val="left"/>
        <w:rPr>
          <w:sz w:val="12"/>
        </w:rPr>
      </w:pPr>
      <w:r>
        <w:rPr>
          <w:color w:val="231F20"/>
          <w:sz w:val="12"/>
        </w:rPr>
        <w:t>Sources: UK National Accounts and US National Accounts (Bureau of Economic Analysis).</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Heading7"/>
        <w:spacing w:before="91"/>
        <w:ind w:left="180"/>
      </w:pPr>
      <w:r>
        <w:rPr>
          <w:color w:val="0093C1"/>
        </w:rPr>
        <w:t>Table 2.F</w:t>
      </w:r>
    </w:p>
    <w:p>
      <w:pPr>
        <w:spacing w:line="249" w:lineRule="auto" w:before="10"/>
        <w:ind w:left="180" w:right="20" w:firstLine="0"/>
        <w:jc w:val="left"/>
        <w:rPr>
          <w:b/>
          <w:sz w:val="20"/>
        </w:rPr>
      </w:pPr>
      <w:r>
        <w:rPr>
          <w:b/>
          <w:color w:val="0093C1"/>
          <w:sz w:val="20"/>
        </w:rPr>
        <w:t>Ratio of changes to inventory investment and GDP</w:t>
      </w:r>
    </w:p>
    <w:p>
      <w:pPr>
        <w:pStyle w:val="BodyText"/>
        <w:rPr>
          <w:b/>
          <w:sz w:val="9"/>
        </w:rPr>
      </w:pPr>
    </w:p>
    <w:tbl>
      <w:tblPr>
        <w:tblW w:w="0" w:type="auto"/>
        <w:jc w:val="left"/>
        <w:tblInd w:w="1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0"/>
        <w:gridCol w:w="943"/>
        <w:gridCol w:w="1148"/>
        <w:gridCol w:w="96"/>
        <w:gridCol w:w="876"/>
      </w:tblGrid>
      <w:tr>
        <w:trPr>
          <w:trHeight w:val="462" w:hRule="atLeast"/>
        </w:trPr>
        <w:tc>
          <w:tcPr>
            <w:tcW w:w="1200" w:type="dxa"/>
            <w:tcBorders>
              <w:bottom w:val="single" w:sz="2" w:space="0" w:color="231F20"/>
            </w:tcBorders>
          </w:tcPr>
          <w:p>
            <w:pPr>
              <w:pStyle w:val="TableParagraph"/>
              <w:spacing w:line="208" w:lineRule="auto" w:before="11"/>
              <w:ind w:left="15" w:right="204"/>
              <w:rPr>
                <w:sz w:val="14"/>
              </w:rPr>
            </w:pPr>
            <w:r>
              <w:rPr>
                <w:color w:val="231F20"/>
                <w:sz w:val="14"/>
              </w:rPr>
              <w:t>Peak to trough in recession</w:t>
            </w:r>
          </w:p>
        </w:tc>
        <w:tc>
          <w:tcPr>
            <w:tcW w:w="943" w:type="dxa"/>
            <w:tcBorders>
              <w:bottom w:val="single" w:sz="2" w:space="0" w:color="231F20"/>
            </w:tcBorders>
          </w:tcPr>
          <w:p>
            <w:pPr>
              <w:pStyle w:val="TableParagraph"/>
              <w:spacing w:line="208" w:lineRule="auto" w:before="11"/>
              <w:ind w:left="5" w:right="62"/>
              <w:rPr>
                <w:sz w:val="14"/>
              </w:rPr>
            </w:pPr>
            <w:r>
              <w:rPr>
                <w:color w:val="231F20"/>
                <w:sz w:val="14"/>
              </w:rPr>
              <w:t>Change in inventories/ change in GDP</w:t>
            </w:r>
          </w:p>
        </w:tc>
        <w:tc>
          <w:tcPr>
            <w:tcW w:w="1148" w:type="dxa"/>
            <w:tcBorders>
              <w:bottom w:val="single" w:sz="2" w:space="0" w:color="231F20"/>
            </w:tcBorders>
          </w:tcPr>
          <w:p>
            <w:pPr>
              <w:pStyle w:val="TableParagraph"/>
              <w:spacing w:line="208" w:lineRule="auto" w:before="11"/>
              <w:ind w:left="82" w:right="-11" w:hanging="1"/>
              <w:rPr>
                <w:sz w:val="14"/>
              </w:rPr>
            </w:pPr>
            <w:r>
              <w:rPr>
                <w:color w:val="231F20"/>
                <w:sz w:val="14"/>
              </w:rPr>
              <w:t>First eight quarters following trough</w:t>
            </w:r>
          </w:p>
        </w:tc>
        <w:tc>
          <w:tcPr>
            <w:tcW w:w="96" w:type="dxa"/>
          </w:tcPr>
          <w:p>
            <w:pPr>
              <w:pStyle w:val="TableParagraph"/>
              <w:rPr>
                <w:sz w:val="20"/>
              </w:rPr>
            </w:pPr>
          </w:p>
        </w:tc>
        <w:tc>
          <w:tcPr>
            <w:tcW w:w="876" w:type="dxa"/>
            <w:tcBorders>
              <w:bottom w:val="single" w:sz="2" w:space="0" w:color="231F20"/>
            </w:tcBorders>
          </w:tcPr>
          <w:p>
            <w:pPr>
              <w:pStyle w:val="TableParagraph"/>
              <w:spacing w:line="208" w:lineRule="auto" w:before="11"/>
              <w:ind w:left="-2" w:right="2"/>
              <w:rPr>
                <w:sz w:val="14"/>
              </w:rPr>
            </w:pPr>
            <w:r>
              <w:rPr>
                <w:color w:val="231F20"/>
                <w:sz w:val="14"/>
              </w:rPr>
              <w:t>Change in inventories/ change in GDP</w:t>
            </w:r>
          </w:p>
        </w:tc>
      </w:tr>
      <w:tr>
        <w:trPr>
          <w:trHeight w:val="240" w:hRule="atLeast"/>
        </w:trPr>
        <w:tc>
          <w:tcPr>
            <w:tcW w:w="1200" w:type="dxa"/>
            <w:tcBorders>
              <w:top w:val="single" w:sz="2" w:space="0" w:color="231F20"/>
            </w:tcBorders>
          </w:tcPr>
          <w:p>
            <w:pPr>
              <w:pStyle w:val="TableParagraph"/>
              <w:spacing w:line="133" w:lineRule="exact" w:before="86"/>
              <w:ind w:left="15"/>
              <w:rPr>
                <w:sz w:val="14"/>
              </w:rPr>
            </w:pPr>
            <w:r>
              <w:rPr>
                <w:color w:val="231F20"/>
                <w:sz w:val="14"/>
              </w:rPr>
              <w:t>1962 Q3–63 Q1</w:t>
            </w:r>
          </w:p>
        </w:tc>
        <w:tc>
          <w:tcPr>
            <w:tcW w:w="943" w:type="dxa"/>
            <w:tcBorders>
              <w:top w:val="single" w:sz="2" w:space="0" w:color="231F20"/>
            </w:tcBorders>
          </w:tcPr>
          <w:p>
            <w:pPr>
              <w:pStyle w:val="TableParagraph"/>
              <w:spacing w:line="133" w:lineRule="exact" w:before="86"/>
              <w:ind w:left="309"/>
              <w:rPr>
                <w:sz w:val="14"/>
              </w:rPr>
            </w:pPr>
            <w:r>
              <w:rPr>
                <w:color w:val="231F20"/>
                <w:sz w:val="14"/>
              </w:rPr>
              <w:t>2.5</w:t>
            </w:r>
          </w:p>
        </w:tc>
        <w:tc>
          <w:tcPr>
            <w:tcW w:w="1148" w:type="dxa"/>
            <w:tcBorders>
              <w:top w:val="single" w:sz="2" w:space="0" w:color="231F20"/>
            </w:tcBorders>
          </w:tcPr>
          <w:p>
            <w:pPr>
              <w:pStyle w:val="TableParagraph"/>
              <w:spacing w:line="133" w:lineRule="exact" w:before="86"/>
              <w:ind w:left="121" w:right="83"/>
              <w:jc w:val="center"/>
              <w:rPr>
                <w:sz w:val="14"/>
              </w:rPr>
            </w:pPr>
            <w:r>
              <w:rPr>
                <w:color w:val="231F20"/>
                <w:sz w:val="14"/>
              </w:rPr>
              <w:t>1963 Q1–65 Q1</w:t>
            </w:r>
          </w:p>
        </w:tc>
        <w:tc>
          <w:tcPr>
            <w:tcW w:w="96" w:type="dxa"/>
          </w:tcPr>
          <w:p>
            <w:pPr>
              <w:pStyle w:val="TableParagraph"/>
              <w:rPr>
                <w:sz w:val="16"/>
              </w:rPr>
            </w:pPr>
          </w:p>
        </w:tc>
        <w:tc>
          <w:tcPr>
            <w:tcW w:w="876" w:type="dxa"/>
            <w:tcBorders>
              <w:top w:val="single" w:sz="2" w:space="0" w:color="231F20"/>
            </w:tcBorders>
          </w:tcPr>
          <w:p>
            <w:pPr>
              <w:pStyle w:val="TableParagraph"/>
              <w:spacing w:line="133" w:lineRule="exact" w:before="86"/>
              <w:ind w:left="322"/>
              <w:rPr>
                <w:sz w:val="14"/>
              </w:rPr>
            </w:pPr>
            <w:r>
              <w:rPr>
                <w:color w:val="231F20"/>
                <w:sz w:val="14"/>
              </w:rPr>
              <w:t>0.1</w:t>
            </w:r>
          </w:p>
        </w:tc>
      </w:tr>
      <w:tr>
        <w:trPr>
          <w:trHeight w:val="140" w:hRule="atLeast"/>
        </w:trPr>
        <w:tc>
          <w:tcPr>
            <w:tcW w:w="1200" w:type="dxa"/>
          </w:tcPr>
          <w:p>
            <w:pPr>
              <w:pStyle w:val="TableParagraph"/>
              <w:spacing w:line="120" w:lineRule="exact"/>
              <w:ind w:left="15"/>
              <w:rPr>
                <w:sz w:val="14"/>
              </w:rPr>
            </w:pPr>
            <w:r>
              <w:rPr>
                <w:color w:val="231F20"/>
                <w:sz w:val="14"/>
              </w:rPr>
              <w:t>1973 Q3–75 Q3</w:t>
            </w:r>
          </w:p>
        </w:tc>
        <w:tc>
          <w:tcPr>
            <w:tcW w:w="943" w:type="dxa"/>
          </w:tcPr>
          <w:p>
            <w:pPr>
              <w:pStyle w:val="TableParagraph"/>
              <w:spacing w:line="120" w:lineRule="exact"/>
              <w:ind w:left="309"/>
              <w:rPr>
                <w:sz w:val="14"/>
              </w:rPr>
            </w:pPr>
            <w:r>
              <w:rPr>
                <w:color w:val="231F20"/>
                <w:sz w:val="14"/>
              </w:rPr>
              <w:t>0.9</w:t>
            </w:r>
          </w:p>
        </w:tc>
        <w:tc>
          <w:tcPr>
            <w:tcW w:w="1148" w:type="dxa"/>
          </w:tcPr>
          <w:p>
            <w:pPr>
              <w:pStyle w:val="TableParagraph"/>
              <w:spacing w:line="120" w:lineRule="exact"/>
              <w:ind w:left="121" w:right="83"/>
              <w:jc w:val="center"/>
              <w:rPr>
                <w:sz w:val="14"/>
              </w:rPr>
            </w:pPr>
            <w:r>
              <w:rPr>
                <w:color w:val="231F20"/>
                <w:sz w:val="14"/>
              </w:rPr>
              <w:t>1975 Q3–77 Q3</w:t>
            </w:r>
          </w:p>
        </w:tc>
        <w:tc>
          <w:tcPr>
            <w:tcW w:w="96" w:type="dxa"/>
          </w:tcPr>
          <w:p>
            <w:pPr>
              <w:pStyle w:val="TableParagraph"/>
              <w:rPr>
                <w:sz w:val="8"/>
              </w:rPr>
            </w:pPr>
          </w:p>
        </w:tc>
        <w:tc>
          <w:tcPr>
            <w:tcW w:w="876" w:type="dxa"/>
          </w:tcPr>
          <w:p>
            <w:pPr>
              <w:pStyle w:val="TableParagraph"/>
              <w:spacing w:line="120" w:lineRule="exact"/>
              <w:ind w:left="322"/>
              <w:rPr>
                <w:sz w:val="14"/>
              </w:rPr>
            </w:pPr>
            <w:r>
              <w:rPr>
                <w:color w:val="231F20"/>
                <w:sz w:val="14"/>
              </w:rPr>
              <w:t>0.2</w:t>
            </w:r>
          </w:p>
        </w:tc>
      </w:tr>
      <w:tr>
        <w:trPr>
          <w:trHeight w:val="140" w:hRule="atLeast"/>
        </w:trPr>
        <w:tc>
          <w:tcPr>
            <w:tcW w:w="1200" w:type="dxa"/>
          </w:tcPr>
          <w:p>
            <w:pPr>
              <w:pStyle w:val="TableParagraph"/>
              <w:spacing w:line="120" w:lineRule="exact"/>
              <w:ind w:left="15"/>
              <w:rPr>
                <w:sz w:val="12"/>
              </w:rPr>
            </w:pPr>
            <w:r>
              <w:rPr>
                <w:color w:val="231F20"/>
                <w:sz w:val="14"/>
              </w:rPr>
              <w:t>1979 Q2–81 Q1 </w:t>
            </w:r>
            <w:r>
              <w:rPr>
                <w:color w:val="231F20"/>
                <w:sz w:val="12"/>
              </w:rPr>
              <w:t>(a)</w:t>
            </w:r>
          </w:p>
        </w:tc>
        <w:tc>
          <w:tcPr>
            <w:tcW w:w="943" w:type="dxa"/>
          </w:tcPr>
          <w:p>
            <w:pPr>
              <w:pStyle w:val="TableParagraph"/>
              <w:spacing w:line="120" w:lineRule="exact"/>
              <w:ind w:left="310"/>
              <w:rPr>
                <w:sz w:val="14"/>
              </w:rPr>
            </w:pPr>
            <w:r>
              <w:rPr>
                <w:color w:val="231F20"/>
                <w:sz w:val="14"/>
              </w:rPr>
              <w:t>0.3</w:t>
            </w:r>
          </w:p>
        </w:tc>
        <w:tc>
          <w:tcPr>
            <w:tcW w:w="1148" w:type="dxa"/>
          </w:tcPr>
          <w:p>
            <w:pPr>
              <w:pStyle w:val="TableParagraph"/>
              <w:spacing w:line="120" w:lineRule="exact"/>
              <w:ind w:left="121" w:right="83"/>
              <w:jc w:val="center"/>
              <w:rPr>
                <w:sz w:val="14"/>
              </w:rPr>
            </w:pPr>
            <w:r>
              <w:rPr>
                <w:color w:val="231F20"/>
                <w:sz w:val="14"/>
              </w:rPr>
              <w:t>1981 Q1–83 Q1</w:t>
            </w:r>
          </w:p>
        </w:tc>
        <w:tc>
          <w:tcPr>
            <w:tcW w:w="96" w:type="dxa"/>
          </w:tcPr>
          <w:p>
            <w:pPr>
              <w:pStyle w:val="TableParagraph"/>
              <w:rPr>
                <w:sz w:val="8"/>
              </w:rPr>
            </w:pPr>
          </w:p>
        </w:tc>
        <w:tc>
          <w:tcPr>
            <w:tcW w:w="876" w:type="dxa"/>
          </w:tcPr>
          <w:p>
            <w:pPr>
              <w:pStyle w:val="TableParagraph"/>
              <w:spacing w:line="120" w:lineRule="exact"/>
              <w:ind w:left="323"/>
              <w:rPr>
                <w:sz w:val="14"/>
              </w:rPr>
            </w:pPr>
            <w:r>
              <w:rPr>
                <w:color w:val="231F20"/>
                <w:sz w:val="14"/>
              </w:rPr>
              <w:t>0.3</w:t>
            </w:r>
          </w:p>
        </w:tc>
      </w:tr>
      <w:tr>
        <w:trPr>
          <w:trHeight w:val="147" w:hRule="atLeast"/>
        </w:trPr>
        <w:tc>
          <w:tcPr>
            <w:tcW w:w="1200" w:type="dxa"/>
          </w:tcPr>
          <w:p>
            <w:pPr>
              <w:pStyle w:val="TableParagraph"/>
              <w:spacing w:line="128" w:lineRule="exact"/>
              <w:ind w:left="14"/>
              <w:rPr>
                <w:sz w:val="14"/>
              </w:rPr>
            </w:pPr>
            <w:r>
              <w:rPr>
                <w:color w:val="231F20"/>
                <w:sz w:val="14"/>
              </w:rPr>
              <w:t>1990 Q2–92 Q1</w:t>
            </w:r>
          </w:p>
        </w:tc>
        <w:tc>
          <w:tcPr>
            <w:tcW w:w="943" w:type="dxa"/>
          </w:tcPr>
          <w:p>
            <w:pPr>
              <w:pStyle w:val="TableParagraph"/>
              <w:spacing w:line="128" w:lineRule="exact"/>
              <w:ind w:left="309"/>
              <w:rPr>
                <w:sz w:val="14"/>
              </w:rPr>
            </w:pPr>
            <w:r>
              <w:rPr>
                <w:color w:val="231F20"/>
                <w:sz w:val="14"/>
              </w:rPr>
              <w:t>0.1</w:t>
            </w:r>
          </w:p>
        </w:tc>
        <w:tc>
          <w:tcPr>
            <w:tcW w:w="1148" w:type="dxa"/>
          </w:tcPr>
          <w:p>
            <w:pPr>
              <w:pStyle w:val="TableParagraph"/>
              <w:spacing w:line="128" w:lineRule="exact"/>
              <w:ind w:left="121" w:right="83"/>
              <w:jc w:val="center"/>
              <w:rPr>
                <w:sz w:val="14"/>
              </w:rPr>
            </w:pPr>
            <w:r>
              <w:rPr>
                <w:color w:val="231F20"/>
                <w:sz w:val="14"/>
              </w:rPr>
              <w:t>1992 Q1–94 Q1</w:t>
            </w:r>
          </w:p>
        </w:tc>
        <w:tc>
          <w:tcPr>
            <w:tcW w:w="96" w:type="dxa"/>
          </w:tcPr>
          <w:p>
            <w:pPr>
              <w:pStyle w:val="TableParagraph"/>
              <w:rPr>
                <w:sz w:val="8"/>
              </w:rPr>
            </w:pPr>
          </w:p>
        </w:tc>
        <w:tc>
          <w:tcPr>
            <w:tcW w:w="876" w:type="dxa"/>
          </w:tcPr>
          <w:p>
            <w:pPr>
              <w:pStyle w:val="TableParagraph"/>
              <w:spacing w:line="128" w:lineRule="exact"/>
              <w:ind w:left="322"/>
              <w:rPr>
                <w:sz w:val="14"/>
              </w:rPr>
            </w:pPr>
            <w:r>
              <w:rPr>
                <w:color w:val="231F20"/>
                <w:sz w:val="14"/>
              </w:rPr>
              <w:t>0.1</w:t>
            </w:r>
          </w:p>
        </w:tc>
      </w:tr>
    </w:tbl>
    <w:p>
      <w:pPr>
        <w:pStyle w:val="ListParagraph"/>
        <w:numPr>
          <w:ilvl w:val="0"/>
          <w:numId w:val="15"/>
        </w:numPr>
        <w:tabs>
          <w:tab w:pos="420" w:val="left" w:leader="none"/>
        </w:tabs>
        <w:spacing w:line="240" w:lineRule="auto" w:before="117" w:after="0"/>
        <w:ind w:left="419" w:right="0" w:hanging="240"/>
        <w:jc w:val="left"/>
        <w:rPr>
          <w:sz w:val="12"/>
        </w:rPr>
      </w:pPr>
      <w:r>
        <w:rPr>
          <w:color w:val="231F20"/>
          <w:sz w:val="12"/>
        </w:rPr>
        <w:t>Excludes alignment adjustment.</w:t>
      </w:r>
    </w:p>
    <w:p>
      <w:pPr>
        <w:pStyle w:val="Heading4"/>
        <w:spacing w:line="242" w:lineRule="auto" w:before="207"/>
        <w:ind w:left="180" w:right="262"/>
      </w:pPr>
      <w:r>
        <w:rPr/>
        <w:br w:type="column"/>
      </w:r>
      <w:r>
        <w:rPr>
          <w:color w:val="231F20"/>
        </w:rPr>
        <w:t>boost the overall level of investment. Millennium-related construction spending will probably also raise the level of total capital spending and may bring some spending forward, though it may also lead to some substitution between private and public investment</w:t>
      </w:r>
      <w:r>
        <w:rPr>
          <w:color w:val="231F20"/>
          <w:spacing w:val="-8"/>
        </w:rPr>
        <w:t> </w:t>
      </w:r>
      <w:r>
        <w:rPr>
          <w:color w:val="231F20"/>
        </w:rPr>
        <w:t>spending.</w:t>
      </w:r>
    </w:p>
    <w:p>
      <w:pPr>
        <w:spacing w:line="242" w:lineRule="auto" w:before="6"/>
        <w:ind w:left="180" w:right="534" w:firstLine="0"/>
        <w:jc w:val="left"/>
        <w:rPr>
          <w:sz w:val="24"/>
        </w:rPr>
      </w:pPr>
      <w:hyperlink w:history="true" w:anchor="_bookmark14">
        <w:r>
          <w:rPr>
            <w:color w:val="231F20"/>
            <w:sz w:val="24"/>
          </w:rPr>
          <w:t>The box on page 20</w:t>
        </w:r>
      </w:hyperlink>
      <w:r>
        <w:rPr>
          <w:color w:val="231F20"/>
          <w:sz w:val="24"/>
        </w:rPr>
        <w:t> considers the likely impact of such spending, together with other Millennium-related effects.</w:t>
      </w:r>
    </w:p>
    <w:p>
      <w:pPr>
        <w:pStyle w:val="BodyText"/>
        <w:spacing w:before="2"/>
        <w:rPr>
          <w:sz w:val="28"/>
        </w:rPr>
      </w:pPr>
    </w:p>
    <w:p>
      <w:pPr>
        <w:pStyle w:val="Heading5"/>
        <w:rPr>
          <w:i/>
        </w:rPr>
      </w:pPr>
      <w:r>
        <w:rPr>
          <w:i/>
          <w:color w:val="009483"/>
        </w:rPr>
        <w:t>Inventory investment</w:t>
      </w:r>
    </w:p>
    <w:p>
      <w:pPr>
        <w:spacing w:line="242" w:lineRule="auto" w:before="164"/>
        <w:ind w:left="180" w:right="419" w:firstLine="0"/>
        <w:jc w:val="left"/>
        <w:rPr>
          <w:sz w:val="24"/>
        </w:rPr>
      </w:pPr>
      <w:r>
        <w:rPr>
          <w:color w:val="231F20"/>
          <w:sz w:val="24"/>
        </w:rPr>
        <w:t>Inventory investment (including the alignment adjustment) has risen by more than £1 billion in each of the previous three quarters, and rose by £1.6 billion in 1998 Q2, contributing 0.3 percentage points to GDP growth. The rise in inventories in the first half of 1998 was more than accounted for by higher inventories of finished manufactured and retail goods. The total inventory-output ratio has risen in each of the past two quarters.</w:t>
      </w:r>
    </w:p>
    <w:p>
      <w:pPr>
        <w:pStyle w:val="BodyText"/>
        <w:spacing w:before="10"/>
        <w:rPr>
          <w:sz w:val="28"/>
        </w:rPr>
      </w:pPr>
    </w:p>
    <w:p>
      <w:pPr>
        <w:spacing w:line="242" w:lineRule="auto" w:before="0"/>
        <w:ind w:left="180" w:right="287" w:firstLine="0"/>
        <w:jc w:val="left"/>
        <w:rPr>
          <w:sz w:val="24"/>
        </w:rPr>
      </w:pPr>
      <w:r>
        <w:rPr>
          <w:color w:val="231F20"/>
          <w:sz w:val="24"/>
        </w:rPr>
        <w:t>The inventory-output ratio has been on a declining trend since the early 1980s, partly owing to the introduction of integrated production processes and stock management techniques such as ‘just-in-time’. Chart 2.9 shows that the level of the inventory-output ratio in the United Kingdom is now similar to that in the United States.</w:t>
      </w:r>
    </w:p>
    <w:p>
      <w:pPr>
        <w:spacing w:line="242" w:lineRule="auto" w:before="7"/>
        <w:ind w:left="180" w:right="251" w:firstLine="0"/>
        <w:jc w:val="left"/>
        <w:rPr>
          <w:sz w:val="24"/>
        </w:rPr>
      </w:pPr>
      <w:r>
        <w:rPr>
          <w:color w:val="231F20"/>
          <w:sz w:val="24"/>
        </w:rPr>
        <w:t>Inventory investment may have become less important to the economic cycle, perhaps because of the decline in the inventory-output ratio.</w:t>
      </w:r>
      <w:r>
        <w:rPr>
          <w:color w:val="231F20"/>
          <w:position w:val="5"/>
          <w:sz w:val="16"/>
        </w:rPr>
        <w:t>(1) </w:t>
      </w:r>
      <w:r>
        <w:rPr>
          <w:color w:val="231F20"/>
          <w:sz w:val="24"/>
        </w:rPr>
        <w:t>Table 2.F shows that the turning-points in the most recent cycle owed less to changes in inventories than in previous cycles. That is less clear in the United States, perhaps because the US inventory-output ratio has been broadly flat since the late 1980s. The UK inventory-output ratio has also flattened since 1994.</w:t>
      </w:r>
    </w:p>
    <w:p>
      <w:pPr>
        <w:pStyle w:val="BodyText"/>
        <w:spacing w:before="9"/>
        <w:rPr>
          <w:sz w:val="28"/>
        </w:rPr>
      </w:pPr>
    </w:p>
    <w:p>
      <w:pPr>
        <w:spacing w:line="242" w:lineRule="auto" w:before="1"/>
        <w:ind w:left="180" w:right="251" w:firstLine="0"/>
        <w:jc w:val="left"/>
        <w:rPr>
          <w:sz w:val="24"/>
        </w:rPr>
      </w:pPr>
      <w:r>
        <w:rPr>
          <w:color w:val="231F20"/>
          <w:sz w:val="24"/>
        </w:rPr>
        <w:t>The Bank’s regional Agencies conducted an informal survey of contacts in September on the behaviour of inventories. They found that weaker-than-expected sales and orders had led to a rise in stocks of finished goods among 40% of contacts. The percentage was highest in the manufacturing sector; the picture was less clear among retailers and distributors. However, more than 70% of contacts expected to see stock levels fall relative to sales in the medium term.</w:t>
      </w:r>
    </w:p>
    <w:p>
      <w:pPr>
        <w:pStyle w:val="BodyText"/>
        <w:rPr>
          <w:sz w:val="27"/>
        </w:rPr>
      </w:pPr>
    </w:p>
    <w:p>
      <w:pPr>
        <w:spacing w:line="242" w:lineRule="auto" w:before="1"/>
        <w:ind w:left="180" w:right="382" w:firstLine="0"/>
        <w:jc w:val="left"/>
        <w:rPr>
          <w:sz w:val="24"/>
        </w:rPr>
      </w:pPr>
      <w:r>
        <w:rPr>
          <w:color w:val="231F20"/>
          <w:sz w:val="24"/>
        </w:rPr>
        <w:t>The recent increase in inventories could be a normal cyclical response—firms typically take time to adjust</w:t>
      </w:r>
    </w:p>
    <w:p>
      <w:pPr>
        <w:pStyle w:val="BodyText"/>
        <w:spacing w:before="4"/>
        <w:rPr>
          <w:sz w:val="29"/>
        </w:rPr>
      </w:pPr>
      <w:r>
        <w:rPr/>
        <w:pict>
          <v:shape style="position:absolute;margin-left:278pt;margin-top:18.928993pt;width:278pt;height:.1pt;mso-position-horizontal-relative:page;mso-position-vertical-relative:paragraph;z-index:-15568896;mso-wrap-distance-left:0;mso-wrap-distance-right:0" coordorigin="5560,379" coordsize="5560,0" path="m5560,379l11120,379e" filled="false" stroked="true" strokeweight=".125pt" strokecolor="#231f20">
            <v:path arrowok="t"/>
            <v:stroke dashstyle="solid"/>
            <w10:wrap type="topAndBottom"/>
          </v:shape>
        </w:pict>
      </w:r>
    </w:p>
    <w:p>
      <w:pPr>
        <w:pStyle w:val="ListParagraph"/>
        <w:numPr>
          <w:ilvl w:val="1"/>
          <w:numId w:val="15"/>
        </w:numPr>
        <w:tabs>
          <w:tab w:pos="421" w:val="left" w:leader="none"/>
        </w:tabs>
        <w:spacing w:line="240" w:lineRule="auto" w:before="0" w:after="0"/>
        <w:ind w:left="420" w:right="0" w:hanging="241"/>
        <w:jc w:val="left"/>
        <w:rPr>
          <w:sz w:val="16"/>
        </w:rPr>
      </w:pPr>
      <w:r>
        <w:rPr>
          <w:color w:val="231F20"/>
          <w:sz w:val="16"/>
        </w:rPr>
        <w:t>See also the box on page 24 of the August 1995</w:t>
      </w:r>
      <w:r>
        <w:rPr>
          <w:color w:val="231F20"/>
          <w:spacing w:val="-2"/>
          <w:sz w:val="16"/>
        </w:rPr>
        <w:t> </w:t>
      </w:r>
      <w:r>
        <w:rPr>
          <w:i/>
          <w:color w:val="231F20"/>
          <w:sz w:val="16"/>
        </w:rPr>
        <w:t>Report</w:t>
      </w:r>
      <w:r>
        <w:rPr>
          <w:color w:val="231F20"/>
          <w:sz w:val="16"/>
        </w:rPr>
        <w:t>.</w:t>
      </w:r>
    </w:p>
    <w:p>
      <w:pPr>
        <w:spacing w:after="0" w:line="240" w:lineRule="auto"/>
        <w:jc w:val="left"/>
        <w:rPr>
          <w:sz w:val="16"/>
        </w:rPr>
        <w:sectPr>
          <w:type w:val="continuous"/>
          <w:pgSz w:w="11900" w:h="16840"/>
          <w:pgMar w:top="1220" w:bottom="280" w:left="620" w:right="520"/>
          <w:cols w:num="2" w:equalWidth="0">
            <w:col w:w="4076" w:space="724"/>
            <w:col w:w="5960"/>
          </w:cols>
        </w:sectPr>
      </w:pPr>
    </w:p>
    <w:p>
      <w:pPr>
        <w:pStyle w:val="BodyText"/>
        <w:rPr>
          <w:sz w:val="20"/>
        </w:rPr>
      </w:pPr>
    </w:p>
    <w:p>
      <w:pPr>
        <w:pStyle w:val="Heading2"/>
        <w:spacing w:before="218"/>
        <w:ind w:left="1861" w:right="1978"/>
        <w:jc w:val="center"/>
      </w:pPr>
      <w:bookmarkStart w:name="The Millennium" w:id="44"/>
      <w:bookmarkEnd w:id="44"/>
      <w:r>
        <w:rPr>
          <w:b w:val="0"/>
        </w:rPr>
      </w:r>
      <w:bookmarkStart w:name="_bookmark14" w:id="45"/>
      <w:bookmarkEnd w:id="45"/>
      <w:r>
        <w:rPr>
          <w:b w:val="0"/>
        </w:rPr>
      </w:r>
      <w:r>
        <w:rPr>
          <w:color w:val="009483"/>
        </w:rPr>
        <w:t>The Millennium</w:t>
      </w:r>
    </w:p>
    <w:p>
      <w:pPr>
        <w:pStyle w:val="BodyText"/>
        <w:spacing w:before="6"/>
        <w:rPr>
          <w:b/>
          <w:sz w:val="10"/>
        </w:rPr>
      </w:pPr>
    </w:p>
    <w:p>
      <w:pPr>
        <w:spacing w:after="0"/>
        <w:rPr>
          <w:sz w:val="10"/>
        </w:rPr>
        <w:sectPr>
          <w:pgSz w:w="11900" w:h="16840"/>
          <w:pgMar w:header="586" w:footer="597" w:top="780" w:bottom="780" w:left="620" w:right="520"/>
        </w:sectPr>
      </w:pPr>
    </w:p>
    <w:p>
      <w:pPr>
        <w:spacing w:line="244" w:lineRule="auto" w:before="89"/>
        <w:ind w:left="454" w:right="179" w:firstLine="0"/>
        <w:jc w:val="both"/>
        <w:rPr>
          <w:sz w:val="22"/>
        </w:rPr>
      </w:pPr>
      <w:r>
        <w:rPr/>
        <w:pict>
          <v:group style="position:absolute;margin-left:40pt;margin-top:41pt;width:516pt;height:740pt;mso-position-horizontal-relative:page;mso-position-vertical-relative:page;z-index:-21591552" coordorigin="800,820" coordsize="10320,14800">
            <v:shape style="position:absolute;left:820;top:840;width:10280;height:14760" coordorigin="820,840" coordsize="10280,14760" path="m11100,840l5974,840,5946,840,820,840,820,8191,820,8249,820,15600,5946,15600,5974,15600,11100,15600,11100,840xe" filled="true" fillcolor="#c3e0dc" stroked="false">
              <v:path arrowok="t"/>
              <v:fill type="solid"/>
            </v:shape>
            <v:shape style="position:absolute;left:899;top:962;width:10122;height:14516" coordorigin="899,962" coordsize="10122,14516" path="m5960,962l899,8220,5960,15478,11021,8220,5960,962xe" filled="true" fillcolor="#c4e1dd" stroked="false">
              <v:path arrowok="t"/>
              <v:fill type="solid"/>
            </v:shape>
            <v:shape style="position:absolute;left:998;top:1104;width:9923;height:14231" coordorigin="998,1105" coordsize="9923,14231" path="m5960,1105l998,8220,5960,15335,10921,8220,5960,1105xe" filled="true" fillcolor="#c5e1dd" stroked="false">
              <v:path arrowok="t"/>
              <v:fill type="solid"/>
            </v:shape>
            <v:shape style="position:absolute;left:1097;top:1247;width:9725;height:13947" coordorigin="1098,1247" coordsize="9725,13947" path="m5960,1247l1098,8220,5960,15193,10822,8220,5960,1247xe" filled="true" fillcolor="#c6e2de" stroked="false">
              <v:path arrowok="t"/>
              <v:fill type="solid"/>
            </v:shape>
            <v:shape style="position:absolute;left:1196;top:1389;width:9527;height:13662" coordorigin="1197,1389" coordsize="9527,13662" path="m5960,1389l1197,8220,5960,15051,10723,8220,5960,1389xe" filled="true" fillcolor="#c7e2df" stroked="false">
              <v:path arrowok="t"/>
              <v:fill type="solid"/>
            </v:shape>
            <v:shape style="position:absolute;left:1296;top:1531;width:9328;height:13377" coordorigin="1296,1532" coordsize="9328,13377" path="m5960,1532l1296,8220,5960,14908,10624,8220,5960,1532xe" filled="true" fillcolor="#c8e3df" stroked="false">
              <v:path arrowok="t"/>
              <v:fill type="solid"/>
            </v:shape>
            <v:shape style="position:absolute;left:1395;top:1673;width:9130;height:13093" coordorigin="1395,1674" coordsize="9130,13093" path="m5960,1674l1395,8220,5960,14766,10524,8220,5960,1674xe" filled="true" fillcolor="#c9e3e0" stroked="false">
              <v:path arrowok="t"/>
              <v:fill type="solid"/>
            </v:shape>
            <v:shape style="position:absolute;left:1494;top:1816;width:8931;height:12808" coordorigin="1495,1816" coordsize="8931,12808" path="m5960,1816l1495,8220,5960,14624,10425,8220,5960,1816xe" filled="true" fillcolor="#cae4e0" stroked="false">
              <v:path arrowok="t"/>
              <v:fill type="solid"/>
            </v:shape>
            <v:shape style="position:absolute;left:1593;top:1958;width:8733;height:12523" coordorigin="1594,1959" coordsize="8733,12523" path="m5960,1959l1594,8220,5960,14482,10326,8220,5960,1959xe" filled="true" fillcolor="#cbe4e1" stroked="false">
              <v:path arrowok="t"/>
              <v:fill type="solid"/>
            </v:shape>
            <v:shape style="position:absolute;left:1693;top:2100;width:8534;height:12239" coordorigin="1693,2101" coordsize="8534,12239" path="m5960,2101l1693,8220,5960,14339,10227,8220,5960,2101xe" filled="true" fillcolor="#cce5e1" stroked="false">
              <v:path arrowok="t"/>
              <v:fill type="solid"/>
            </v:shape>
            <v:shape style="position:absolute;left:1792;top:2243;width:8336;height:11954" coordorigin="1792,2243" coordsize="8336,11954" path="m5960,2243l1792,8220,5960,14197,10128,8220,5960,2243xe" filled="true" fillcolor="#cde5e2" stroked="false">
              <v:path arrowok="t"/>
              <v:fill type="solid"/>
            </v:shape>
            <v:shape style="position:absolute;left:1891;top:2385;width:8137;height:11670" coordorigin="1892,2386" coordsize="8137,11670" path="m5960,2386l1892,8220,5960,14055,10028,8220,5960,2386xe" filled="true" fillcolor="#cee6e3" stroked="false">
              <v:path arrowok="t"/>
              <v:fill type="solid"/>
            </v:shape>
            <v:shape style="position:absolute;left:1990;top:2527;width:7939;height:11385" coordorigin="1991,2528" coordsize="7939,11385" path="m5960,2528l1991,8220,5960,13912,9929,8220,5960,2528xe" filled="true" fillcolor="#cfe6e3" stroked="false">
              <v:path arrowok="t"/>
              <v:fill type="solid"/>
            </v:shape>
            <v:shape style="position:absolute;left:2089;top:2670;width:7740;height:11100" coordorigin="2090,2670" coordsize="7740,11100" path="m5960,2670l2090,8220,5960,13770,9830,8220,5960,2670xe" filled="true" fillcolor="#d0e7e4" stroked="false">
              <v:path arrowok="t"/>
              <v:fill type="solid"/>
            </v:shape>
            <v:shape style="position:absolute;left:2189;top:2812;width:7542;height:10816" coordorigin="2189,2812" coordsize="7542,10816" path="m5960,2812l2189,8220,5960,13628,9731,8220,5960,2812xe" filled="true" fillcolor="#d1e7e4" stroked="false">
              <v:path arrowok="t"/>
              <v:fill type="solid"/>
            </v:shape>
            <v:shape style="position:absolute;left:2288;top:2954;width:7343;height:10531" coordorigin="2288,2955" coordsize="7343,10531" path="m5960,2955l2288,8220,5960,13485,9631,8220,5960,2955xe" filled="true" fillcolor="#d3e8e5" stroked="false">
              <v:path arrowok="t"/>
              <v:fill type="solid"/>
            </v:shape>
            <v:shape style="position:absolute;left:2387;top:3097;width:7145;height:10247" coordorigin="2388,3097" coordsize="7145,10247" path="m5960,3097l2388,8220,5960,13343,9532,8220,5960,3097xe" filled="true" fillcolor="#d4e8e5" stroked="false">
              <v:path arrowok="t"/>
              <v:fill type="solid"/>
            </v:shape>
            <v:shape style="position:absolute;left:2486;top:3239;width:6947;height:9962" coordorigin="2487,3239" coordsize="6947,9962" path="m5960,3239l2487,8220,5960,13201,9433,8220,5960,3239xe" filled="true" fillcolor="#d5e9e6" stroked="false">
              <v:path arrowok="t"/>
              <v:fill type="solid"/>
            </v:shape>
            <v:shape style="position:absolute;left:2586;top:3381;width:6748;height:9677" coordorigin="2586,3382" coordsize="6748,9677" path="m5960,3382l2586,8220,5960,13058,9334,8220,5960,3382xe" filled="true" fillcolor="#d6eae7" stroked="false">
              <v:path arrowok="t"/>
              <v:fill type="solid"/>
            </v:shape>
            <v:shape style="position:absolute;left:2685;top:3523;width:6550;height:9393" coordorigin="2685,3524" coordsize="6550,9393" path="m5960,3524l2685,8220,5960,12916,9234,8220,5960,3524xe" filled="true" fillcolor="#d7eae7" stroked="false">
              <v:path arrowok="t"/>
              <v:fill type="solid"/>
            </v:shape>
            <v:shape style="position:absolute;left:2784;top:3666;width:6351;height:9108" coordorigin="2785,3666" coordsize="6351,9108" path="m5960,3666l2785,8220,5960,12774,9135,8220,5960,3666xe" filled="true" fillcolor="#d8ebe8" stroked="false">
              <v:path arrowok="t"/>
              <v:fill type="solid"/>
            </v:shape>
            <v:shape style="position:absolute;left:2883;top:3808;width:6153;height:8823" coordorigin="2884,3809" coordsize="6153,8823" path="m5960,3809l2884,8220,5960,12632,9036,8220,5960,3809xe" filled="true" fillcolor="#d9ebe8" stroked="false">
              <v:path arrowok="t"/>
              <v:fill type="solid"/>
            </v:shape>
            <v:shape style="position:absolute;left:2983;top:3950;width:5954;height:8539" coordorigin="2983,3951" coordsize="5954,8539" path="m5960,3951l2983,8220,5960,12489,8937,8220,5960,3951xe" filled="true" fillcolor="#daece9" stroked="false">
              <v:path arrowok="t"/>
              <v:fill type="solid"/>
            </v:shape>
            <v:shape style="position:absolute;left:3082;top:4093;width:5756;height:8254" coordorigin="3082,4093" coordsize="5756,8254" path="m5960,4093l3082,8220,5960,12347,8838,8220,5960,4093xe" filled="true" fillcolor="#dbece9" stroked="false">
              <v:path arrowok="t"/>
              <v:fill type="solid"/>
            </v:shape>
            <v:shape style="position:absolute;left:3181;top:4235;width:5557;height:7970" coordorigin="3182,4235" coordsize="5557,7970" path="m5960,4235l3182,8220,5960,12205,8738,8220,5960,4235xe" filled="true" fillcolor="#dcedea" stroked="false">
              <v:path arrowok="t"/>
              <v:fill type="solid"/>
            </v:shape>
            <v:shape style="position:absolute;left:3280;top:4377;width:5359;height:7685" coordorigin="3281,4378" coordsize="5359,7685" path="m5960,4378l3281,8220,5960,12062,8639,8220,5960,4378xe" filled="true" fillcolor="#ddedeb" stroked="false">
              <v:path arrowok="t"/>
              <v:fill type="solid"/>
            </v:shape>
            <v:shape style="position:absolute;left:3379;top:4520;width:5160;height:7400" coordorigin="3380,4520" coordsize="5160,7400" path="m5960,4520l3380,8220,5960,11920,8540,8220,5960,4520xe" filled="true" fillcolor="#deeeeb" stroked="false">
              <v:path arrowok="t"/>
              <v:fill type="solid"/>
            </v:shape>
            <v:shape style="position:absolute;left:3479;top:4662;width:4962;height:7116" coordorigin="3479,4662" coordsize="4962,7116" path="m5960,4662l3479,8220,5960,11778,8441,8220,5960,4662xe" filled="true" fillcolor="#e0efec" stroked="false">
              <v:path arrowok="t"/>
              <v:fill type="solid"/>
            </v:shape>
            <v:shape style="position:absolute;left:3578;top:4804;width:4764;height:6831" coordorigin="3578,4805" coordsize="4764,6831" path="m5960,4805l3578,8220,5960,11635,8341,8220,5960,4805xe" filled="true" fillcolor="#e1efec" stroked="false">
              <v:path arrowok="t"/>
              <v:fill type="solid"/>
            </v:shape>
            <v:shape style="position:absolute;left:3677;top:4947;width:4565;height:6547" coordorigin="3678,4947" coordsize="4565,6547" path="m5960,4947l3678,8220,5960,11493,8242,8220,5960,4947xe" filled="true" fillcolor="#e2f0ed" stroked="false">
              <v:path arrowok="t"/>
              <v:fill type="solid"/>
            </v:shape>
            <v:shape style="position:absolute;left:3776;top:5089;width:4367;height:6262" coordorigin="3777,5089" coordsize="4367,6262" path="m5960,5089l3777,8220,5960,11351,8143,8220,5960,5089xe" filled="true" fillcolor="#e3f0ee" stroked="false">
              <v:path arrowok="t"/>
              <v:fill type="solid"/>
            </v:shape>
            <v:shape style="position:absolute;left:3876;top:5231;width:4168;height:5977" coordorigin="3876,5232" coordsize="4168,5977" path="m5960,5232l3876,8220,5960,11209,8044,8220,5960,5232xe" filled="true" fillcolor="#e4f1ee" stroked="false">
              <v:path arrowok="t"/>
              <v:fill type="solid"/>
            </v:shape>
            <v:shape style="position:absolute;left:3975;top:5373;width:3970;height:5693" coordorigin="3975,5374" coordsize="3970,5693" path="m5960,5374l3975,8220,5960,11066,7945,8220,5960,5374xe" filled="true" fillcolor="#e5f1ef" stroked="false">
              <v:path arrowok="t"/>
              <v:fill type="solid"/>
            </v:shape>
            <v:shape style="position:absolute;left:4074;top:5516;width:3771;height:5408" coordorigin="4075,5516" coordsize="3771,5408" path="m5960,5516l4075,8220,5960,10924,7845,8220,5960,5516xe" filled="true" fillcolor="#e6f2ef" stroked="false">
              <v:path arrowok="t"/>
              <v:fill type="solid"/>
            </v:shape>
            <v:shape style="position:absolute;left:4173;top:5658;width:3573;height:5124" coordorigin="4174,5659" coordsize="3573,5124" path="m5960,5659l4174,8220,5960,10782,7746,8220,5960,5659xe" filled="true" fillcolor="#e7f3f0" stroked="false">
              <v:path arrowok="t"/>
              <v:fill type="solid"/>
            </v:shape>
            <v:shape style="position:absolute;left:4273;top:5800;width:3374;height:4839" coordorigin="4273,5801" coordsize="3374,4839" path="m5960,5801l4273,8220,5960,10639,7647,8220,5960,5801xe" filled="true" fillcolor="#e9f3f1" stroked="false">
              <v:path arrowok="t"/>
              <v:fill type="solid"/>
            </v:shape>
            <v:shape style="position:absolute;left:4372;top:5943;width:3176;height:4554" coordorigin="4372,5943" coordsize="3176,4554" path="m5960,5943l4372,8220,5960,10497,7548,8220,5960,5943xe" filled="true" fillcolor="#eaf4f2" stroked="false">
              <v:path arrowok="t"/>
              <v:fill type="solid"/>
            </v:shape>
            <v:shape style="position:absolute;left:4471;top:6085;width:2977;height:4270" coordorigin="4471,6085" coordsize="2977,4270" path="m5960,6085l4471,8220,5960,10355,7448,8220,5960,6085xe" filled="true" fillcolor="#ebf4f2" stroked="false">
              <v:path arrowok="t"/>
              <v:fill type="solid"/>
            </v:shape>
            <v:shape style="position:absolute;left:4570;top:6227;width:2779;height:3985" coordorigin="4571,6228" coordsize="2779,3985" path="m5960,6228l4571,8220,5960,10212,7349,8220,5960,6228xe" filled="true" fillcolor="#ecf5f3" stroked="false">
              <v:path arrowok="t"/>
              <v:fill type="solid"/>
            </v:shape>
            <v:shape style="position:absolute;left:4669;top:6370;width:2580;height:3700" coordorigin="4670,6370" coordsize="2580,3700" path="m5960,6370l4670,8220,5960,10070,7250,8220,5960,6370xe" filled="true" fillcolor="#edf6f4" stroked="false">
              <v:path arrowok="t"/>
              <v:fill type="solid"/>
            </v:shape>
            <v:shape style="position:absolute;left:4769;top:6512;width:2382;height:3416" coordorigin="4769,6512" coordsize="2382,3416" path="m5960,6512l4769,8220,5960,9928,7151,8220,5960,6512xe" filled="true" fillcolor="#eff7f5" stroked="false">
              <v:path arrowok="t"/>
              <v:fill type="solid"/>
            </v:shape>
            <v:shape style="position:absolute;left:4868;top:6654;width:2184;height:3131" coordorigin="4868,6655" coordsize="2184,3131" path="m5960,6655l4868,8220,5960,9785,7051,8220,5960,6655xe" filled="true" fillcolor="#f0f7f5" stroked="false">
              <v:path arrowok="t"/>
              <v:fill type="solid"/>
            </v:shape>
            <v:shape style="position:absolute;left:4967;top:6797;width:1985;height:2847" coordorigin="4968,6797" coordsize="1985,2847" path="m5960,6797l4968,8220,5960,9643,6952,8220,5960,6797xe" filled="true" fillcolor="#f1f8f6" stroked="false">
              <v:path arrowok="t"/>
              <v:fill type="solid"/>
            </v:shape>
            <v:shape style="position:absolute;left:5066;top:6939;width:1787;height:2562" coordorigin="5067,6939" coordsize="1787,2562" path="m5960,6939l5067,8220,5960,9501,6853,8220,5960,6939xe" filled="true" fillcolor="#f2f8f7" stroked="false">
              <v:path arrowok="t"/>
              <v:fill type="solid"/>
            </v:shape>
            <v:shape style="position:absolute;left:5166;top:7081;width:1588;height:2277" coordorigin="5166,7082" coordsize="1588,2277" path="m5960,7082l5166,8220,5960,9359,6754,8220,5960,7082xe" filled="true" fillcolor="#f3f9f8" stroked="false">
              <v:path arrowok="t"/>
              <v:fill type="solid"/>
            </v:shape>
            <v:shape style="position:absolute;left:5265;top:7223;width:1390;height:1993" coordorigin="5265,7224" coordsize="1390,1993" path="m5960,7224l5265,8220,5960,9216,6655,8220,5960,7224xe" filled="true" fillcolor="#f5f9f8" stroked="false">
              <v:path arrowok="t"/>
              <v:fill type="solid"/>
            </v:shape>
            <v:shape style="position:absolute;left:5364;top:7366;width:1191;height:1708" coordorigin="5365,7366" coordsize="1191,1708" path="m5960,7366l5365,8220,5960,9074,6555,8220,5960,7366xe" filled="true" fillcolor="#f6faf9" stroked="false">
              <v:path arrowok="t"/>
              <v:fill type="solid"/>
            </v:shape>
            <v:shape style="position:absolute;left:5463;top:7508;width:993;height:1424" coordorigin="5464,7509" coordsize="993,1424" path="m5960,7509l5464,8220,5960,8932,6456,8220,5960,7509xe" filled="true" fillcolor="#f8fbfa" stroked="false">
              <v:path arrowok="t"/>
              <v:fill type="solid"/>
            </v:shape>
            <v:shape style="position:absolute;left:5563;top:7650;width:794;height:1139" coordorigin="5563,7651" coordsize="794,1139" path="m5960,7651l5563,8220,5960,8789,6357,8220,5960,7651xe" filled="true" fillcolor="#f9fcfc" stroked="false">
              <v:path arrowok="t"/>
              <v:fill type="solid"/>
            </v:shape>
            <v:shape style="position:absolute;left:5662;top:7793;width:596;height:854" coordorigin="5662,7793" coordsize="596,854" path="m5960,7793l5662,8220,5960,8647,6258,8220,5960,7793xe" filled="true" fillcolor="#fbfdfd" stroked="false">
              <v:path arrowok="t"/>
              <v:fill type="solid"/>
            </v:shape>
            <v:shape style="position:absolute;left:5761;top:7935;width:397;height:570" coordorigin="5761,7935" coordsize="397,570" path="m5960,7935l5761,8220,5960,8505,6158,8220,5960,7935xe" filled="true" fillcolor="#fdfefe" stroked="false">
              <v:path arrowok="t"/>
              <v:fill type="solid"/>
            </v:shape>
            <v:shape style="position:absolute;left:5860;top:8077;width:199;height:285" coordorigin="5861,8078" coordsize="199,285" path="m5960,8078l5861,8220,5960,8362,6059,8220,5960,8078xe" filled="true" fillcolor="#ffffff" stroked="false">
              <v:path arrowok="t"/>
              <v:fill type="solid"/>
            </v:shape>
            <v:rect style="position:absolute;left:810;top:830;width:10300;height:14780" filled="false" stroked="true" strokeweight="1pt" strokecolor="#009483">
              <v:stroke dashstyle="solid"/>
            </v:rect>
            <w10:wrap type="none"/>
          </v:group>
        </w:pict>
      </w:r>
      <w:r>
        <w:rPr>
          <w:color w:val="231F20"/>
          <w:spacing w:val="-3"/>
          <w:sz w:val="22"/>
        </w:rPr>
        <w:t>With </w:t>
      </w:r>
      <w:r>
        <w:rPr>
          <w:color w:val="231F20"/>
          <w:sz w:val="22"/>
        </w:rPr>
        <w:t>the turn of the century little more than</w:t>
      </w:r>
      <w:r>
        <w:rPr>
          <w:color w:val="231F20"/>
          <w:spacing w:val="-36"/>
          <w:sz w:val="22"/>
        </w:rPr>
        <w:t> </w:t>
      </w:r>
      <w:r>
        <w:rPr>
          <w:color w:val="231F20"/>
          <w:spacing w:val="-3"/>
          <w:sz w:val="22"/>
        </w:rPr>
        <w:t>twelve </w:t>
      </w:r>
      <w:r>
        <w:rPr>
          <w:color w:val="231F20"/>
          <w:sz w:val="22"/>
        </w:rPr>
        <w:t>months </w:t>
      </w:r>
      <w:r>
        <w:rPr>
          <w:color w:val="231F20"/>
          <w:spacing w:val="-5"/>
          <w:sz w:val="22"/>
        </w:rPr>
        <w:t>away, </w:t>
      </w:r>
      <w:r>
        <w:rPr>
          <w:color w:val="231F20"/>
          <w:sz w:val="22"/>
        </w:rPr>
        <w:t>there has been increasing discussion of the possible economic implications.</w:t>
      </w:r>
      <w:r>
        <w:rPr>
          <w:color w:val="231F20"/>
          <w:spacing w:val="38"/>
          <w:sz w:val="22"/>
        </w:rPr>
        <w:t> </w:t>
      </w:r>
      <w:r>
        <w:rPr>
          <w:color w:val="231F20"/>
          <w:sz w:val="22"/>
        </w:rPr>
        <w:t>This</w:t>
      </w:r>
    </w:p>
    <w:p>
      <w:pPr>
        <w:spacing w:before="0"/>
        <w:ind w:left="454" w:right="0" w:firstLine="0"/>
        <w:jc w:val="both"/>
        <w:rPr>
          <w:sz w:val="22"/>
        </w:rPr>
      </w:pPr>
      <w:r>
        <w:rPr>
          <w:color w:val="231F20"/>
          <w:sz w:val="22"/>
        </w:rPr>
        <w:t>box considers two specific issues: first,</w:t>
      </w:r>
    </w:p>
    <w:p>
      <w:pPr>
        <w:spacing w:line="244" w:lineRule="auto" w:before="5"/>
        <w:ind w:left="454" w:right="-2" w:firstLine="0"/>
        <w:jc w:val="left"/>
        <w:rPr>
          <w:sz w:val="22"/>
        </w:rPr>
      </w:pPr>
      <w:r>
        <w:rPr>
          <w:color w:val="231F20"/>
          <w:sz w:val="22"/>
        </w:rPr>
        <w:t>Millennium-related</w:t>
      </w:r>
      <w:r>
        <w:rPr>
          <w:color w:val="231F20"/>
          <w:spacing w:val="-9"/>
          <w:sz w:val="22"/>
        </w:rPr>
        <w:t> </w:t>
      </w:r>
      <w:r>
        <w:rPr>
          <w:color w:val="231F20"/>
          <w:sz w:val="22"/>
        </w:rPr>
        <w:t>construction</w:t>
      </w:r>
      <w:r>
        <w:rPr>
          <w:color w:val="231F20"/>
          <w:spacing w:val="-8"/>
          <w:sz w:val="22"/>
        </w:rPr>
        <w:t> </w:t>
      </w:r>
      <w:r>
        <w:rPr>
          <w:color w:val="231F20"/>
          <w:sz w:val="22"/>
        </w:rPr>
        <w:t>and</w:t>
      </w:r>
      <w:r>
        <w:rPr>
          <w:color w:val="231F20"/>
          <w:spacing w:val="-8"/>
          <w:sz w:val="22"/>
        </w:rPr>
        <w:t> </w:t>
      </w:r>
      <w:r>
        <w:rPr>
          <w:color w:val="231F20"/>
          <w:sz w:val="22"/>
        </w:rPr>
        <w:t>other</w:t>
      </w:r>
      <w:r>
        <w:rPr>
          <w:color w:val="231F20"/>
          <w:spacing w:val="-8"/>
          <w:sz w:val="22"/>
        </w:rPr>
        <w:t> </w:t>
      </w:r>
      <w:r>
        <w:rPr>
          <w:color w:val="231F20"/>
          <w:sz w:val="22"/>
        </w:rPr>
        <w:t>aspects</w:t>
      </w:r>
      <w:r>
        <w:rPr>
          <w:color w:val="231F20"/>
          <w:spacing w:val="-9"/>
          <w:sz w:val="22"/>
        </w:rPr>
        <w:t> of </w:t>
      </w:r>
      <w:r>
        <w:rPr>
          <w:color w:val="231F20"/>
          <w:sz w:val="22"/>
        </w:rPr>
        <w:t>the planned celebrations and, second, the so-called ‘Millennium</w:t>
      </w:r>
      <w:r>
        <w:rPr>
          <w:color w:val="231F20"/>
          <w:spacing w:val="-2"/>
          <w:sz w:val="22"/>
        </w:rPr>
        <w:t> </w:t>
      </w:r>
      <w:r>
        <w:rPr>
          <w:color w:val="231F20"/>
          <w:sz w:val="22"/>
        </w:rPr>
        <w:t>bug’.</w:t>
      </w:r>
    </w:p>
    <w:p>
      <w:pPr>
        <w:pStyle w:val="BodyText"/>
        <w:spacing w:before="1"/>
        <w:rPr>
          <w:sz w:val="26"/>
        </w:rPr>
      </w:pPr>
    </w:p>
    <w:p>
      <w:pPr>
        <w:spacing w:before="0"/>
        <w:ind w:left="454" w:right="0" w:firstLine="0"/>
        <w:jc w:val="both"/>
        <w:rPr>
          <w:b/>
          <w:sz w:val="22"/>
        </w:rPr>
      </w:pPr>
      <w:r>
        <w:rPr>
          <w:b/>
          <w:color w:val="009483"/>
          <w:sz w:val="22"/>
        </w:rPr>
        <w:t>Construction and celebrations</w:t>
      </w:r>
    </w:p>
    <w:p>
      <w:pPr>
        <w:spacing w:line="244" w:lineRule="auto" w:before="185"/>
        <w:ind w:left="454" w:right="176" w:firstLine="0"/>
        <w:jc w:val="left"/>
        <w:rPr>
          <w:sz w:val="22"/>
        </w:rPr>
      </w:pPr>
      <w:r>
        <w:rPr>
          <w:color w:val="231F20"/>
          <w:sz w:val="22"/>
        </w:rPr>
        <w:t>The Millennium has prompted a range of construction projects, including the Millennium Dome in London and a programme to build and renovate town halls around the country. The Millennium Commission has so far awarded some</w:t>
      </w:r>
    </w:p>
    <w:p>
      <w:pPr>
        <w:spacing w:line="244" w:lineRule="auto" w:before="0"/>
        <w:ind w:left="454" w:right="13" w:firstLine="0"/>
        <w:jc w:val="left"/>
        <w:rPr>
          <w:sz w:val="22"/>
        </w:rPr>
      </w:pPr>
      <w:r>
        <w:rPr>
          <w:color w:val="231F20"/>
          <w:sz w:val="22"/>
        </w:rPr>
        <w:t>£1.7 billion in Lottery-financed grants for various capital projects, with payments spread out over several years between 1995 and 2001/02. A similar amount</w:t>
      </w:r>
      <w:r>
        <w:rPr>
          <w:color w:val="231F20"/>
          <w:spacing w:val="-11"/>
          <w:sz w:val="22"/>
        </w:rPr>
        <w:t> </w:t>
      </w:r>
      <w:r>
        <w:rPr>
          <w:color w:val="231F20"/>
          <w:sz w:val="22"/>
        </w:rPr>
        <w:t>of</w:t>
      </w:r>
      <w:r>
        <w:rPr>
          <w:color w:val="231F20"/>
          <w:spacing w:val="-10"/>
          <w:sz w:val="22"/>
        </w:rPr>
        <w:t> </w:t>
      </w:r>
      <w:r>
        <w:rPr>
          <w:color w:val="231F20"/>
          <w:sz w:val="22"/>
        </w:rPr>
        <w:t>private</w:t>
      </w:r>
      <w:r>
        <w:rPr>
          <w:color w:val="231F20"/>
          <w:spacing w:val="-10"/>
          <w:sz w:val="22"/>
        </w:rPr>
        <w:t> </w:t>
      </w:r>
      <w:r>
        <w:rPr>
          <w:color w:val="231F20"/>
          <w:sz w:val="22"/>
        </w:rPr>
        <w:t>sector</w:t>
      </w:r>
      <w:r>
        <w:rPr>
          <w:color w:val="231F20"/>
          <w:spacing w:val="-10"/>
          <w:sz w:val="22"/>
        </w:rPr>
        <w:t> </w:t>
      </w:r>
      <w:r>
        <w:rPr>
          <w:color w:val="231F20"/>
          <w:sz w:val="22"/>
        </w:rPr>
        <w:t>finance</w:t>
      </w:r>
      <w:r>
        <w:rPr>
          <w:color w:val="231F20"/>
          <w:spacing w:val="-10"/>
          <w:sz w:val="22"/>
        </w:rPr>
        <w:t> </w:t>
      </w:r>
      <w:r>
        <w:rPr>
          <w:color w:val="231F20"/>
          <w:sz w:val="22"/>
        </w:rPr>
        <w:t>has</w:t>
      </w:r>
      <w:r>
        <w:rPr>
          <w:color w:val="231F20"/>
          <w:spacing w:val="-10"/>
          <w:sz w:val="22"/>
        </w:rPr>
        <w:t> </w:t>
      </w:r>
      <w:r>
        <w:rPr>
          <w:color w:val="231F20"/>
          <w:sz w:val="22"/>
        </w:rPr>
        <w:t>been</w:t>
      </w:r>
      <w:r>
        <w:rPr>
          <w:color w:val="231F20"/>
          <w:spacing w:val="-11"/>
          <w:sz w:val="22"/>
        </w:rPr>
        <w:t> </w:t>
      </w:r>
      <w:r>
        <w:rPr>
          <w:color w:val="231F20"/>
          <w:sz w:val="22"/>
        </w:rPr>
        <w:t>committed to these projects. And there may be other Millennium-related private-sector construction activity that has not received Lottery</w:t>
      </w:r>
      <w:r>
        <w:rPr>
          <w:color w:val="231F20"/>
          <w:spacing w:val="-21"/>
          <w:sz w:val="22"/>
        </w:rPr>
        <w:t> </w:t>
      </w:r>
      <w:r>
        <w:rPr>
          <w:color w:val="231F20"/>
          <w:spacing w:val="-3"/>
          <w:sz w:val="22"/>
        </w:rPr>
        <w:t>money.</w:t>
      </w:r>
    </w:p>
    <w:p>
      <w:pPr>
        <w:pStyle w:val="BodyText"/>
        <w:spacing w:before="4"/>
        <w:rPr>
          <w:sz w:val="24"/>
        </w:rPr>
      </w:pPr>
    </w:p>
    <w:p>
      <w:pPr>
        <w:spacing w:line="244" w:lineRule="auto" w:before="0"/>
        <w:ind w:left="454" w:right="-2" w:firstLine="0"/>
        <w:jc w:val="left"/>
        <w:rPr>
          <w:sz w:val="22"/>
        </w:rPr>
      </w:pPr>
      <w:r>
        <w:rPr>
          <w:color w:val="231F20"/>
          <w:spacing w:val="-4"/>
          <w:sz w:val="22"/>
        </w:rPr>
        <w:t>Taken</w:t>
      </w:r>
      <w:r>
        <w:rPr>
          <w:color w:val="231F20"/>
          <w:spacing w:val="-11"/>
          <w:sz w:val="22"/>
        </w:rPr>
        <w:t> </w:t>
      </w:r>
      <w:r>
        <w:rPr>
          <w:color w:val="231F20"/>
          <w:sz w:val="22"/>
        </w:rPr>
        <w:t>together,</w:t>
      </w:r>
      <w:r>
        <w:rPr>
          <w:color w:val="231F20"/>
          <w:spacing w:val="-11"/>
          <w:sz w:val="22"/>
        </w:rPr>
        <w:t> </w:t>
      </w:r>
      <w:r>
        <w:rPr>
          <w:color w:val="231F20"/>
          <w:sz w:val="22"/>
        </w:rPr>
        <w:t>these</w:t>
      </w:r>
      <w:r>
        <w:rPr>
          <w:color w:val="231F20"/>
          <w:spacing w:val="-10"/>
          <w:sz w:val="22"/>
        </w:rPr>
        <w:t> </w:t>
      </w:r>
      <w:r>
        <w:rPr>
          <w:color w:val="231F20"/>
          <w:sz w:val="22"/>
        </w:rPr>
        <w:t>projects</w:t>
      </w:r>
      <w:r>
        <w:rPr>
          <w:color w:val="231F20"/>
          <w:spacing w:val="-11"/>
          <w:sz w:val="22"/>
        </w:rPr>
        <w:t> </w:t>
      </w:r>
      <w:r>
        <w:rPr>
          <w:color w:val="231F20"/>
          <w:sz w:val="22"/>
        </w:rPr>
        <w:t>will</w:t>
      </w:r>
      <w:r>
        <w:rPr>
          <w:color w:val="231F20"/>
          <w:spacing w:val="-11"/>
          <w:sz w:val="22"/>
        </w:rPr>
        <w:t> </w:t>
      </w:r>
      <w:r>
        <w:rPr>
          <w:color w:val="231F20"/>
          <w:sz w:val="22"/>
        </w:rPr>
        <w:t>probably</w:t>
      </w:r>
      <w:r>
        <w:rPr>
          <w:color w:val="231F20"/>
          <w:spacing w:val="-10"/>
          <w:sz w:val="22"/>
        </w:rPr>
        <w:t> </w:t>
      </w:r>
      <w:r>
        <w:rPr>
          <w:color w:val="231F20"/>
          <w:sz w:val="22"/>
        </w:rPr>
        <w:t>continue to raise investment over the next two years. But the effects are likely to be relatively small. The sums </w:t>
      </w:r>
      <w:r>
        <w:rPr>
          <w:color w:val="231F20"/>
          <w:spacing w:val="-3"/>
          <w:sz w:val="22"/>
        </w:rPr>
        <w:t>involved </w:t>
      </w:r>
      <w:r>
        <w:rPr>
          <w:color w:val="231F20"/>
          <w:sz w:val="22"/>
        </w:rPr>
        <w:t>are dwarfed by total economy-wide gross construction output. And not all of the money reflects net extra spending. Some of it may </w:t>
      </w:r>
      <w:r>
        <w:rPr>
          <w:color w:val="231F20"/>
          <w:spacing w:val="-3"/>
          <w:sz w:val="22"/>
        </w:rPr>
        <w:t>have </w:t>
      </w:r>
      <w:r>
        <w:rPr>
          <w:color w:val="231F20"/>
          <w:sz w:val="22"/>
        </w:rPr>
        <w:t>displaced other investment </w:t>
      </w:r>
      <w:r>
        <w:rPr>
          <w:color w:val="231F20"/>
          <w:spacing w:val="-3"/>
          <w:sz w:val="22"/>
        </w:rPr>
        <w:t>activity, </w:t>
      </w:r>
      <w:r>
        <w:rPr>
          <w:color w:val="231F20"/>
          <w:sz w:val="22"/>
        </w:rPr>
        <w:t>either directly through reduced private sector spending</w:t>
      </w:r>
      <w:r>
        <w:rPr>
          <w:color w:val="231F20"/>
          <w:spacing w:val="-16"/>
          <w:sz w:val="22"/>
        </w:rPr>
        <w:t> </w:t>
      </w:r>
      <w:r>
        <w:rPr>
          <w:color w:val="231F20"/>
          <w:sz w:val="22"/>
        </w:rPr>
        <w:t>on</w:t>
      </w:r>
    </w:p>
    <w:p>
      <w:pPr>
        <w:spacing w:line="244" w:lineRule="auto" w:before="0"/>
        <w:ind w:left="454" w:right="19" w:firstLine="0"/>
        <w:jc w:val="left"/>
        <w:rPr>
          <w:sz w:val="22"/>
        </w:rPr>
      </w:pPr>
      <w:r>
        <w:rPr>
          <w:color w:val="231F20"/>
          <w:sz w:val="22"/>
        </w:rPr>
        <w:t>non-Millennium</w:t>
      </w:r>
      <w:r>
        <w:rPr>
          <w:color w:val="231F20"/>
          <w:spacing w:val="-7"/>
          <w:sz w:val="22"/>
        </w:rPr>
        <w:t> </w:t>
      </w:r>
      <w:r>
        <w:rPr>
          <w:color w:val="231F20"/>
          <w:sz w:val="22"/>
        </w:rPr>
        <w:t>projects,</w:t>
      </w:r>
      <w:r>
        <w:rPr>
          <w:color w:val="231F20"/>
          <w:spacing w:val="-7"/>
          <w:sz w:val="22"/>
        </w:rPr>
        <w:t> </w:t>
      </w:r>
      <w:r>
        <w:rPr>
          <w:color w:val="231F20"/>
          <w:sz w:val="22"/>
        </w:rPr>
        <w:t>or</w:t>
      </w:r>
      <w:r>
        <w:rPr>
          <w:color w:val="231F20"/>
          <w:spacing w:val="-7"/>
          <w:sz w:val="22"/>
        </w:rPr>
        <w:t> </w:t>
      </w:r>
      <w:r>
        <w:rPr>
          <w:color w:val="231F20"/>
          <w:sz w:val="22"/>
        </w:rPr>
        <w:t>indirectly</w:t>
      </w:r>
      <w:r>
        <w:rPr>
          <w:color w:val="231F20"/>
          <w:spacing w:val="-7"/>
          <w:sz w:val="22"/>
        </w:rPr>
        <w:t> </w:t>
      </w:r>
      <w:r>
        <w:rPr>
          <w:color w:val="231F20"/>
          <w:sz w:val="22"/>
        </w:rPr>
        <w:t>by</w:t>
      </w:r>
      <w:r>
        <w:rPr>
          <w:color w:val="231F20"/>
          <w:spacing w:val="-7"/>
          <w:sz w:val="22"/>
        </w:rPr>
        <w:t> </w:t>
      </w:r>
      <w:r>
        <w:rPr>
          <w:color w:val="231F20"/>
          <w:sz w:val="22"/>
        </w:rPr>
        <w:t>raising</w:t>
      </w:r>
      <w:r>
        <w:rPr>
          <w:color w:val="231F20"/>
          <w:spacing w:val="-7"/>
          <w:sz w:val="22"/>
        </w:rPr>
        <w:t> </w:t>
      </w:r>
      <w:r>
        <w:rPr>
          <w:color w:val="231F20"/>
          <w:spacing w:val="-5"/>
          <w:sz w:val="22"/>
        </w:rPr>
        <w:t>the </w:t>
      </w:r>
      <w:r>
        <w:rPr>
          <w:color w:val="231F20"/>
          <w:sz w:val="22"/>
        </w:rPr>
        <w:t>cost of resources in the construction sector. And some of it might </w:t>
      </w:r>
      <w:r>
        <w:rPr>
          <w:color w:val="231F20"/>
          <w:spacing w:val="-3"/>
          <w:sz w:val="22"/>
        </w:rPr>
        <w:t>have </w:t>
      </w:r>
      <w:r>
        <w:rPr>
          <w:color w:val="231F20"/>
          <w:sz w:val="22"/>
        </w:rPr>
        <w:t>occurred</w:t>
      </w:r>
      <w:r>
        <w:rPr>
          <w:color w:val="231F20"/>
          <w:spacing w:val="-9"/>
          <w:sz w:val="22"/>
        </w:rPr>
        <w:t> </w:t>
      </w:r>
      <w:r>
        <w:rPr>
          <w:color w:val="231F20"/>
          <w:spacing w:val="-3"/>
          <w:sz w:val="22"/>
        </w:rPr>
        <w:t>anyway.</w:t>
      </w:r>
    </w:p>
    <w:p>
      <w:pPr>
        <w:pStyle w:val="BodyText"/>
        <w:spacing w:before="3"/>
        <w:rPr>
          <w:sz w:val="24"/>
        </w:rPr>
      </w:pPr>
    </w:p>
    <w:p>
      <w:pPr>
        <w:spacing w:line="244" w:lineRule="auto" w:before="0"/>
        <w:ind w:left="454" w:right="86" w:firstLine="0"/>
        <w:jc w:val="left"/>
        <w:rPr>
          <w:sz w:val="22"/>
        </w:rPr>
      </w:pPr>
      <w:r>
        <w:rPr>
          <w:color w:val="231F20"/>
          <w:sz w:val="22"/>
        </w:rPr>
        <w:t>The Millennium celebrations are likely to affect </w:t>
      </w:r>
      <w:r>
        <w:rPr>
          <w:color w:val="231F20"/>
          <w:spacing w:val="-5"/>
          <w:sz w:val="22"/>
        </w:rPr>
        <w:t>the </w:t>
      </w:r>
      <w:r>
        <w:rPr>
          <w:color w:val="231F20"/>
          <w:sz w:val="22"/>
        </w:rPr>
        <w:t>profile of demand and output around the turn of the century. But the implications for inflation in the medium term are limited. The timing of the Millennium is known with certainty, so consumers are likely to adjust their consumption and savings patterns to smooth some of the impact of the celebrations. And companies will adjust their stocks in anticipation of the temporary increase in demand.</w:t>
      </w:r>
    </w:p>
    <w:p>
      <w:pPr>
        <w:pStyle w:val="BodyText"/>
        <w:spacing w:before="4"/>
        <w:rPr>
          <w:sz w:val="24"/>
        </w:rPr>
      </w:pPr>
    </w:p>
    <w:p>
      <w:pPr>
        <w:spacing w:before="0"/>
        <w:ind w:left="454" w:right="0" w:firstLine="0"/>
        <w:jc w:val="both"/>
        <w:rPr>
          <w:b/>
          <w:sz w:val="22"/>
        </w:rPr>
      </w:pPr>
      <w:r>
        <w:rPr>
          <w:b/>
          <w:color w:val="009483"/>
          <w:sz w:val="22"/>
        </w:rPr>
        <w:t>The ‘Millennium bug’</w:t>
      </w:r>
    </w:p>
    <w:p>
      <w:pPr>
        <w:spacing w:line="244" w:lineRule="auto" w:before="165"/>
        <w:ind w:left="454" w:right="-2" w:firstLine="0"/>
        <w:jc w:val="left"/>
        <w:rPr>
          <w:sz w:val="22"/>
        </w:rPr>
      </w:pPr>
      <w:r>
        <w:rPr>
          <w:color w:val="231F20"/>
          <w:sz w:val="22"/>
        </w:rPr>
        <w:t>The so-called ‘Millennium bug’ or ‘Year 2000 problem’ affects how dates are handled by computers and other electronic equipment. Many older systems are unable to distinguish between the</w:t>
      </w:r>
    </w:p>
    <w:p>
      <w:pPr>
        <w:spacing w:line="244" w:lineRule="auto" w:before="89"/>
        <w:ind w:left="454" w:right="549" w:firstLine="0"/>
        <w:jc w:val="left"/>
        <w:rPr>
          <w:sz w:val="22"/>
        </w:rPr>
      </w:pPr>
      <w:r>
        <w:rPr/>
        <w:br w:type="column"/>
      </w:r>
      <w:r>
        <w:rPr>
          <w:color w:val="231F20"/>
          <w:sz w:val="22"/>
        </w:rPr>
        <w:t>years 1900 and 2000, because they use only two digits to record the year. And some do not recognise that 2000 is a leap year.</w:t>
      </w:r>
    </w:p>
    <w:p>
      <w:pPr>
        <w:pStyle w:val="BodyText"/>
        <w:spacing w:before="4"/>
        <w:rPr>
          <w:sz w:val="24"/>
        </w:rPr>
      </w:pPr>
    </w:p>
    <w:p>
      <w:pPr>
        <w:spacing w:line="244" w:lineRule="auto" w:before="0"/>
        <w:ind w:left="454" w:right="530" w:firstLine="0"/>
        <w:jc w:val="left"/>
        <w:rPr>
          <w:sz w:val="22"/>
        </w:rPr>
      </w:pPr>
      <w:r>
        <w:rPr>
          <w:color w:val="231F20"/>
          <w:sz w:val="22"/>
        </w:rPr>
        <w:t>Efforts to fix these problems may continue to exert some positive inflationary pressure over the next year or two. Published estimates suggest that required spending in the United Kingdom lies between £15 billion and £50 billion. Not all of this reflects net additional spending: so far, many organisations appear to have met Millennium costs out of existing IT budgets, by postponing or cancelling other projects. And the total will be spread over several years, with some already spent, and some not spent until after 2000. But Millennium work has probably played some part in raising the earnings growth of IT staff.</w:t>
      </w:r>
    </w:p>
    <w:p>
      <w:pPr>
        <w:pStyle w:val="BodyText"/>
        <w:spacing w:before="1"/>
        <w:rPr>
          <w:sz w:val="26"/>
        </w:rPr>
      </w:pPr>
    </w:p>
    <w:p>
      <w:pPr>
        <w:spacing w:line="244" w:lineRule="auto" w:before="0"/>
        <w:ind w:left="454" w:right="549" w:firstLine="0"/>
        <w:jc w:val="left"/>
        <w:rPr>
          <w:sz w:val="22"/>
        </w:rPr>
      </w:pPr>
      <w:r>
        <w:rPr>
          <w:color w:val="231F20"/>
          <w:sz w:val="22"/>
        </w:rPr>
        <w:t>Where repairs are not carried out, or not completed in time, there is a risk that system failures could depress output around the beginning of 2000.</w:t>
      </w:r>
    </w:p>
    <w:p>
      <w:pPr>
        <w:spacing w:line="244" w:lineRule="auto" w:before="0"/>
        <w:ind w:left="454" w:right="598" w:firstLine="0"/>
        <w:jc w:val="left"/>
        <w:rPr>
          <w:sz w:val="22"/>
        </w:rPr>
      </w:pPr>
      <w:r>
        <w:rPr>
          <w:color w:val="231F20"/>
          <w:sz w:val="22"/>
        </w:rPr>
        <w:t>But there is very little hard information with which to quantify this risk. Some evidence suggests that the impact could be material. For example, the latest report from Action 2000 suggests that 12% of larger UK companies </w:t>
      </w:r>
      <w:r>
        <w:rPr>
          <w:color w:val="231F20"/>
          <w:spacing w:val="-3"/>
          <w:sz w:val="22"/>
        </w:rPr>
        <w:t>have </w:t>
      </w:r>
      <w:r>
        <w:rPr>
          <w:color w:val="231F20"/>
          <w:sz w:val="22"/>
        </w:rPr>
        <w:t>still to progress beyond the initial stage of planning how to tackle the problem, and 40% of medium-sized companies</w:t>
      </w:r>
      <w:r>
        <w:rPr>
          <w:color w:val="231F20"/>
          <w:spacing w:val="-37"/>
          <w:sz w:val="22"/>
        </w:rPr>
        <w:t> </w:t>
      </w:r>
      <w:r>
        <w:rPr>
          <w:color w:val="231F20"/>
          <w:spacing w:val="-7"/>
          <w:sz w:val="22"/>
        </w:rPr>
        <w:t>have </w:t>
      </w:r>
      <w:r>
        <w:rPr>
          <w:color w:val="231F20"/>
          <w:sz w:val="22"/>
        </w:rPr>
        <w:t>not </w:t>
      </w:r>
      <w:r>
        <w:rPr>
          <w:color w:val="231F20"/>
          <w:spacing w:val="-3"/>
          <w:sz w:val="22"/>
        </w:rPr>
        <w:t>even </w:t>
      </w:r>
      <w:r>
        <w:rPr>
          <w:color w:val="231F20"/>
          <w:sz w:val="22"/>
        </w:rPr>
        <w:t>begun such planning. And progress in some other countries—with which UK firms </w:t>
      </w:r>
      <w:r>
        <w:rPr>
          <w:color w:val="231F20"/>
          <w:spacing w:val="-3"/>
          <w:sz w:val="22"/>
        </w:rPr>
        <w:t>have </w:t>
      </w:r>
      <w:r>
        <w:rPr>
          <w:color w:val="231F20"/>
          <w:sz w:val="22"/>
        </w:rPr>
        <w:t>trading and financial connections—has been rather </w:t>
      </w:r>
      <w:r>
        <w:rPr>
          <w:color w:val="231F20"/>
          <w:spacing w:val="-3"/>
          <w:sz w:val="22"/>
        </w:rPr>
        <w:t>slower. </w:t>
      </w:r>
      <w:r>
        <w:rPr>
          <w:color w:val="231F20"/>
          <w:sz w:val="22"/>
        </w:rPr>
        <w:t>But other considerations suggest a more limited impact. Not all firms are reliant on critical date-sensitive equipment. And where problems are known, or suspected, output may be at least partly maintained through the use of manual back-ups, precautionary stocks and diversified trading</w:t>
      </w:r>
      <w:r>
        <w:rPr>
          <w:color w:val="231F20"/>
          <w:spacing w:val="-33"/>
          <w:sz w:val="22"/>
        </w:rPr>
        <w:t> </w:t>
      </w:r>
      <w:r>
        <w:rPr>
          <w:color w:val="231F20"/>
          <w:sz w:val="22"/>
        </w:rPr>
        <w:t>links.</w:t>
      </w:r>
    </w:p>
    <w:p>
      <w:pPr>
        <w:pStyle w:val="BodyText"/>
        <w:rPr>
          <w:sz w:val="26"/>
        </w:rPr>
      </w:pPr>
    </w:p>
    <w:p>
      <w:pPr>
        <w:spacing w:line="244" w:lineRule="auto" w:before="0"/>
        <w:ind w:left="454" w:right="806" w:firstLine="0"/>
        <w:jc w:val="left"/>
        <w:rPr>
          <w:sz w:val="22"/>
        </w:rPr>
      </w:pPr>
      <w:r>
        <w:rPr>
          <w:color w:val="231F20"/>
          <w:sz w:val="22"/>
        </w:rPr>
        <w:t>Uncertainties about the scale of post-2000 effects may begin to have an impact before 2000.</w:t>
      </w:r>
    </w:p>
    <w:p>
      <w:pPr>
        <w:spacing w:line="244" w:lineRule="auto" w:before="0"/>
        <w:ind w:left="454" w:right="469" w:firstLine="0"/>
        <w:jc w:val="left"/>
        <w:rPr>
          <w:sz w:val="22"/>
        </w:rPr>
      </w:pPr>
      <w:r>
        <w:rPr>
          <w:color w:val="231F20"/>
          <w:sz w:val="22"/>
        </w:rPr>
        <w:t>Precautionary stockbuilding by firms and households may raise GDP growth. And there may be some increase in insurance and financial risk premia, together with an increase in desired liquidity.</w:t>
      </w:r>
    </w:p>
    <w:p>
      <w:pPr>
        <w:pStyle w:val="BodyText"/>
        <w:spacing w:before="9"/>
        <w:rPr>
          <w:sz w:val="27"/>
        </w:rPr>
      </w:pPr>
    </w:p>
    <w:p>
      <w:pPr>
        <w:spacing w:line="244" w:lineRule="auto" w:before="1"/>
        <w:ind w:left="454" w:right="553" w:firstLine="0"/>
        <w:jc w:val="left"/>
        <w:rPr>
          <w:sz w:val="22"/>
        </w:rPr>
      </w:pPr>
      <w:r>
        <w:rPr>
          <w:color w:val="231F20"/>
          <w:sz w:val="22"/>
        </w:rPr>
        <w:t>Given the significant uncertainties involved, the MPC has decided not to incorporate ‘Millennium bug’ effects in its central projection for inflation. But</w:t>
      </w:r>
      <w:r>
        <w:rPr>
          <w:color w:val="231F20"/>
          <w:spacing w:val="-5"/>
          <w:sz w:val="22"/>
        </w:rPr>
        <w:t> </w:t>
      </w:r>
      <w:r>
        <w:rPr>
          <w:color w:val="231F20"/>
          <w:sz w:val="22"/>
        </w:rPr>
        <w:t>it</w:t>
      </w:r>
      <w:r>
        <w:rPr>
          <w:color w:val="231F20"/>
          <w:spacing w:val="-4"/>
          <w:sz w:val="22"/>
        </w:rPr>
        <w:t> </w:t>
      </w:r>
      <w:r>
        <w:rPr>
          <w:color w:val="231F20"/>
          <w:sz w:val="22"/>
        </w:rPr>
        <w:t>does</w:t>
      </w:r>
      <w:r>
        <w:rPr>
          <w:color w:val="231F20"/>
          <w:spacing w:val="-4"/>
          <w:sz w:val="22"/>
        </w:rPr>
        <w:t> </w:t>
      </w:r>
      <w:r>
        <w:rPr>
          <w:color w:val="231F20"/>
          <w:sz w:val="22"/>
        </w:rPr>
        <w:t>consider</w:t>
      </w:r>
      <w:r>
        <w:rPr>
          <w:color w:val="231F20"/>
          <w:spacing w:val="-4"/>
          <w:sz w:val="22"/>
        </w:rPr>
        <w:t> </w:t>
      </w:r>
      <w:r>
        <w:rPr>
          <w:color w:val="231F20"/>
          <w:sz w:val="22"/>
        </w:rPr>
        <w:t>there</w:t>
      </w:r>
      <w:r>
        <w:rPr>
          <w:color w:val="231F20"/>
          <w:spacing w:val="-4"/>
          <w:sz w:val="22"/>
        </w:rPr>
        <w:t> </w:t>
      </w:r>
      <w:r>
        <w:rPr>
          <w:color w:val="231F20"/>
          <w:sz w:val="22"/>
        </w:rPr>
        <w:t>to</w:t>
      </w:r>
      <w:r>
        <w:rPr>
          <w:color w:val="231F20"/>
          <w:spacing w:val="-4"/>
          <w:sz w:val="22"/>
        </w:rPr>
        <w:t> </w:t>
      </w:r>
      <w:r>
        <w:rPr>
          <w:color w:val="231F20"/>
          <w:sz w:val="22"/>
        </w:rPr>
        <w:t>be</w:t>
      </w:r>
      <w:r>
        <w:rPr>
          <w:color w:val="231F20"/>
          <w:spacing w:val="-5"/>
          <w:sz w:val="22"/>
        </w:rPr>
        <w:t> </w:t>
      </w:r>
      <w:r>
        <w:rPr>
          <w:color w:val="231F20"/>
          <w:sz w:val="22"/>
        </w:rPr>
        <w:t>a</w:t>
      </w:r>
      <w:r>
        <w:rPr>
          <w:color w:val="231F20"/>
          <w:spacing w:val="-4"/>
          <w:sz w:val="22"/>
        </w:rPr>
        <w:t> </w:t>
      </w:r>
      <w:r>
        <w:rPr>
          <w:color w:val="231F20"/>
          <w:sz w:val="22"/>
        </w:rPr>
        <w:t>small</w:t>
      </w:r>
      <w:r>
        <w:rPr>
          <w:color w:val="231F20"/>
          <w:spacing w:val="-4"/>
          <w:sz w:val="22"/>
        </w:rPr>
        <w:t> </w:t>
      </w:r>
      <w:r>
        <w:rPr>
          <w:color w:val="231F20"/>
          <w:sz w:val="22"/>
        </w:rPr>
        <w:t>upside</w:t>
      </w:r>
      <w:r>
        <w:rPr>
          <w:color w:val="231F20"/>
          <w:spacing w:val="-4"/>
          <w:sz w:val="22"/>
        </w:rPr>
        <w:t> </w:t>
      </w:r>
      <w:r>
        <w:rPr>
          <w:color w:val="231F20"/>
          <w:sz w:val="22"/>
        </w:rPr>
        <w:t>risk</w:t>
      </w:r>
      <w:r>
        <w:rPr>
          <w:color w:val="231F20"/>
          <w:spacing w:val="-4"/>
          <w:sz w:val="22"/>
        </w:rPr>
        <w:t> </w:t>
      </w:r>
      <w:r>
        <w:rPr>
          <w:color w:val="231F20"/>
          <w:spacing w:val="-6"/>
          <w:sz w:val="22"/>
        </w:rPr>
        <w:t>to </w:t>
      </w:r>
      <w:r>
        <w:rPr>
          <w:color w:val="231F20"/>
          <w:sz w:val="22"/>
        </w:rPr>
        <w:t>output in 1999, together with a small downside risk to</w:t>
      </w:r>
      <w:r>
        <w:rPr>
          <w:color w:val="231F20"/>
          <w:spacing w:val="-6"/>
          <w:sz w:val="22"/>
        </w:rPr>
        <w:t> </w:t>
      </w:r>
      <w:r>
        <w:rPr>
          <w:color w:val="231F20"/>
          <w:sz w:val="22"/>
        </w:rPr>
        <w:t>output</w:t>
      </w:r>
      <w:r>
        <w:rPr>
          <w:color w:val="231F20"/>
          <w:spacing w:val="-6"/>
          <w:sz w:val="22"/>
        </w:rPr>
        <w:t> </w:t>
      </w:r>
      <w:r>
        <w:rPr>
          <w:color w:val="231F20"/>
          <w:sz w:val="22"/>
        </w:rPr>
        <w:t>in</w:t>
      </w:r>
      <w:r>
        <w:rPr>
          <w:color w:val="231F20"/>
          <w:spacing w:val="-6"/>
          <w:sz w:val="22"/>
        </w:rPr>
        <w:t> </w:t>
      </w:r>
      <w:r>
        <w:rPr>
          <w:color w:val="231F20"/>
          <w:sz w:val="22"/>
        </w:rPr>
        <w:t>2000</w:t>
      </w:r>
      <w:r>
        <w:rPr>
          <w:color w:val="231F20"/>
          <w:spacing w:val="-6"/>
          <w:sz w:val="22"/>
        </w:rPr>
        <w:t> </w:t>
      </w:r>
      <w:r>
        <w:rPr>
          <w:color w:val="231F20"/>
          <w:sz w:val="22"/>
        </w:rPr>
        <w:t>and</w:t>
      </w:r>
      <w:r>
        <w:rPr>
          <w:color w:val="231F20"/>
          <w:spacing w:val="-5"/>
          <w:sz w:val="22"/>
        </w:rPr>
        <w:t> </w:t>
      </w:r>
      <w:r>
        <w:rPr>
          <w:color w:val="231F20"/>
          <w:sz w:val="22"/>
        </w:rPr>
        <w:t>a</w:t>
      </w:r>
      <w:r>
        <w:rPr>
          <w:color w:val="231F20"/>
          <w:spacing w:val="-6"/>
          <w:sz w:val="22"/>
        </w:rPr>
        <w:t> </w:t>
      </w:r>
      <w:r>
        <w:rPr>
          <w:color w:val="231F20"/>
          <w:sz w:val="22"/>
        </w:rPr>
        <w:t>small</w:t>
      </w:r>
      <w:r>
        <w:rPr>
          <w:color w:val="231F20"/>
          <w:spacing w:val="-6"/>
          <w:sz w:val="22"/>
        </w:rPr>
        <w:t> </w:t>
      </w:r>
      <w:r>
        <w:rPr>
          <w:color w:val="231F20"/>
          <w:sz w:val="22"/>
        </w:rPr>
        <w:t>upside</w:t>
      </w:r>
      <w:r>
        <w:rPr>
          <w:color w:val="231F20"/>
          <w:spacing w:val="-6"/>
          <w:sz w:val="22"/>
        </w:rPr>
        <w:t> </w:t>
      </w:r>
      <w:r>
        <w:rPr>
          <w:color w:val="231F20"/>
          <w:sz w:val="22"/>
        </w:rPr>
        <w:t>risk</w:t>
      </w:r>
      <w:r>
        <w:rPr>
          <w:color w:val="231F20"/>
          <w:spacing w:val="-5"/>
          <w:sz w:val="22"/>
        </w:rPr>
        <w:t> </w:t>
      </w:r>
      <w:r>
        <w:rPr>
          <w:color w:val="231F20"/>
          <w:sz w:val="22"/>
        </w:rPr>
        <w:t>to</w:t>
      </w:r>
      <w:r>
        <w:rPr>
          <w:color w:val="231F20"/>
          <w:spacing w:val="-6"/>
          <w:sz w:val="22"/>
        </w:rPr>
        <w:t> </w:t>
      </w:r>
      <w:r>
        <w:rPr>
          <w:color w:val="231F20"/>
          <w:sz w:val="22"/>
        </w:rPr>
        <w:t>inflation.</w:t>
      </w:r>
    </w:p>
    <w:p>
      <w:pPr>
        <w:spacing w:after="0" w:line="244" w:lineRule="auto"/>
        <w:jc w:val="left"/>
        <w:rPr>
          <w:sz w:val="22"/>
        </w:rPr>
        <w:sectPr>
          <w:type w:val="continuous"/>
          <w:pgSz w:w="11900" w:h="16840"/>
          <w:pgMar w:top="1220" w:bottom="280" w:left="620" w:right="520"/>
          <w:cols w:num="2" w:equalWidth="0">
            <w:col w:w="5074" w:space="56"/>
            <w:col w:w="5630"/>
          </w:cols>
        </w:sectPr>
      </w:pPr>
    </w:p>
    <w:p>
      <w:pPr>
        <w:pStyle w:val="BodyText"/>
        <w:rPr>
          <w:sz w:val="20"/>
        </w:rPr>
      </w:pPr>
    </w:p>
    <w:p>
      <w:pPr>
        <w:spacing w:after="0"/>
        <w:rPr>
          <w:sz w:val="20"/>
        </w:rPr>
        <w:sectPr>
          <w:headerReference w:type="default" r:id="rId58"/>
          <w:headerReference w:type="even" r:id="rId59"/>
          <w:footerReference w:type="default" r:id="rId60"/>
          <w:footerReference w:type="even" r:id="rId61"/>
          <w:pgSz w:w="11900" w:h="16840"/>
          <w:pgMar w:header="586" w:footer="954" w:top="780" w:bottom="1140" w:left="620" w:right="520"/>
        </w:sectPr>
      </w:pPr>
    </w:p>
    <w:p>
      <w:pPr>
        <w:pStyle w:val="BodyText"/>
        <w:spacing w:before="6"/>
        <w:rPr>
          <w:sz w:val="20"/>
        </w:rPr>
      </w:pPr>
    </w:p>
    <w:p>
      <w:pPr>
        <w:pStyle w:val="Heading7"/>
        <w:spacing w:before="0"/>
        <w:ind w:left="215"/>
      </w:pPr>
      <w:bookmarkStart w:name="Public sector demand" w:id="46"/>
      <w:bookmarkEnd w:id="46"/>
      <w:r>
        <w:rPr>
          <w:b w:val="0"/>
        </w:rPr>
      </w:r>
      <w:bookmarkStart w:name="Output" w:id="47"/>
      <w:bookmarkEnd w:id="47"/>
      <w:r>
        <w:rPr>
          <w:b w:val="0"/>
        </w:rPr>
      </w:r>
      <w:bookmarkStart w:name="_bookmark15" w:id="48"/>
      <w:bookmarkEnd w:id="48"/>
      <w:r>
        <w:rPr>
          <w:b w:val="0"/>
        </w:rPr>
      </w:r>
      <w:r>
        <w:rPr>
          <w:color w:val="0093C1"/>
        </w:rPr>
        <w:t>Chart 2.10</w:t>
      </w:r>
    </w:p>
    <w:p>
      <w:pPr>
        <w:spacing w:line="249" w:lineRule="auto" w:before="10"/>
        <w:ind w:left="215" w:right="20" w:firstLine="0"/>
        <w:jc w:val="left"/>
        <w:rPr>
          <w:b/>
          <w:sz w:val="20"/>
        </w:rPr>
      </w:pPr>
      <w:r>
        <w:rPr>
          <w:b/>
          <w:color w:val="0093C1"/>
          <w:sz w:val="20"/>
        </w:rPr>
        <w:t>Manufacturing output and CBI stocks of finished goods</w:t>
      </w:r>
    </w:p>
    <w:p>
      <w:pPr>
        <w:pStyle w:val="BodyText"/>
        <w:spacing w:before="5"/>
        <w:rPr>
          <w:b/>
          <w:sz w:val="21"/>
        </w:rPr>
      </w:pPr>
      <w:r>
        <w:rPr/>
        <w:br w:type="column"/>
      </w:r>
      <w:r>
        <w:rPr>
          <w:b/>
          <w:sz w:val="21"/>
        </w:rPr>
      </w:r>
    </w:p>
    <w:p>
      <w:pPr>
        <w:spacing w:line="242" w:lineRule="auto" w:before="1"/>
        <w:ind w:left="215" w:right="309" w:firstLine="0"/>
        <w:jc w:val="left"/>
        <w:rPr>
          <w:sz w:val="24"/>
        </w:rPr>
      </w:pPr>
      <w:r>
        <w:rPr>
          <w:color w:val="231F20"/>
          <w:sz w:val="24"/>
        </w:rPr>
        <w:t>their production schedules as demand slows. To the extent that the build-up of inventories has been involuntary, it represents a downside risk to future</w:t>
      </w:r>
    </w:p>
    <w:p>
      <w:pPr>
        <w:spacing w:after="0" w:line="242" w:lineRule="auto"/>
        <w:jc w:val="left"/>
        <w:rPr>
          <w:sz w:val="24"/>
        </w:rPr>
        <w:sectPr>
          <w:type w:val="continuous"/>
          <w:pgSz w:w="11900" w:h="16840"/>
          <w:pgMar w:top="1220" w:bottom="280" w:left="620" w:right="520"/>
          <w:cols w:num="2" w:equalWidth="0">
            <w:col w:w="3523" w:space="1267"/>
            <w:col w:w="5970"/>
          </w:cols>
        </w:sectPr>
      </w:pPr>
    </w:p>
    <w:p>
      <w:pPr>
        <w:spacing w:line="119" w:lineRule="exact" w:before="3"/>
        <w:ind w:left="385" w:right="0" w:firstLine="0"/>
        <w:jc w:val="left"/>
        <w:rPr>
          <w:sz w:val="12"/>
        </w:rPr>
      </w:pPr>
      <w:r>
        <w:rPr>
          <w:sz w:val="12"/>
        </w:rPr>
        <w:t>Percentage point balance</w:t>
      </w:r>
    </w:p>
    <w:p>
      <w:pPr>
        <w:spacing w:line="119" w:lineRule="exact" w:before="0"/>
        <w:ind w:left="215" w:right="0" w:firstLine="0"/>
        <w:jc w:val="left"/>
        <w:rPr>
          <w:sz w:val="12"/>
        </w:rPr>
      </w:pPr>
      <w:r>
        <w:rPr/>
        <w:pict>
          <v:group style="position:absolute;margin-left:50.779999pt;margin-top:8.651855pt;width:166.05pt;height:144.75pt;mso-position-horizontal-relative:page;mso-position-vertical-relative:paragraph;z-index:15904256" coordorigin="1016,173" coordsize="3321,2895">
            <v:shape style="position:absolute;left:1015;top:1063;width:3300;height:1660" coordorigin="1016,1063" coordsize="3300,1660" path="m1116,2383l1016,2383m1116,2723l1016,2723m1116,1723l1016,1723m1116,1383l1016,1383m1116,1063l1016,1063m4216,2383l4316,2383m4216,2723l4316,2723m4216,1723l4316,1723m4216,1383l4316,1383m4216,1063l4316,1063e" filled="false" stroked="true" strokeweight=".5pt" strokecolor="#000000">
              <v:path arrowok="t"/>
              <v:stroke dashstyle="solid"/>
            </v:shape>
            <v:shape style="position:absolute;left:1155;top:1023;width:3000;height:1880" coordorigin="1156,1023" coordsize="3000,1880" path="m1156,1523l1176,1523,1196,1603,1216,1483,1236,1483,1256,1423,1276,1303,1296,1203,1316,1183,1336,1303,1356,1403,1396,1423,1416,1203,1436,1183,1456,1063,1476,1183,1496,1063,1516,1123,1536,1083,1556,1083,1576,1023,1596,1023,1636,1043,1656,1123,1676,1123,1696,1143,1716,1243,1736,1203,1756,1283,1776,1323,1796,1503,1816,1623,1836,1703,1876,1823,1896,1823,1936,1923,1956,2003,1976,2003,1996,1983,2016,1923,2056,1923,2076,1963,2096,2083,2136,2203,2156,2283,2176,2343,2196,2423,2216,2563,2236,2743,2256,2823,2296,2883,2316,2843,2336,2903,2376,2823,2396,2703,2416,2603,2436,2563,2476,2323,2496,2123,2516,2163,2536,2063,2576,2023,2596,1883,2636,1883,2656,1963,2676,2003,2696,2003,2716,1903,2736,1843,2756,1843,2776,1783,2796,1863,2816,1903,2836,2003,2856,1923,2876,1943,2936,1823,2956,1703,2976,1703,2996,1723,3016,1703,3036,1583,3056,1483,3076,1423,3096,1343,3116,1303,3136,1203,3156,1183,3176,1203,3196,1363,3236,1503,3256,1623,3276,1683,3296,1763,3356,1823,3376,1923,3416,2043,3436,2083,3456,2043,3496,2023,3516,1943,3536,2023,3556,2043,3576,2083,3596,2063,3616,2063,3636,2043,3656,2043,3676,1983,3696,1963,3716,1923,3756,1883,3776,1923,3796,1903,3816,1923,3836,1883,3856,1883,3876,1863,3896,1883,3936,1963,3956,1983,3976,2063,3996,2063,4016,2043,4036,1983,4056,1963,4076,1963,4096,2003,4136,2023,4156,2043e" filled="false" stroked="true" strokeweight="1pt" strokecolor="#ed1b2d">
              <v:path arrowok="t"/>
              <v:stroke dashstyle="solid"/>
            </v:shape>
            <v:shape style="position:absolute;left:1015;top:383;width:3300;height:2680" coordorigin="1016,383" coordsize="3300,2680" path="m1116,3063l1016,3063m4216,3063l4316,3063m1156,3063l4176,3063m1156,3063l1156,3023m1416,3063l1416,3023m1676,3063l1676,3023m1936,3063l1936,3023m2176,3063l2176,3023m2436,3063l2436,3023m2696,3063l2696,3023m2956,3063l2956,3023m3216,3063l3216,3023m3456,3063l3456,3023m3716,3063l3716,3023m3976,3063l3976,3023m1936,3063l1936,2963m3216,3063l3216,2963m1156,3063l4176,3063m1156,3063l1156,3023m1416,3063l1416,3023m1676,3063l1676,3023m1936,3063l1936,3023m2176,3063l2176,3023m2436,3063l2436,3023m2696,3063l2696,3023m2956,3063l2956,3023m3216,3063l3216,3023m3456,3063l3456,3023m3716,3063l3716,3023m3976,3063l3976,3023m1936,3063l1936,2963m3216,3063l3216,2963m1116,723l1016,723m1116,383l1016,383m4216,723l4316,723m4216,383l4316,383e" filled="false" stroked="true" strokeweight=".5pt" strokecolor="#000000">
              <v:path arrowok="t"/>
              <v:stroke dashstyle="solid"/>
            </v:shape>
            <v:shape style="position:absolute;left:1155;top:183;width:3020;height:2340" coordorigin="1156,183" coordsize="3020,2340" path="m1156,1383l1176,1663,1196,1583,1216,1723,1236,2063,1256,2123,1276,1983,1296,2123,1316,1863,1336,2523,1356,2383,1396,1923,1416,2123,1436,2203,1456,1983,1476,1923,1496,2263,1536,1983,1556,2063,1576,2063,1596,1983,1636,1663,1656,1983,1676,1583,1696,1663,1736,1263,1756,1523,1776,1463,1796,1463,1816,1323,1836,1463,1856,1183,1896,1063,1936,1123,1956,1383,1976,983,2016,1263,2036,1523,2056,1123,2076,1183,2096,1183,2116,863,2136,923,2156,663,2176,663,2196,323,2216,183,2236,323,2256,383,2296,323,2316,323,2336,583,2356,783,2376,723,2396,923,2416,863,2436,663,2456,723,2476,983,2496,923,2516,1183,2536,1123,2576,783,2596,583,2616,663,2636,783,2656,583,2676,663,2696,523,2716,783,2736,863,2756,1183,2776,863,2796,1123,2816,723,2836,983,2856,1463,2876,923,2896,1263,2936,1123,2956,1323,2976,1263,2996,1183,3016,1063,3036,1123,3056,1463,3076,1263,3096,1523,3116,1323,3136,1383,3156,1463,3236,1463,3256,1323,3276,1383,3296,1663,3336,983,3356,1183,3376,783,3396,923,3416,863,3436,583,3456,783,3496,983,3516,723,3536,723,3556,383,3576,923,3596,783,3616,923,3636,1123,3656,863,3676,1063,3696,923,3716,723,3756,1123,3776,1063,3796,923,3816,1123,3836,663,3856,863,3876,1123,3896,1263,3916,1063,3936,1383,3956,1323,3976,923,3996,1183,4016,923,4036,1063,4056,1123,4076,863,4096,1263,4136,663,4156,663,4176,323e" filled="false" stroked="true" strokeweight="1pt" strokecolor="#faab54">
              <v:path arrowok="t"/>
              <v:stroke dashstyle="solid"/>
            </v:shape>
            <v:shape style="position:absolute;left:2345;top:246;width:1654;height:253" type="#_x0000_t202" filled="false" stroked="false">
              <v:textbox inset="0,0,0,0">
                <w:txbxContent>
                  <w:p>
                    <w:pPr>
                      <w:spacing w:line="208" w:lineRule="auto" w:before="9"/>
                      <w:ind w:left="60" w:right="0" w:hanging="60"/>
                      <w:jc w:val="left"/>
                      <w:rPr>
                        <w:sz w:val="12"/>
                      </w:rPr>
                    </w:pPr>
                    <w:r>
                      <w:rPr>
                        <w:sz w:val="12"/>
                      </w:rPr>
                      <w:t>CBI firms with excessive finished stocks (left-hand scale)</w:t>
                    </w:r>
                  </w:p>
                </w:txbxContent>
              </v:textbox>
              <w10:wrap type="none"/>
            </v:shape>
            <v:shape style="position:absolute;left:1025;top:1790;width:111;height:178" type="#_x0000_t202" filled="false" stroked="false">
              <v:textbox inset="0,0,0,0">
                <w:txbxContent>
                  <w:p>
                    <w:pPr>
                      <w:spacing w:line="177" w:lineRule="exact" w:before="0"/>
                      <w:ind w:left="0" w:right="0" w:firstLine="0"/>
                      <w:jc w:val="left"/>
                      <w:rPr>
                        <w:sz w:val="16"/>
                      </w:rPr>
                    </w:pPr>
                    <w:r>
                      <w:rPr>
                        <w:sz w:val="16"/>
                      </w:rPr>
                      <w:t>+</w:t>
                    </w:r>
                  </w:p>
                </w:txbxContent>
              </v:textbox>
              <w10:wrap type="none"/>
            </v:shape>
            <v:shape style="position:absolute;left:4225;top:1770;width:111;height:178" type="#_x0000_t202" filled="false" stroked="false">
              <v:textbox inset="0,0,0,0">
                <w:txbxContent>
                  <w:p>
                    <w:pPr>
                      <w:spacing w:line="177" w:lineRule="exact" w:before="0"/>
                      <w:ind w:left="0" w:right="0" w:firstLine="0"/>
                      <w:jc w:val="left"/>
                      <w:rPr>
                        <w:sz w:val="16"/>
                      </w:rPr>
                    </w:pPr>
                    <w:r>
                      <w:rPr>
                        <w:sz w:val="16"/>
                      </w:rPr>
                      <w:t>+</w:t>
                    </w:r>
                  </w:p>
                </w:txbxContent>
              </v:textbox>
              <w10:wrap type="none"/>
            </v:shape>
            <v:shape style="position:absolute;left:1015;top:1986;width:3320;height:133" type="#_x0000_t202" filled="false" stroked="false">
              <v:textbox inset="0,0,0,0">
                <w:txbxContent>
                  <w:p>
                    <w:pPr>
                      <w:tabs>
                        <w:tab w:pos="3299" w:val="left" w:leader="none"/>
                      </w:tabs>
                      <w:spacing w:line="133" w:lineRule="exact" w:before="0"/>
                      <w:ind w:left="0" w:right="0" w:firstLine="0"/>
                      <w:jc w:val="left"/>
                      <w:rPr>
                        <w:sz w:val="12"/>
                      </w:rPr>
                    </w:pPr>
                    <w:r>
                      <w:rPr>
                        <w:sz w:val="12"/>
                        <w:u w:val="single"/>
                      </w:rPr>
                      <w:t> </w:t>
                      <w:tab/>
                    </w:r>
                  </w:p>
                </w:txbxContent>
              </v:textbox>
              <w10:wrap type="none"/>
            </v:shape>
            <v:shape style="position:absolute;left:1025;top:2070;width:100;height:178" type="#_x0000_t202" filled="false" stroked="false">
              <v:textbox inset="0,0,0,0">
                <w:txbxContent>
                  <w:p>
                    <w:pPr>
                      <w:spacing w:line="177" w:lineRule="exact" w:before="0"/>
                      <w:ind w:left="0" w:right="0" w:firstLine="0"/>
                      <w:jc w:val="left"/>
                      <w:rPr>
                        <w:sz w:val="16"/>
                      </w:rPr>
                    </w:pPr>
                    <w:r>
                      <w:rPr>
                        <w:sz w:val="16"/>
                      </w:rPr>
                      <w:t>_</w:t>
                    </w:r>
                  </w:p>
                </w:txbxContent>
              </v:textbox>
              <w10:wrap type="none"/>
            </v:shape>
            <v:shape style="position:absolute;left:2545;top:2226;width:1327;height:253" type="#_x0000_t202" filled="false" stroked="false">
              <v:textbox inset="0,0,0,0">
                <w:txbxContent>
                  <w:p>
                    <w:pPr>
                      <w:spacing w:line="208" w:lineRule="auto" w:before="9"/>
                      <w:ind w:left="60" w:right="18" w:hanging="60"/>
                      <w:jc w:val="left"/>
                      <w:rPr>
                        <w:sz w:val="12"/>
                      </w:rPr>
                    </w:pPr>
                    <w:r>
                      <w:rPr>
                        <w:sz w:val="12"/>
                      </w:rPr>
                      <w:t>ONS manufacturing output (right-hand scale)</w:t>
                    </w:r>
                  </w:p>
                </w:txbxContent>
              </v:textbox>
              <w10:wrap type="none"/>
            </v:shape>
            <v:shape style="position:absolute;left:4225;top:2090;width:100;height:178" type="#_x0000_t202" filled="false" stroked="false">
              <v:textbox inset="0,0,0,0">
                <w:txbxContent>
                  <w:p>
                    <w:pPr>
                      <w:spacing w:line="177" w:lineRule="exact" w:before="0"/>
                      <w:ind w:left="0" w:right="0" w:firstLine="0"/>
                      <w:jc w:val="left"/>
                      <w:rPr>
                        <w:sz w:val="16"/>
                      </w:rPr>
                    </w:pPr>
                    <w:r>
                      <w:rPr>
                        <w:sz w:val="16"/>
                      </w:rPr>
                      <w:t>_</w:t>
                    </w:r>
                  </w:p>
                </w:txbxContent>
              </v:textbox>
              <w10:wrap type="none"/>
            </v:shape>
            <w10:wrap type="none"/>
          </v:group>
        </w:pict>
      </w:r>
      <w:r>
        <w:rPr/>
        <w:pict>
          <v:line style="position:absolute;mso-position-horizontal-relative:page;mso-position-vertical-relative:paragraph;z-index:15904768" from="55.779999pt,2.151855pt" to="50.779999pt,2.151855pt" stroked="true" strokeweight=".5pt" strokecolor="#000000">
            <v:stroke dashstyle="solid"/>
            <w10:wrap type="none"/>
          </v:line>
        </w:pict>
      </w:r>
      <w:r>
        <w:rPr>
          <w:sz w:val="12"/>
        </w:rPr>
        <w:t>30</w:t>
      </w:r>
    </w:p>
    <w:p>
      <w:pPr>
        <w:pStyle w:val="BodyText"/>
        <w:spacing w:before="6"/>
        <w:rPr>
          <w:sz w:val="17"/>
        </w:rPr>
      </w:pPr>
    </w:p>
    <w:p>
      <w:pPr>
        <w:spacing w:before="0"/>
        <w:ind w:left="215" w:right="0" w:firstLine="0"/>
        <w:jc w:val="left"/>
        <w:rPr>
          <w:sz w:val="12"/>
        </w:rPr>
      </w:pPr>
      <w:r>
        <w:rPr>
          <w:sz w:val="12"/>
        </w:rPr>
        <w:t>25</w:t>
      </w:r>
    </w:p>
    <w:p>
      <w:pPr>
        <w:pStyle w:val="BodyText"/>
        <w:spacing w:before="9"/>
        <w:rPr>
          <w:sz w:val="15"/>
        </w:rPr>
      </w:pPr>
    </w:p>
    <w:p>
      <w:pPr>
        <w:spacing w:before="1"/>
        <w:ind w:left="215" w:right="0" w:firstLine="0"/>
        <w:jc w:val="left"/>
        <w:rPr>
          <w:sz w:val="12"/>
        </w:rPr>
      </w:pPr>
      <w:r>
        <w:rPr>
          <w:sz w:val="12"/>
        </w:rPr>
        <w:t>20</w:t>
      </w:r>
    </w:p>
    <w:p>
      <w:pPr>
        <w:pStyle w:val="BodyText"/>
        <w:spacing w:before="6"/>
        <w:rPr>
          <w:sz w:val="17"/>
        </w:rPr>
      </w:pPr>
    </w:p>
    <w:p>
      <w:pPr>
        <w:spacing w:before="0"/>
        <w:ind w:left="215" w:right="0" w:firstLine="0"/>
        <w:jc w:val="left"/>
        <w:rPr>
          <w:sz w:val="12"/>
        </w:rPr>
      </w:pPr>
      <w:r>
        <w:rPr>
          <w:sz w:val="12"/>
        </w:rPr>
        <w:t>15</w:t>
      </w:r>
    </w:p>
    <w:p>
      <w:pPr>
        <w:pStyle w:val="BodyText"/>
        <w:spacing w:before="7"/>
        <w:rPr>
          <w:sz w:val="17"/>
        </w:rPr>
      </w:pPr>
    </w:p>
    <w:p>
      <w:pPr>
        <w:spacing w:before="0"/>
        <w:ind w:left="215" w:right="0" w:firstLine="0"/>
        <w:jc w:val="left"/>
        <w:rPr>
          <w:sz w:val="12"/>
        </w:rPr>
      </w:pPr>
      <w:r>
        <w:rPr>
          <w:sz w:val="12"/>
        </w:rPr>
        <w:t>10</w:t>
      </w:r>
    </w:p>
    <w:p>
      <w:pPr>
        <w:pStyle w:val="BodyText"/>
        <w:spacing w:before="9"/>
        <w:rPr>
          <w:sz w:val="15"/>
        </w:rPr>
      </w:pPr>
    </w:p>
    <w:p>
      <w:pPr>
        <w:spacing w:before="0"/>
        <w:ind w:left="245" w:right="0" w:firstLine="0"/>
        <w:jc w:val="left"/>
        <w:rPr>
          <w:sz w:val="12"/>
        </w:rPr>
      </w:pPr>
      <w:r>
        <w:rPr>
          <w:sz w:val="12"/>
        </w:rPr>
        <w:t>5</w:t>
      </w:r>
    </w:p>
    <w:p>
      <w:pPr>
        <w:pStyle w:val="BodyText"/>
        <w:spacing w:before="7"/>
        <w:rPr>
          <w:sz w:val="17"/>
        </w:rPr>
      </w:pPr>
    </w:p>
    <w:p>
      <w:pPr>
        <w:spacing w:before="0"/>
        <w:ind w:left="245" w:right="0" w:firstLine="0"/>
        <w:jc w:val="left"/>
        <w:rPr>
          <w:sz w:val="12"/>
        </w:rPr>
      </w:pPr>
      <w:r>
        <w:rPr>
          <w:sz w:val="12"/>
        </w:rPr>
        <w:t>0</w:t>
      </w:r>
    </w:p>
    <w:p>
      <w:pPr>
        <w:pStyle w:val="BodyText"/>
        <w:spacing w:before="6"/>
        <w:rPr>
          <w:sz w:val="17"/>
        </w:rPr>
      </w:pPr>
    </w:p>
    <w:p>
      <w:pPr>
        <w:spacing w:before="0"/>
        <w:ind w:left="275" w:right="0" w:firstLine="0"/>
        <w:jc w:val="left"/>
        <w:rPr>
          <w:sz w:val="12"/>
        </w:rPr>
      </w:pPr>
      <w:r>
        <w:rPr>
          <w:sz w:val="12"/>
        </w:rPr>
        <w:t>5</w:t>
      </w:r>
    </w:p>
    <w:p>
      <w:pPr>
        <w:pStyle w:val="BodyText"/>
        <w:spacing w:before="7"/>
        <w:rPr>
          <w:sz w:val="17"/>
        </w:rPr>
      </w:pPr>
    </w:p>
    <w:p>
      <w:pPr>
        <w:spacing w:before="0"/>
        <w:ind w:left="245" w:right="0" w:firstLine="0"/>
        <w:jc w:val="left"/>
        <w:rPr>
          <w:sz w:val="12"/>
        </w:rPr>
      </w:pPr>
      <w:r>
        <w:rPr>
          <w:sz w:val="12"/>
        </w:rPr>
        <w:t>10</w:t>
      </w:r>
    </w:p>
    <w:p>
      <w:pPr>
        <w:spacing w:line="119" w:lineRule="exact" w:before="3"/>
        <w:ind w:left="215" w:right="0" w:firstLine="0"/>
        <w:jc w:val="left"/>
        <w:rPr>
          <w:sz w:val="12"/>
        </w:rPr>
      </w:pPr>
      <w:r>
        <w:rPr/>
        <w:br w:type="column"/>
      </w:r>
      <w:r>
        <w:rPr>
          <w:sz w:val="12"/>
        </w:rPr>
        <w:t>Percentage changes on a year earlier</w:t>
      </w:r>
    </w:p>
    <w:p>
      <w:pPr>
        <w:spacing w:line="119" w:lineRule="exact" w:before="0"/>
        <w:ind w:left="1985" w:right="0" w:firstLine="0"/>
        <w:jc w:val="left"/>
        <w:rPr>
          <w:sz w:val="12"/>
        </w:rPr>
      </w:pPr>
      <w:r>
        <w:rPr/>
        <w:pict>
          <v:line style="position:absolute;mso-position-horizontal-relative:page;mso-position-vertical-relative:paragraph;z-index:15905280" from="210.779999pt,2.151855pt" to="215.779999pt,2.151855pt" stroked="true" strokeweight=".5pt" strokecolor="#000000">
            <v:stroke dashstyle="solid"/>
            <w10:wrap type="none"/>
          </v:line>
        </w:pict>
      </w:r>
      <w:r>
        <w:rPr>
          <w:sz w:val="12"/>
        </w:rPr>
        <w:t>15.0</w:t>
      </w:r>
    </w:p>
    <w:p>
      <w:pPr>
        <w:pStyle w:val="BodyText"/>
        <w:spacing w:before="6"/>
        <w:rPr>
          <w:sz w:val="17"/>
        </w:rPr>
      </w:pPr>
    </w:p>
    <w:p>
      <w:pPr>
        <w:spacing w:before="0"/>
        <w:ind w:left="0" w:right="38" w:firstLine="0"/>
        <w:jc w:val="right"/>
        <w:rPr>
          <w:sz w:val="12"/>
        </w:rPr>
      </w:pPr>
      <w:r>
        <w:rPr>
          <w:sz w:val="12"/>
        </w:rPr>
        <w:t>12.5</w:t>
      </w:r>
    </w:p>
    <w:p>
      <w:pPr>
        <w:pStyle w:val="BodyText"/>
        <w:spacing w:before="9"/>
        <w:rPr>
          <w:sz w:val="15"/>
        </w:rPr>
      </w:pPr>
    </w:p>
    <w:p>
      <w:pPr>
        <w:spacing w:before="1"/>
        <w:ind w:left="0" w:right="38" w:firstLine="0"/>
        <w:jc w:val="right"/>
        <w:rPr>
          <w:sz w:val="12"/>
        </w:rPr>
      </w:pPr>
      <w:r>
        <w:rPr>
          <w:sz w:val="12"/>
        </w:rPr>
        <w:t>10.0</w:t>
      </w:r>
    </w:p>
    <w:p>
      <w:pPr>
        <w:pStyle w:val="BodyText"/>
        <w:spacing w:before="6"/>
        <w:rPr>
          <w:sz w:val="17"/>
        </w:rPr>
      </w:pPr>
    </w:p>
    <w:p>
      <w:pPr>
        <w:spacing w:before="0"/>
        <w:ind w:left="0" w:right="38" w:firstLine="0"/>
        <w:jc w:val="right"/>
        <w:rPr>
          <w:sz w:val="12"/>
        </w:rPr>
      </w:pPr>
      <w:r>
        <w:rPr>
          <w:sz w:val="12"/>
        </w:rPr>
        <w:t>7.5</w:t>
      </w:r>
    </w:p>
    <w:p>
      <w:pPr>
        <w:pStyle w:val="BodyText"/>
        <w:spacing w:before="7"/>
        <w:rPr>
          <w:sz w:val="17"/>
        </w:rPr>
      </w:pPr>
    </w:p>
    <w:p>
      <w:pPr>
        <w:spacing w:before="0"/>
        <w:ind w:left="0" w:right="38" w:firstLine="0"/>
        <w:jc w:val="right"/>
        <w:rPr>
          <w:sz w:val="12"/>
        </w:rPr>
      </w:pPr>
      <w:r>
        <w:rPr>
          <w:sz w:val="12"/>
        </w:rPr>
        <w:t>5.0</w:t>
      </w:r>
    </w:p>
    <w:p>
      <w:pPr>
        <w:pStyle w:val="BodyText"/>
        <w:spacing w:before="9"/>
        <w:rPr>
          <w:sz w:val="15"/>
        </w:rPr>
      </w:pPr>
    </w:p>
    <w:p>
      <w:pPr>
        <w:spacing w:before="0"/>
        <w:ind w:left="0" w:right="38" w:firstLine="0"/>
        <w:jc w:val="right"/>
        <w:rPr>
          <w:sz w:val="12"/>
        </w:rPr>
      </w:pPr>
      <w:r>
        <w:rPr>
          <w:sz w:val="12"/>
        </w:rPr>
        <w:t>2.5</w:t>
      </w:r>
    </w:p>
    <w:p>
      <w:pPr>
        <w:pStyle w:val="BodyText"/>
        <w:spacing w:before="7"/>
        <w:rPr>
          <w:sz w:val="17"/>
        </w:rPr>
      </w:pPr>
    </w:p>
    <w:p>
      <w:pPr>
        <w:spacing w:before="0"/>
        <w:ind w:left="0" w:right="38" w:firstLine="0"/>
        <w:jc w:val="right"/>
        <w:rPr>
          <w:sz w:val="12"/>
        </w:rPr>
      </w:pPr>
      <w:r>
        <w:rPr>
          <w:sz w:val="12"/>
        </w:rPr>
        <w:t>0.0</w:t>
      </w:r>
    </w:p>
    <w:p>
      <w:pPr>
        <w:pStyle w:val="BodyText"/>
        <w:spacing w:before="6"/>
        <w:rPr>
          <w:sz w:val="17"/>
        </w:rPr>
      </w:pPr>
    </w:p>
    <w:p>
      <w:pPr>
        <w:spacing w:before="0"/>
        <w:ind w:left="0" w:right="38" w:firstLine="0"/>
        <w:jc w:val="right"/>
        <w:rPr>
          <w:sz w:val="12"/>
        </w:rPr>
      </w:pPr>
      <w:r>
        <w:rPr>
          <w:sz w:val="12"/>
        </w:rPr>
        <w:t>2.5</w:t>
      </w:r>
    </w:p>
    <w:p>
      <w:pPr>
        <w:pStyle w:val="BodyText"/>
        <w:spacing w:before="7"/>
        <w:rPr>
          <w:sz w:val="17"/>
        </w:rPr>
      </w:pPr>
    </w:p>
    <w:p>
      <w:pPr>
        <w:spacing w:before="0"/>
        <w:ind w:left="0" w:right="38" w:firstLine="0"/>
        <w:jc w:val="right"/>
        <w:rPr>
          <w:sz w:val="12"/>
        </w:rPr>
      </w:pPr>
      <w:r>
        <w:rPr>
          <w:sz w:val="12"/>
        </w:rPr>
        <w:t>5.0</w:t>
      </w:r>
    </w:p>
    <w:p>
      <w:pPr>
        <w:spacing w:line="242" w:lineRule="auto" w:before="3"/>
        <w:ind w:left="215" w:right="309" w:firstLine="0"/>
        <w:jc w:val="left"/>
        <w:rPr>
          <w:sz w:val="24"/>
        </w:rPr>
      </w:pPr>
      <w:r>
        <w:rPr/>
        <w:br w:type="column"/>
      </w:r>
      <w:r>
        <w:rPr>
          <w:color w:val="231F20"/>
          <w:sz w:val="24"/>
        </w:rPr>
        <w:t>output growth. There is some survey evidence that this may be the case.  The percentage of manufacturers in the CBI survey citing excess stocks of finished goods has risen sharply in recent months, and was at its </w:t>
      </w:r>
      <w:r>
        <w:rPr>
          <w:color w:val="231F20"/>
          <w:spacing w:val="-3"/>
          <w:sz w:val="24"/>
        </w:rPr>
        <w:t>highest </w:t>
      </w:r>
      <w:r>
        <w:rPr>
          <w:color w:val="231F20"/>
          <w:sz w:val="24"/>
        </w:rPr>
        <w:t>in October since July 1991. That has in the past been associated with lower manufacturing output growth (see Chart 2.10). The percentage balance of retailers saying that stocks are too high relative to expected demand has also picked up in the past three months, and has exceeded expectations since June. The MPC expect any significant rise in inventories to be unwound in line</w:t>
      </w:r>
      <w:r>
        <w:rPr>
          <w:color w:val="231F20"/>
          <w:spacing w:val="-21"/>
          <w:sz w:val="24"/>
        </w:rPr>
        <w:t> </w:t>
      </w:r>
      <w:r>
        <w:rPr>
          <w:color w:val="231F20"/>
          <w:sz w:val="24"/>
        </w:rPr>
        <w:t>with</w:t>
      </w:r>
    </w:p>
    <w:p>
      <w:pPr>
        <w:spacing w:after="0" w:line="242" w:lineRule="auto"/>
        <w:jc w:val="left"/>
        <w:rPr>
          <w:sz w:val="24"/>
        </w:rPr>
        <w:sectPr>
          <w:type w:val="continuous"/>
          <w:pgSz w:w="11900" w:h="16840"/>
          <w:pgMar w:top="1220" w:bottom="280" w:left="620" w:right="520"/>
          <w:cols w:num="3" w:equalWidth="0">
            <w:col w:w="1626" w:space="124"/>
            <w:col w:w="2236" w:space="804"/>
            <w:col w:w="5970"/>
          </w:cols>
        </w:sectPr>
      </w:pPr>
    </w:p>
    <w:p>
      <w:pPr>
        <w:spacing w:line="119" w:lineRule="exact" w:before="33"/>
        <w:ind w:left="245" w:right="0" w:firstLine="0"/>
        <w:jc w:val="left"/>
        <w:rPr>
          <w:sz w:val="12"/>
        </w:rPr>
      </w:pPr>
      <w:r>
        <w:rPr>
          <w:sz w:val="12"/>
        </w:rPr>
        <w:t>15</w:t>
      </w:r>
    </w:p>
    <w:p>
      <w:pPr>
        <w:spacing w:line="119" w:lineRule="exact" w:before="0"/>
        <w:ind w:left="418" w:right="0" w:firstLine="0"/>
        <w:jc w:val="left"/>
        <w:rPr>
          <w:sz w:val="12"/>
        </w:rPr>
      </w:pPr>
      <w:r>
        <w:rPr>
          <w:sz w:val="12"/>
        </w:rPr>
        <w:t>1987 88 89 90 91 92 93 94 95 96 97 98</w:t>
      </w:r>
    </w:p>
    <w:p>
      <w:pPr>
        <w:spacing w:before="33"/>
        <w:ind w:left="245" w:right="0" w:firstLine="0"/>
        <w:jc w:val="left"/>
        <w:rPr>
          <w:sz w:val="12"/>
        </w:rPr>
      </w:pPr>
      <w:r>
        <w:rPr/>
        <w:br w:type="column"/>
      </w:r>
      <w:r>
        <w:rPr>
          <w:sz w:val="12"/>
        </w:rPr>
        <w:t>7.5</w:t>
      </w:r>
    </w:p>
    <w:p>
      <w:pPr>
        <w:pStyle w:val="Heading4"/>
        <w:spacing w:before="14"/>
        <w:ind w:left="245"/>
      </w:pPr>
      <w:r>
        <w:rPr/>
        <w:br w:type="column"/>
      </w:r>
      <w:r>
        <w:rPr>
          <w:color w:val="231F20"/>
        </w:rPr>
        <w:t>the medium-run trend in the inventory-output ratio.</w:t>
      </w:r>
    </w:p>
    <w:p>
      <w:pPr>
        <w:pStyle w:val="BodyText"/>
        <w:spacing w:before="8"/>
        <w:rPr>
          <w:sz w:val="24"/>
        </w:rPr>
      </w:pPr>
    </w:p>
    <w:p>
      <w:pPr>
        <w:pStyle w:val="Heading5"/>
        <w:ind w:left="245"/>
        <w:rPr>
          <w:i/>
        </w:rPr>
      </w:pPr>
      <w:r>
        <w:rPr>
          <w:i/>
          <w:color w:val="009483"/>
        </w:rPr>
        <w:t>Public sector demand</w:t>
      </w:r>
    </w:p>
    <w:p>
      <w:pPr>
        <w:spacing w:line="242" w:lineRule="auto" w:before="144"/>
        <w:ind w:left="245" w:right="293" w:firstLine="0"/>
        <w:jc w:val="left"/>
        <w:rPr>
          <w:sz w:val="24"/>
        </w:rPr>
      </w:pPr>
      <w:r>
        <w:rPr>
          <w:color w:val="231F20"/>
          <w:sz w:val="24"/>
        </w:rPr>
        <w:t>Public sector net borrowing (PSNB) was -£0.1 billion in September (ie a net repayment). The cumulative PSNB for 1998 Q3 was -£2.1 billion, and £5.1 billion from April to September 1998, around £10 billion lower than for the same period in 1997.</w:t>
      </w:r>
    </w:p>
    <w:p>
      <w:pPr>
        <w:spacing w:after="0" w:line="242" w:lineRule="auto"/>
        <w:jc w:val="left"/>
        <w:rPr>
          <w:sz w:val="24"/>
        </w:rPr>
        <w:sectPr>
          <w:type w:val="continuous"/>
          <w:pgSz w:w="11900" w:h="16840"/>
          <w:pgMar w:top="1220" w:bottom="280" w:left="620" w:right="520"/>
          <w:cols w:num="3" w:equalWidth="0">
            <w:col w:w="3446" w:space="104"/>
            <w:col w:w="436" w:space="774"/>
            <w:col w:w="6000"/>
          </w:cols>
        </w:sectPr>
      </w:pPr>
    </w:p>
    <w:p>
      <w:pPr>
        <w:pStyle w:val="BodyText"/>
        <w:spacing w:before="4"/>
        <w:rPr>
          <w:sz w:val="15"/>
        </w:rPr>
      </w:pPr>
    </w:p>
    <w:p>
      <w:pPr>
        <w:spacing w:after="0"/>
        <w:rPr>
          <w:sz w:val="15"/>
        </w:rPr>
        <w:sectPr>
          <w:type w:val="continuous"/>
          <w:pgSz w:w="11900" w:h="16840"/>
          <w:pgMar w:top="1220" w:bottom="280" w:left="620" w:right="52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24"/>
        </w:rPr>
      </w:pPr>
    </w:p>
    <w:p>
      <w:pPr>
        <w:pStyle w:val="Heading7"/>
        <w:spacing w:before="0"/>
        <w:ind w:left="207"/>
      </w:pPr>
      <w:r>
        <w:rPr>
          <w:color w:val="0093C1"/>
        </w:rPr>
        <w:t>Chart 2.11</w:t>
      </w:r>
    </w:p>
    <w:p>
      <w:pPr>
        <w:spacing w:before="10"/>
        <w:ind w:left="207" w:right="0" w:firstLine="0"/>
        <w:jc w:val="left"/>
        <w:rPr>
          <w:b/>
          <w:sz w:val="20"/>
        </w:rPr>
      </w:pPr>
      <w:r>
        <w:rPr>
          <w:b/>
          <w:color w:val="0093C1"/>
          <w:sz w:val="20"/>
        </w:rPr>
        <w:t>GDP growth rate</w:t>
      </w:r>
    </w:p>
    <w:p>
      <w:pPr>
        <w:pStyle w:val="BodyText"/>
        <w:spacing w:before="5" w:after="40"/>
        <w:rPr>
          <w:b/>
          <w:sz w:val="25"/>
        </w:rPr>
      </w:pPr>
    </w:p>
    <w:p>
      <w:pPr>
        <w:pStyle w:val="BodyText"/>
        <w:spacing w:line="20" w:lineRule="exact"/>
        <w:ind w:left="227"/>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rPr>
          <w:b/>
          <w:sz w:val="20"/>
        </w:rPr>
      </w:pPr>
    </w:p>
    <w:p>
      <w:pPr>
        <w:pStyle w:val="BodyText"/>
        <w:spacing w:before="4"/>
        <w:rPr>
          <w:b/>
        </w:rPr>
      </w:pPr>
      <w:r>
        <w:rPr/>
        <w:pict>
          <v:shape style="position:absolute;margin-left:42.630001pt;margin-top:12.750977pt;width:5pt;height:.1pt;mso-position-horizontal-relative:page;mso-position-vertical-relative:paragraph;z-index:-15559168;mso-wrap-distance-left:0;mso-wrap-distance-right:0" coordorigin="853,255" coordsize="100,0" path="m953,255l853,255e" filled="false" stroked="true" strokeweight=".5pt" strokecolor="#000000">
            <v:path arrowok="t"/>
            <v:stroke dashstyle="solid"/>
            <w10:wrap type="topAndBottom"/>
          </v:shape>
        </w:pict>
      </w:r>
    </w:p>
    <w:p>
      <w:pPr>
        <w:pStyle w:val="BodyText"/>
        <w:rPr>
          <w:b/>
          <w:sz w:val="20"/>
        </w:rPr>
      </w:pPr>
    </w:p>
    <w:p>
      <w:pPr>
        <w:pStyle w:val="BodyText"/>
        <w:spacing w:before="8"/>
        <w:rPr>
          <w:b/>
          <w:sz w:val="16"/>
        </w:rPr>
      </w:pPr>
      <w:r>
        <w:rPr/>
        <w:pict>
          <v:shape style="position:absolute;margin-left:42.630001pt;margin-top:11.800977pt;width:5pt;height:.1pt;mso-position-horizontal-relative:page;mso-position-vertical-relative:paragraph;z-index:-15558656;mso-wrap-distance-left:0;mso-wrap-distance-right:0" coordorigin="853,236" coordsize="100,0" path="m953,236l853,236e" filled="false" stroked="true" strokeweight=".5pt" strokecolor="#000000">
            <v:path arrowok="t"/>
            <v:stroke dashstyle="solid"/>
            <w10:wrap type="topAndBottom"/>
          </v:shape>
        </w:pict>
      </w:r>
    </w:p>
    <w:p>
      <w:pPr>
        <w:pStyle w:val="BodyText"/>
        <w:rPr>
          <w:b/>
          <w:sz w:val="20"/>
        </w:rPr>
      </w:pPr>
    </w:p>
    <w:p>
      <w:pPr>
        <w:pStyle w:val="BodyText"/>
        <w:spacing w:before="5"/>
        <w:rPr>
          <w:b/>
        </w:rPr>
      </w:pPr>
      <w:r>
        <w:rPr/>
        <w:pict>
          <v:shape style="position:absolute;margin-left:42.630001pt;margin-top:12.800977pt;width:5pt;height:.1pt;mso-position-horizontal-relative:page;mso-position-vertical-relative:paragraph;z-index:-15558144;mso-wrap-distance-left:0;mso-wrap-distance-right:0" coordorigin="853,256" coordsize="100,0" path="m953,256l853,256e" filled="false" stroked="true" strokeweight=".5pt" strokecolor="#000000">
            <v:path arrowok="t"/>
            <v:stroke dashstyle="solid"/>
            <w10:wrap type="topAndBottom"/>
          </v:shape>
        </w:pict>
      </w:r>
    </w:p>
    <w:p>
      <w:pPr>
        <w:pStyle w:val="BodyText"/>
        <w:rPr>
          <w:b/>
          <w:sz w:val="20"/>
        </w:rPr>
      </w:pPr>
    </w:p>
    <w:p>
      <w:pPr>
        <w:pStyle w:val="BodyText"/>
        <w:spacing w:before="8"/>
        <w:rPr>
          <w:b/>
          <w:sz w:val="16"/>
        </w:rPr>
      </w:pPr>
      <w:r>
        <w:rPr/>
        <w:pict>
          <v:shape style="position:absolute;margin-left:42.630001pt;margin-top:11.800977pt;width:5pt;height:.1pt;mso-position-horizontal-relative:page;mso-position-vertical-relative:paragraph;z-index:-15557632;mso-wrap-distance-left:0;mso-wrap-distance-right:0" coordorigin="853,236" coordsize="100,0" path="m953,236l853,236e" filled="false" stroked="true" strokeweight=".5pt" strokecolor="#000000">
            <v:path arrowok="t"/>
            <v:stroke dashstyle="solid"/>
            <w10:wrap type="topAndBottom"/>
          </v:shape>
        </w:pict>
      </w:r>
    </w:p>
    <w:p>
      <w:pPr>
        <w:pStyle w:val="BodyText"/>
        <w:rPr>
          <w:b/>
          <w:sz w:val="20"/>
        </w:rPr>
      </w:pPr>
    </w:p>
    <w:p>
      <w:pPr>
        <w:pStyle w:val="BodyText"/>
        <w:spacing w:before="8"/>
        <w:rPr>
          <w:b/>
          <w:sz w:val="16"/>
        </w:rPr>
      </w:pPr>
      <w:r>
        <w:rPr/>
        <w:pict>
          <v:shape style="position:absolute;margin-left:42.630001pt;margin-top:11.800977pt;width:5pt;height:.1pt;mso-position-horizontal-relative:page;mso-position-vertical-relative:paragraph;z-index:-15557120;mso-wrap-distance-left:0;mso-wrap-distance-right:0" coordorigin="853,236" coordsize="100,0" path="m953,236l853,236e" filled="false" stroked="true" strokeweight=".5pt" strokecolor="#000000">
            <v:path arrowok="t"/>
            <v:stroke dashstyle="solid"/>
            <w10:wrap type="topAndBottom"/>
          </v:shape>
        </w:pict>
      </w:r>
    </w:p>
    <w:p>
      <w:pPr>
        <w:pStyle w:val="BodyText"/>
        <w:rPr>
          <w:b/>
          <w:sz w:val="12"/>
        </w:rPr>
      </w:pPr>
      <w:r>
        <w:rPr/>
        <w:br w:type="column"/>
      </w:r>
      <w:r>
        <w:rPr>
          <w:b/>
          <w:sz w:val="12"/>
        </w:rPr>
      </w: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spacing w:before="5"/>
        <w:rPr>
          <w:b/>
          <w:sz w:val="10"/>
        </w:rPr>
      </w:pPr>
    </w:p>
    <w:p>
      <w:pPr>
        <w:spacing w:line="122" w:lineRule="exact" w:before="0"/>
        <w:ind w:left="207" w:right="0" w:firstLine="0"/>
        <w:jc w:val="left"/>
        <w:rPr>
          <w:sz w:val="12"/>
        </w:rPr>
      </w:pPr>
      <w:r>
        <w:rPr>
          <w:sz w:val="12"/>
        </w:rPr>
        <w:t>Percentage changes</w:t>
      </w:r>
    </w:p>
    <w:p>
      <w:pPr>
        <w:spacing w:line="122" w:lineRule="exact" w:before="0"/>
        <w:ind w:left="1214" w:right="0" w:firstLine="0"/>
        <w:jc w:val="left"/>
        <w:rPr>
          <w:sz w:val="12"/>
        </w:rPr>
      </w:pPr>
      <w:r>
        <w:rPr/>
        <w:pict>
          <v:line style="position:absolute;mso-position-horizontal-relative:page;mso-position-vertical-relative:paragraph;z-index:15909888" from="202.630005pt,2.318649pt" to="206.630005pt,2.318649pt" stroked="true" strokeweight=".5pt" strokecolor="#000000">
            <v:stroke dashstyle="solid"/>
            <w10:wrap type="none"/>
          </v:line>
        </w:pict>
      </w:r>
      <w:r>
        <w:rPr>
          <w:sz w:val="12"/>
        </w:rPr>
        <w:t>6</w:t>
      </w:r>
    </w:p>
    <w:p>
      <w:pPr>
        <w:pStyle w:val="BodyText"/>
        <w:rPr>
          <w:sz w:val="12"/>
        </w:rPr>
      </w:pPr>
    </w:p>
    <w:p>
      <w:pPr>
        <w:pStyle w:val="BodyText"/>
        <w:rPr>
          <w:sz w:val="12"/>
        </w:rPr>
      </w:pPr>
    </w:p>
    <w:p>
      <w:pPr>
        <w:spacing w:before="86"/>
        <w:ind w:left="0" w:right="38" w:firstLine="0"/>
        <w:jc w:val="right"/>
        <w:rPr>
          <w:sz w:val="12"/>
        </w:rPr>
      </w:pPr>
      <w:r>
        <w:rPr/>
        <w:pict>
          <v:group style="position:absolute;margin-left:42.630001pt;margin-top:11.901563pt;width:164pt;height:121.85pt;mso-position-horizontal-relative:page;mso-position-vertical-relative:paragraph;z-index:-21581824" coordorigin="853,238" coordsize="3280,2437">
            <v:shape style="position:absolute;left:852;top:2668;width:3280;height:2" coordorigin="853,2668" coordsize="3280,0" path="m993,2668l3993,2668m953,2668l853,2668m4053,2668l4133,2668m993,2668l3993,2668e" filled="false" stroked="true" strokeweight=".5pt" strokecolor="#000000">
              <v:path arrowok="t"/>
              <v:stroke dashstyle="solid"/>
            </v:shape>
            <v:rect style="position:absolute;left:1012;top:2408;width:60;height:260" filled="true" fillcolor="#9bd3ae" stroked="false">
              <v:fill type="solid"/>
            </v:rect>
            <v:rect style="position:absolute;left:1012;top:2408;width:60;height:260" filled="false" stroked="true" strokeweight=".5pt" strokecolor="#000000">
              <v:stroke dashstyle="solid"/>
            </v:rect>
            <v:rect style="position:absolute;left:1152;top:2368;width:60;height:300" filled="true" fillcolor="#9bd3ae" stroked="false">
              <v:fill type="solid"/>
            </v:rect>
            <v:rect style="position:absolute;left:1152;top:2368;width:60;height:300" filled="false" stroked="true" strokeweight=".5pt" strokecolor="#000000">
              <v:stroke dashstyle="solid"/>
            </v:rect>
            <v:rect style="position:absolute;left:1272;top:2168;width:60;height:500" filled="true" fillcolor="#9bd3ae" stroked="false">
              <v:fill type="solid"/>
            </v:rect>
            <v:rect style="position:absolute;left:1272;top:2168;width:60;height:500" filled="false" stroked="true" strokeweight=".5pt" strokecolor="#000000">
              <v:stroke dashstyle="solid"/>
            </v:rect>
            <v:rect style="position:absolute;left:1412;top:2128;width:60;height:540" filled="true" fillcolor="#9bd3ae" stroked="false">
              <v:fill type="solid"/>
            </v:rect>
            <v:rect style="position:absolute;left:1412;top:2128;width:60;height:540" filled="false" stroked="true" strokeweight=".5pt" strokecolor="#000000">
              <v:stroke dashstyle="solid"/>
            </v:rect>
            <v:rect style="position:absolute;left:1532;top:2168;width:80;height:500" filled="true" fillcolor="#9bd3ae" stroked="false">
              <v:fill type="solid"/>
            </v:rect>
            <v:rect style="position:absolute;left:1532;top:2168;width:80;height:500" filled="false" stroked="true" strokeweight=".5pt" strokecolor="#000000">
              <v:stroke dashstyle="solid"/>
            </v:rect>
            <v:shape style="position:absolute;left:1052;top:248;width:2880;height:1760" coordorigin="1053,248" coordsize="2880,1760" path="m1053,2008l1173,1588,1313,1368,1453,1048,1573,808,1713,468,1833,248,1973,368,2093,648,2233,1108,2353,1588,2493,1688,2633,1408,2753,1428,2893,1368,3013,1348,3153,1368,3273,908,3413,708,3533,648,3533,668,3673,808,3813,1168,3933,1408e" filled="false" stroked="true" strokeweight="1pt" strokecolor="#008256">
              <v:path arrowok="t"/>
              <v:stroke dashstyle="solid"/>
            </v:shape>
            <v:rect style="position:absolute;left:1672;top:2048;width:60;height:620" filled="true" fillcolor="#9bd3ae" stroked="false">
              <v:fill type="solid"/>
            </v:rect>
            <v:rect style="position:absolute;left:1672;top:2048;width:60;height:620" filled="false" stroked="true" strokeweight=".5pt" strokecolor="#000000">
              <v:stroke dashstyle="solid"/>
            </v:rect>
            <v:rect style="position:absolute;left:1812;top:1948;width:60;height:720" filled="true" fillcolor="#9bd3ae" stroked="false">
              <v:fill type="solid"/>
            </v:rect>
            <v:rect style="position:absolute;left:1812;top:1948;width:60;height:720" filled="false" stroked="true" strokeweight=".5pt" strokecolor="#000000">
              <v:stroke dashstyle="solid"/>
            </v:rect>
            <v:rect style="position:absolute;left:1932;top:2248;width:60;height:420" filled="true" fillcolor="#9bd3ae" stroked="false">
              <v:fill type="solid"/>
            </v:rect>
            <v:rect style="position:absolute;left:1932;top:2248;width:60;height:420" filled="false" stroked="true" strokeweight=".5pt" strokecolor="#000000">
              <v:stroke dashstyle="solid"/>
            </v:rect>
            <v:rect style="position:absolute;left:2072;top:2428;width:60;height:240" filled="true" fillcolor="#9bd3ae" stroked="false">
              <v:fill type="solid"/>
            </v:rect>
            <v:rect style="position:absolute;left:2072;top:2428;width:60;height:240" filled="false" stroked="true" strokeweight=".5pt" strokecolor="#000000">
              <v:stroke dashstyle="solid"/>
            </v:rect>
            <v:rect style="position:absolute;left:2192;top:2488;width:60;height:180" filled="true" fillcolor="#9bd3ae" stroked="false">
              <v:fill type="solid"/>
            </v:rect>
            <v:rect style="position:absolute;left:2192;top:2488;width:60;height:180" filled="false" stroked="true" strokeweight=".5pt" strokecolor="#000000">
              <v:stroke dashstyle="solid"/>
            </v:rect>
            <v:rect style="position:absolute;left:2332;top:2428;width:60;height:240" filled="true" fillcolor="#9bd3ae" stroked="false">
              <v:fill type="solid"/>
            </v:rect>
            <v:rect style="position:absolute;left:2332;top:2428;width:60;height:240" filled="false" stroked="true" strokeweight=".5pt" strokecolor="#000000">
              <v:stroke dashstyle="solid"/>
            </v:rect>
            <v:rect style="position:absolute;left:2452;top:2348;width:60;height:320" filled="true" fillcolor="#9bd3ae" stroked="false">
              <v:fill type="solid"/>
            </v:rect>
            <v:rect style="position:absolute;left:2452;top:2348;width:60;height:320" filled="false" stroked="true" strokeweight=".5pt" strokecolor="#000000">
              <v:stroke dashstyle="solid"/>
            </v:rect>
            <v:rect style="position:absolute;left:2592;top:2148;width:60;height:520" filled="true" fillcolor="#9bd3ae" stroked="false">
              <v:fill type="solid"/>
            </v:rect>
            <v:rect style="position:absolute;left:2592;top:2148;width:60;height:520" filled="false" stroked="true" strokeweight=".5pt" strokecolor="#000000">
              <v:stroke dashstyle="solid"/>
            </v:rect>
            <v:rect style="position:absolute;left:2712;top:2488;width:60;height:180" filled="true" fillcolor="#9bd3ae" stroked="false">
              <v:fill type="solid"/>
            </v:rect>
            <v:rect style="position:absolute;left:2712;top:2488;width:60;height:180" filled="false" stroked="true" strokeweight=".5pt" strokecolor="#000000">
              <v:stroke dashstyle="solid"/>
            </v:rect>
            <v:rect style="position:absolute;left:2852;top:2388;width:60;height:280" filled="true" fillcolor="#9bd3ae" stroked="false">
              <v:fill type="solid"/>
            </v:rect>
            <v:rect style="position:absolute;left:2852;top:2388;width:60;height:280" filled="false" stroked="true" strokeweight=".5pt" strokecolor="#000000">
              <v:stroke dashstyle="solid"/>
            </v:rect>
            <v:rect style="position:absolute;left:2972;top:2328;width:80;height:340" filled="true" fillcolor="#9bd3ae" stroked="false">
              <v:fill type="solid"/>
            </v:rect>
            <v:rect style="position:absolute;left:2972;top:2328;width:80;height:340" filled="false" stroked="true" strokeweight=".5pt" strokecolor="#000000">
              <v:stroke dashstyle="solid"/>
            </v:rect>
            <v:rect style="position:absolute;left:3112;top:2188;width:60;height:480" filled="true" fillcolor="#9bd3ae" stroked="false">
              <v:fill type="solid"/>
            </v:rect>
            <v:rect style="position:absolute;left:3112;top:2188;width:60;height:480" filled="false" stroked="true" strokeweight=".5pt" strokecolor="#000000">
              <v:stroke dashstyle="solid"/>
            </v:rect>
            <v:rect style="position:absolute;left:3252;top:2068;width:60;height:600" filled="true" fillcolor="#9bd3ae" stroked="false">
              <v:fill type="solid"/>
            </v:rect>
            <v:rect style="position:absolute;left:3252;top:2068;width:60;height:600" filled="false" stroked="true" strokeweight=".5pt" strokecolor="#000000">
              <v:stroke dashstyle="solid"/>
            </v:rect>
            <v:rect style="position:absolute;left:3372;top:2168;width:60;height:500" filled="true" fillcolor="#9bd3ae" stroked="false">
              <v:fill type="solid"/>
            </v:rect>
            <v:rect style="position:absolute;left:3372;top:2168;width:60;height:500" filled="false" stroked="true" strokeweight=".5pt" strokecolor="#000000">
              <v:stroke dashstyle="solid"/>
            </v:rect>
            <v:rect style="position:absolute;left:3512;top:2308;width:60;height:360" filled="true" fillcolor="#9bd3ae" stroked="false">
              <v:fill type="solid"/>
            </v:rect>
            <v:rect style="position:absolute;left:3512;top:2308;width:60;height:360" filled="false" stroked="true" strokeweight=".5pt" strokecolor="#000000">
              <v:stroke dashstyle="solid"/>
            </v:rect>
            <v:rect style="position:absolute;left:3632;top:2268;width:60;height:400" filled="true" fillcolor="#9bd3ae" stroked="false">
              <v:fill type="solid"/>
            </v:rect>
            <v:rect style="position:absolute;left:3632;top:2268;width:60;height:400" filled="false" stroked="true" strokeweight=".5pt" strokecolor="#000000">
              <v:stroke dashstyle="solid"/>
            </v:rect>
            <v:rect style="position:absolute;left:3772;top:2408;width:60;height:260" filled="true" fillcolor="#9bd3ae" stroked="false">
              <v:fill type="solid"/>
            </v:rect>
            <v:rect style="position:absolute;left:3772;top:2408;width:60;height:260" filled="false" stroked="true" strokeweight=".5pt" strokecolor="#000000">
              <v:stroke dashstyle="solid"/>
            </v:rect>
            <v:rect style="position:absolute;left:3892;top:2408;width:60;height:260" filled="true" fillcolor="#9bd3ae" stroked="false">
              <v:fill type="solid"/>
            </v:rect>
            <v:rect style="position:absolute;left:3892;top:2408;width:60;height:260" filled="false" stroked="true" strokeweight=".5pt" strokecolor="#000000">
              <v:stroke dashstyle="solid"/>
            </v:rect>
            <v:shape style="position:absolute;left:992;top:2594;width:2880;height:80" coordorigin="993,2595" coordsize="2880,80" path="m1133,2675l1133,2635m1253,2675l1253,2635m1393,2675l1393,2635m1653,2675l1653,2635m1773,2675l1773,2635m1913,2675l1913,2635m2173,2675l2173,2635m2313,2675l2313,2635m2433,2675l2433,2635m2693,2675l2693,2635m2833,2675l2833,2635m2953,2675l2953,2635m3233,2675l3233,2635m3353,2675l3353,2635m3493,2675l3493,2635m3753,2675l3753,2635m3873,2675l3873,2635m993,2675l993,2595m1513,2675l1513,2595m2033,2675l2033,2595m2573,2675l2573,2595m3093,2675l3093,2595m3613,2675l3613,2595e" filled="false" stroked="true" strokeweight=".5pt" strokecolor="#000000">
              <v:path arrowok="t"/>
              <v:stroke dashstyle="solid"/>
            </v:shape>
            <v:shape style="position:absolute;left:2322;top:911;width:857;height:253" type="#_x0000_t202" filled="false" stroked="false">
              <v:textbox inset="0,0,0,0">
                <w:txbxContent>
                  <w:p>
                    <w:pPr>
                      <w:spacing w:line="208" w:lineRule="auto" w:before="9"/>
                      <w:ind w:left="30" w:right="0" w:hanging="30"/>
                      <w:jc w:val="left"/>
                      <w:rPr>
                        <w:sz w:val="12"/>
                      </w:rPr>
                    </w:pPr>
                    <w:r>
                      <w:rPr>
                        <w:sz w:val="12"/>
                      </w:rPr>
                      <w:t>Quarter on a year earlier</w:t>
                    </w:r>
                  </w:p>
                </w:txbxContent>
              </v:textbox>
              <w10:wrap type="none"/>
            </v:shape>
            <v:shape style="position:absolute;left:1922;top:1897;width:1350;height:133" type="#_x0000_t202" filled="false" stroked="false">
              <v:textbox inset="0,0,0,0">
                <w:txbxContent>
                  <w:p>
                    <w:pPr>
                      <w:spacing w:line="133" w:lineRule="exact" w:before="0"/>
                      <w:ind w:left="0" w:right="0" w:firstLine="0"/>
                      <w:jc w:val="left"/>
                      <w:rPr>
                        <w:sz w:val="12"/>
                      </w:rPr>
                    </w:pPr>
                    <w:r>
                      <w:rPr>
                        <w:sz w:val="12"/>
                      </w:rPr>
                      <w:t>Quarter on previous quarter</w:t>
                    </w:r>
                  </w:p>
                </w:txbxContent>
              </v:textbox>
              <w10:wrap type="none"/>
            </v:shape>
            <w10:wrap type="none"/>
          </v:group>
        </w:pict>
      </w:r>
      <w:r>
        <w:rPr/>
        <w:pict>
          <v:line style="position:absolute;mso-position-horizontal-relative:page;mso-position-vertical-relative:paragraph;z-index:15909376" from="202.630005pt,7.401563pt" to="206.630005pt,7.401563pt" stroked="true" strokeweight=".5pt" strokecolor="#000000">
            <v:stroke dashstyle="solid"/>
            <w10:wrap type="none"/>
          </v:line>
        </w:pict>
      </w:r>
      <w:r>
        <w:rPr>
          <w:sz w:val="12"/>
        </w:rPr>
        <w:t>5</w:t>
      </w:r>
    </w:p>
    <w:p>
      <w:pPr>
        <w:pStyle w:val="BodyText"/>
        <w:rPr>
          <w:sz w:val="12"/>
        </w:rPr>
      </w:pPr>
    </w:p>
    <w:p>
      <w:pPr>
        <w:pStyle w:val="BodyText"/>
        <w:rPr>
          <w:sz w:val="12"/>
        </w:rPr>
      </w:pPr>
    </w:p>
    <w:p>
      <w:pPr>
        <w:spacing w:before="86"/>
        <w:ind w:left="0" w:right="38" w:firstLine="0"/>
        <w:jc w:val="right"/>
        <w:rPr>
          <w:sz w:val="12"/>
        </w:rPr>
      </w:pPr>
      <w:r>
        <w:rPr/>
        <w:pict>
          <v:line style="position:absolute;mso-position-horizontal-relative:page;mso-position-vertical-relative:paragraph;z-index:15908864" from="202.630005pt,7.401563pt" to="206.630005pt,7.401563pt" stroked="true" strokeweight=".5pt" strokecolor="#000000">
            <v:stroke dashstyle="solid"/>
            <w10:wrap type="none"/>
          </v:line>
        </w:pict>
      </w:r>
      <w:r>
        <w:rPr>
          <w:sz w:val="12"/>
        </w:rPr>
        <w:t>4</w:t>
      </w:r>
    </w:p>
    <w:p>
      <w:pPr>
        <w:pStyle w:val="BodyText"/>
        <w:rPr>
          <w:sz w:val="12"/>
        </w:rPr>
      </w:pPr>
    </w:p>
    <w:p>
      <w:pPr>
        <w:pStyle w:val="BodyText"/>
        <w:rPr>
          <w:sz w:val="12"/>
        </w:rPr>
      </w:pPr>
    </w:p>
    <w:p>
      <w:pPr>
        <w:spacing w:before="86"/>
        <w:ind w:left="0" w:right="38" w:firstLine="0"/>
        <w:jc w:val="right"/>
        <w:rPr>
          <w:sz w:val="12"/>
        </w:rPr>
      </w:pPr>
      <w:r>
        <w:rPr/>
        <w:pict>
          <v:line style="position:absolute;mso-position-horizontal-relative:page;mso-position-vertical-relative:paragraph;z-index:15908352" from="202.630005pt,8.401563pt" to="206.630005pt,8.401563pt" stroked="true" strokeweight=".5pt" strokecolor="#000000">
            <v:stroke dashstyle="solid"/>
            <w10:wrap type="none"/>
          </v:line>
        </w:pict>
      </w:r>
      <w:r>
        <w:rPr>
          <w:sz w:val="12"/>
        </w:rPr>
        <w:t>3</w:t>
      </w:r>
    </w:p>
    <w:p>
      <w:pPr>
        <w:pStyle w:val="BodyText"/>
        <w:rPr>
          <w:sz w:val="12"/>
        </w:rPr>
      </w:pPr>
    </w:p>
    <w:p>
      <w:pPr>
        <w:pStyle w:val="BodyText"/>
        <w:rPr>
          <w:sz w:val="12"/>
        </w:rPr>
      </w:pPr>
    </w:p>
    <w:p>
      <w:pPr>
        <w:spacing w:before="86"/>
        <w:ind w:left="0" w:right="38" w:firstLine="0"/>
        <w:jc w:val="right"/>
        <w:rPr>
          <w:sz w:val="12"/>
        </w:rPr>
      </w:pPr>
      <w:r>
        <w:rPr/>
        <w:pict>
          <v:line style="position:absolute;mso-position-horizontal-relative:page;mso-position-vertical-relative:paragraph;z-index:15907840" from="202.630005pt,8.401563pt" to="206.630005pt,8.401563pt" stroked="true" strokeweight=".5pt" strokecolor="#000000">
            <v:stroke dashstyle="solid"/>
            <w10:wrap type="none"/>
          </v:line>
        </w:pict>
      </w:r>
      <w:r>
        <w:rPr>
          <w:sz w:val="12"/>
        </w:rPr>
        <w:t>2</w:t>
      </w:r>
    </w:p>
    <w:p>
      <w:pPr>
        <w:pStyle w:val="BodyText"/>
        <w:rPr>
          <w:sz w:val="12"/>
        </w:rPr>
      </w:pPr>
    </w:p>
    <w:p>
      <w:pPr>
        <w:pStyle w:val="BodyText"/>
        <w:rPr>
          <w:sz w:val="12"/>
        </w:rPr>
      </w:pPr>
    </w:p>
    <w:p>
      <w:pPr>
        <w:spacing w:before="86"/>
        <w:ind w:left="0" w:right="38" w:firstLine="0"/>
        <w:jc w:val="right"/>
        <w:rPr>
          <w:sz w:val="12"/>
        </w:rPr>
      </w:pPr>
      <w:r>
        <w:rPr/>
        <w:pict>
          <v:line style="position:absolute;mso-position-horizontal-relative:page;mso-position-vertical-relative:paragraph;z-index:15907328" from="202.630005pt,8.401563pt" to="206.630005pt,8.401563pt" stroked="true" strokeweight=".5pt" strokecolor="#000000">
            <v:stroke dashstyle="solid"/>
            <w10:wrap type="none"/>
          </v:line>
        </w:pict>
      </w:r>
      <w:r>
        <w:rPr>
          <w:sz w:val="12"/>
        </w:rPr>
        <w:t>1</w:t>
      </w:r>
    </w:p>
    <w:p>
      <w:pPr>
        <w:pStyle w:val="BodyText"/>
        <w:rPr>
          <w:sz w:val="12"/>
        </w:rPr>
      </w:pPr>
    </w:p>
    <w:p>
      <w:pPr>
        <w:pStyle w:val="BodyText"/>
        <w:rPr>
          <w:sz w:val="12"/>
        </w:rPr>
      </w:pPr>
    </w:p>
    <w:p>
      <w:pPr>
        <w:spacing w:line="26" w:lineRule="exact" w:before="86"/>
        <w:ind w:left="1214" w:right="0" w:firstLine="0"/>
        <w:jc w:val="left"/>
        <w:rPr>
          <w:sz w:val="12"/>
        </w:rPr>
      </w:pPr>
      <w:r>
        <w:rPr>
          <w:sz w:val="12"/>
        </w:rPr>
        <w:t>0</w:t>
      </w:r>
    </w:p>
    <w:p>
      <w:pPr>
        <w:pStyle w:val="Heading4"/>
        <w:spacing w:line="242" w:lineRule="auto" w:before="90"/>
        <w:ind w:left="207" w:right="282"/>
      </w:pPr>
      <w:r>
        <w:rPr/>
        <w:br w:type="column"/>
      </w:r>
      <w:r>
        <w:rPr>
          <w:color w:val="231F20"/>
        </w:rPr>
        <w:t>In its assessment of the outlook for the public finances, the MPC has taken as its central case the nominal government expenditure plans and effective tax rates from the autumn pre-Budget fiscal statement published on 3 November. The overall fiscal stance is broadly the same as at the time of the August </w:t>
      </w:r>
      <w:r>
        <w:rPr>
          <w:i/>
          <w:color w:val="231F20"/>
        </w:rPr>
        <w:t>Report</w:t>
      </w:r>
      <w:r>
        <w:rPr>
          <w:color w:val="231F20"/>
        </w:rPr>
        <w:t>, after allowing for the effects of the adoption of ESA95 in the National Accounts, and projections of weaker activity.</w:t>
      </w:r>
    </w:p>
    <w:p>
      <w:pPr>
        <w:pStyle w:val="BodyText"/>
        <w:spacing w:before="8"/>
        <w:rPr>
          <w:sz w:val="23"/>
        </w:rPr>
      </w:pPr>
    </w:p>
    <w:p>
      <w:pPr>
        <w:pStyle w:val="Heading2"/>
        <w:numPr>
          <w:ilvl w:val="1"/>
          <w:numId w:val="8"/>
        </w:numPr>
        <w:tabs>
          <w:tab w:pos="4616" w:val="left" w:leader="none"/>
          <w:tab w:pos="4617" w:val="left" w:leader="none"/>
        </w:tabs>
        <w:spacing w:line="240" w:lineRule="auto" w:before="0" w:after="0"/>
        <w:ind w:left="4616" w:right="0" w:hanging="4410"/>
        <w:jc w:val="left"/>
        <w:rPr>
          <w:color w:val="009483"/>
        </w:rPr>
      </w:pPr>
      <w:r>
        <w:rPr>
          <w:color w:val="009483"/>
          <w:u w:val="thick" w:color="0093C1"/>
        </w:rPr>
        <w:t>Output</w:t>
      </w:r>
      <w:r>
        <w:rPr>
          <w:color w:val="009483"/>
          <w:spacing w:val="34"/>
          <w:u w:val="thick" w:color="0093C1"/>
        </w:rPr>
        <w:t> </w:t>
      </w:r>
    </w:p>
    <w:p>
      <w:pPr>
        <w:pStyle w:val="BodyText"/>
        <w:rPr>
          <w:b/>
          <w:sz w:val="24"/>
        </w:rPr>
      </w:pPr>
    </w:p>
    <w:p>
      <w:pPr>
        <w:spacing w:line="242" w:lineRule="auto" w:before="0"/>
        <w:ind w:left="207" w:right="360" w:firstLine="0"/>
        <w:jc w:val="left"/>
        <w:rPr>
          <w:sz w:val="24"/>
        </w:rPr>
      </w:pPr>
      <w:r>
        <w:rPr>
          <w:color w:val="231F20"/>
          <w:sz w:val="24"/>
        </w:rPr>
        <w:t>The extensive revisions to the National Accounts raised the estimated cumulative growth in real GDP (at market prices) by nearly 2% between 1991–97, but estimates </w:t>
      </w:r>
      <w:r>
        <w:rPr>
          <w:color w:val="231F20"/>
          <w:spacing w:val="-6"/>
          <w:sz w:val="24"/>
        </w:rPr>
        <w:t>of </w:t>
      </w:r>
      <w:r>
        <w:rPr>
          <w:color w:val="231F20"/>
          <w:sz w:val="24"/>
        </w:rPr>
        <w:t>quarterly growth in 1998 were unchanged.</w:t>
      </w:r>
      <w:r>
        <w:rPr>
          <w:color w:val="231F20"/>
          <w:position w:val="5"/>
          <w:sz w:val="16"/>
        </w:rPr>
        <w:t>(1) </w:t>
      </w:r>
      <w:r>
        <w:rPr>
          <w:color w:val="231F20"/>
          <w:sz w:val="24"/>
        </w:rPr>
        <w:t>According to the first estimate, GDP (at market prices) rose by 0.5% in 1998 Q3, the same as in 1998 Q2 and around its long-run average quarterly growth rate. The annual rate of increase fell back to 2.5% from 3.0% (see</w:t>
      </w:r>
    </w:p>
    <w:p>
      <w:pPr>
        <w:spacing w:before="10"/>
        <w:ind w:left="207" w:right="0" w:firstLine="0"/>
        <w:jc w:val="left"/>
        <w:rPr>
          <w:sz w:val="24"/>
        </w:rPr>
      </w:pPr>
      <w:r>
        <w:rPr>
          <w:color w:val="231F20"/>
          <w:sz w:val="24"/>
        </w:rPr>
        <w:t>Chart 2.11).</w:t>
      </w:r>
    </w:p>
    <w:p>
      <w:pPr>
        <w:pStyle w:val="BodyText"/>
        <w:spacing w:before="8"/>
        <w:rPr>
          <w:sz w:val="24"/>
        </w:rPr>
      </w:pPr>
    </w:p>
    <w:p>
      <w:pPr>
        <w:spacing w:line="242" w:lineRule="auto" w:before="0"/>
        <w:ind w:left="207" w:right="282" w:firstLine="0"/>
        <w:jc w:val="left"/>
        <w:rPr>
          <w:sz w:val="24"/>
        </w:rPr>
      </w:pPr>
      <w:r>
        <w:rPr>
          <w:color w:val="231F20"/>
          <w:sz w:val="24"/>
        </w:rPr>
        <w:t>Service sector output rose by 0.6% in 1998 Q3, the same rate of increase as in 1998 Q2, but lower than the average increase of 1.2% in the preceding four quarters.</w:t>
      </w:r>
    </w:p>
    <w:p>
      <w:pPr>
        <w:spacing w:after="0" w:line="242" w:lineRule="auto"/>
        <w:jc w:val="left"/>
        <w:rPr>
          <w:sz w:val="24"/>
        </w:rPr>
        <w:sectPr>
          <w:type w:val="continuous"/>
          <w:pgSz w:w="11900" w:h="16840"/>
          <w:pgMar w:top="1220" w:bottom="280" w:left="620" w:right="520"/>
          <w:cols w:num="3" w:equalWidth="0">
            <w:col w:w="1725" w:space="643"/>
            <w:col w:w="1315" w:space="1116"/>
            <w:col w:w="5961"/>
          </w:cols>
        </w:sectPr>
      </w:pPr>
    </w:p>
    <w:p>
      <w:pPr>
        <w:tabs>
          <w:tab w:pos="1049" w:val="left" w:leader="none"/>
          <w:tab w:pos="1549" w:val="left" w:leader="none"/>
          <w:tab w:pos="2109" w:val="left" w:leader="none"/>
          <w:tab w:pos="2596" w:val="left" w:leader="none"/>
          <w:tab w:pos="3076" w:val="left" w:leader="none"/>
        </w:tabs>
        <w:spacing w:before="68"/>
        <w:ind w:left="475" w:right="0" w:firstLine="0"/>
        <w:jc w:val="left"/>
        <w:rPr>
          <w:sz w:val="12"/>
        </w:rPr>
      </w:pPr>
      <w:r>
        <w:rPr>
          <w:sz w:val="12"/>
        </w:rPr>
        <w:t>1993</w:t>
        <w:tab/>
        <w:t>94</w:t>
        <w:tab/>
        <w:t>95</w:t>
        <w:tab/>
        <w:t>96</w:t>
        <w:tab/>
        <w:t>97</w:t>
        <w:tab/>
        <w:t>98</w:t>
      </w:r>
    </w:p>
    <w:p>
      <w:pPr>
        <w:pStyle w:val="Heading4"/>
        <w:spacing w:line="242" w:lineRule="auto"/>
        <w:ind w:left="481" w:right="309"/>
      </w:pPr>
      <w:r>
        <w:rPr/>
        <w:br w:type="column"/>
      </w:r>
      <w:r>
        <w:rPr>
          <w:color w:val="231F20"/>
        </w:rPr>
        <w:t>Survey data suggest that service sector growth is likely to slow further. The balance of service sector firms in</w:t>
      </w:r>
    </w:p>
    <w:p>
      <w:pPr>
        <w:pStyle w:val="ListParagraph"/>
        <w:numPr>
          <w:ilvl w:val="2"/>
          <w:numId w:val="8"/>
        </w:numPr>
        <w:tabs>
          <w:tab w:pos="717" w:val="left" w:leader="none"/>
        </w:tabs>
        <w:spacing w:line="208" w:lineRule="auto" w:before="151" w:after="0"/>
        <w:ind w:left="715" w:right="1043" w:hanging="240"/>
        <w:jc w:val="left"/>
        <w:rPr>
          <w:sz w:val="16"/>
        </w:rPr>
      </w:pPr>
      <w:r>
        <w:rPr>
          <w:color w:val="231F20"/>
          <w:sz w:val="16"/>
        </w:rPr>
        <w:t>Growth in GDP at factor cost was revised up by 0.3 percentage </w:t>
      </w:r>
      <w:r>
        <w:rPr>
          <w:color w:val="231F20"/>
          <w:spacing w:val="-3"/>
          <w:sz w:val="16"/>
        </w:rPr>
        <w:t>points </w:t>
      </w:r>
      <w:r>
        <w:rPr>
          <w:color w:val="231F20"/>
          <w:sz w:val="16"/>
        </w:rPr>
        <w:t>between 1997 Q4 and 1998 Q2.</w:t>
      </w:r>
    </w:p>
    <w:p>
      <w:pPr>
        <w:spacing w:after="0" w:line="208" w:lineRule="auto"/>
        <w:jc w:val="left"/>
        <w:rPr>
          <w:sz w:val="16"/>
        </w:rPr>
        <w:sectPr>
          <w:type w:val="continuous"/>
          <w:pgSz w:w="11900" w:h="16840"/>
          <w:pgMar w:top="1220" w:bottom="280" w:left="620" w:right="520"/>
          <w:cols w:num="2" w:equalWidth="0">
            <w:col w:w="3237" w:space="1287"/>
            <w:col w:w="6236"/>
          </w:cols>
        </w:sectPr>
      </w:pPr>
    </w:p>
    <w:p>
      <w:pPr>
        <w:pStyle w:val="BodyText"/>
        <w:rPr>
          <w:sz w:val="20"/>
        </w:rPr>
      </w:pPr>
    </w:p>
    <w:p>
      <w:pPr>
        <w:pStyle w:val="Heading4"/>
        <w:spacing w:line="242" w:lineRule="auto" w:before="227"/>
        <w:ind w:left="4994" w:right="174"/>
      </w:pPr>
      <w:r>
        <w:rPr>
          <w:color w:val="231F20"/>
        </w:rPr>
        <w:t>the BCC survey reporting a rise in domestic orders fell to 11% in 1998 Q3, compared with an average balance of 31% in 1997. And the balance reporting an increase in export orders was negative for the first time since</w:t>
      </w:r>
    </w:p>
    <w:p>
      <w:pPr>
        <w:spacing w:line="242" w:lineRule="auto" w:before="5"/>
        <w:ind w:left="4994" w:right="314" w:firstLine="0"/>
        <w:jc w:val="left"/>
        <w:rPr>
          <w:sz w:val="24"/>
        </w:rPr>
      </w:pPr>
      <w:r>
        <w:rPr>
          <w:color w:val="231F20"/>
          <w:sz w:val="24"/>
        </w:rPr>
        <w:t>1991 Q2. According to the CBI Financial Services survey, business optimism within the financial sector in 1998 Q3 was at its lowest level for eight years. And the Chartered Institute of Purchasing and Supply (C</w:t>
      </w:r>
      <w:r>
        <w:rPr>
          <w:color w:val="231F20"/>
          <w:sz w:val="20"/>
        </w:rPr>
        <w:t>IPS</w:t>
      </w:r>
      <w:r>
        <w:rPr>
          <w:color w:val="231F20"/>
          <w:sz w:val="24"/>
        </w:rPr>
        <w:t>) report on services recorded an easing in growth for the fourth consecutive month in October. The level of incoming new business declined for the first time since the survey began in mid 1996.</w:t>
      </w:r>
    </w:p>
    <w:p>
      <w:pPr>
        <w:pStyle w:val="BodyText"/>
        <w:spacing w:before="5"/>
        <w:rPr>
          <w:sz w:val="17"/>
        </w:rPr>
      </w:pPr>
    </w:p>
    <w:p>
      <w:pPr>
        <w:spacing w:after="0"/>
        <w:rPr>
          <w:sz w:val="17"/>
        </w:rPr>
        <w:sectPr>
          <w:pgSz w:w="11900" w:h="16840"/>
          <w:pgMar w:header="586" w:footer="597" w:top="780" w:bottom="780" w:left="620" w:right="520"/>
        </w:sectPr>
      </w:pPr>
    </w:p>
    <w:p>
      <w:pPr>
        <w:pStyle w:val="BodyText"/>
        <w:rPr>
          <w:sz w:val="22"/>
        </w:rPr>
      </w:pPr>
    </w:p>
    <w:p>
      <w:pPr>
        <w:pStyle w:val="BodyText"/>
        <w:spacing w:before="10"/>
        <w:rPr>
          <w:sz w:val="17"/>
        </w:rPr>
      </w:pPr>
    </w:p>
    <w:p>
      <w:pPr>
        <w:pStyle w:val="Heading7"/>
        <w:spacing w:before="1"/>
        <w:ind w:left="219"/>
      </w:pPr>
      <w:r>
        <w:rPr>
          <w:color w:val="0093C1"/>
        </w:rPr>
        <w:t>Chart 2.12</w:t>
      </w:r>
    </w:p>
    <w:p>
      <w:pPr>
        <w:spacing w:before="10"/>
        <w:ind w:left="219" w:right="0" w:firstLine="0"/>
        <w:jc w:val="left"/>
        <w:rPr>
          <w:b/>
          <w:sz w:val="20"/>
        </w:rPr>
      </w:pPr>
      <w:r>
        <w:rPr>
          <w:b/>
          <w:color w:val="0093C1"/>
          <w:sz w:val="20"/>
        </w:rPr>
        <w:t>CBI and ONS manufacturing output</w:t>
      </w:r>
    </w:p>
    <w:p>
      <w:pPr>
        <w:spacing w:line="132" w:lineRule="exact" w:before="138"/>
        <w:ind w:left="1899" w:right="0" w:firstLine="0"/>
        <w:jc w:val="left"/>
        <w:rPr>
          <w:sz w:val="12"/>
        </w:rPr>
      </w:pPr>
      <w:r>
        <w:rPr>
          <w:sz w:val="12"/>
        </w:rPr>
        <w:t>Percentage changes, latest three months</w:t>
      </w:r>
    </w:p>
    <w:p>
      <w:pPr>
        <w:pStyle w:val="Heading4"/>
        <w:spacing w:line="242" w:lineRule="auto" w:before="90"/>
        <w:ind w:left="219" w:right="700"/>
      </w:pPr>
      <w:r>
        <w:rPr/>
        <w:br w:type="column"/>
      </w:r>
      <w:r>
        <w:rPr>
          <w:color w:val="231F20"/>
        </w:rPr>
        <w:t>Manufacturing output fell by 0.6% in August and by 0.4% in September, leaving the level 0.1% lower in 1998 Q3 than in Q2. Survey evidence points to a</w:t>
      </w:r>
    </w:p>
    <w:p>
      <w:pPr>
        <w:spacing w:line="269" w:lineRule="exact" w:before="4"/>
        <w:ind w:left="219" w:right="0" w:firstLine="0"/>
        <w:jc w:val="left"/>
        <w:rPr>
          <w:sz w:val="24"/>
        </w:rPr>
      </w:pPr>
      <w:r>
        <w:rPr>
          <w:color w:val="231F20"/>
          <w:sz w:val="24"/>
        </w:rPr>
        <w:t>significant deterioration in business sentiment and output</w:t>
      </w:r>
    </w:p>
    <w:p>
      <w:pPr>
        <w:spacing w:after="0" w:line="269" w:lineRule="exact"/>
        <w:jc w:val="left"/>
        <w:rPr>
          <w:sz w:val="24"/>
        </w:rPr>
        <w:sectPr>
          <w:type w:val="continuous"/>
          <w:pgSz w:w="11900" w:h="16840"/>
          <w:pgMar w:top="1220" w:bottom="280" w:left="620" w:right="520"/>
          <w:cols w:num="2" w:equalWidth="0">
            <w:col w:w="3849" w:space="926"/>
            <w:col w:w="5985"/>
          </w:cols>
        </w:sectPr>
      </w:pPr>
    </w:p>
    <w:p>
      <w:pPr>
        <w:spacing w:line="228" w:lineRule="auto" w:before="0"/>
        <w:ind w:left="286" w:right="0" w:firstLine="0"/>
        <w:jc w:val="left"/>
        <w:rPr>
          <w:sz w:val="12"/>
        </w:rPr>
      </w:pPr>
      <w:r>
        <w:rPr/>
        <w:pict>
          <v:line style="position:absolute;mso-position-horizontal-relative:page;mso-position-vertical-relative:paragraph;z-index:15915520" from="59.470001pt,9.021057pt" to="54.470001pt,9.021057pt" stroked="true" strokeweight=".5pt" strokecolor="#000000">
            <v:stroke dashstyle="solid"/>
            <w10:wrap type="none"/>
          </v:line>
        </w:pict>
      </w:r>
      <w:r>
        <w:rPr>
          <w:position w:val="-7"/>
          <w:sz w:val="12"/>
        </w:rPr>
        <w:t>60 </w:t>
      </w:r>
      <w:r>
        <w:rPr>
          <w:sz w:val="12"/>
        </w:rPr>
        <w:t>Percentage balance</w:t>
      </w:r>
    </w:p>
    <w:p>
      <w:pPr>
        <w:spacing w:before="103"/>
        <w:ind w:left="286" w:right="0" w:firstLine="0"/>
        <w:jc w:val="left"/>
        <w:rPr>
          <w:sz w:val="12"/>
        </w:rPr>
      </w:pPr>
      <w:r>
        <w:rPr/>
        <w:pict>
          <v:line style="position:absolute;mso-position-horizontal-relative:page;mso-position-vertical-relative:paragraph;z-index:15915008" from="59.470001pt,9.251562pt" to="54.470001pt,9.251562pt" stroked="true" strokeweight=".5pt" strokecolor="#000000">
            <v:stroke dashstyle="solid"/>
            <w10:wrap type="none"/>
          </v:line>
        </w:pict>
      </w:r>
      <w:r>
        <w:rPr>
          <w:sz w:val="12"/>
        </w:rPr>
        <w:t>50</w:t>
      </w:r>
    </w:p>
    <w:p>
      <w:pPr>
        <w:spacing w:before="82"/>
        <w:ind w:left="286" w:right="0" w:firstLine="0"/>
        <w:jc w:val="left"/>
        <w:rPr>
          <w:sz w:val="12"/>
        </w:rPr>
      </w:pPr>
      <w:r>
        <w:rPr/>
        <w:pict>
          <v:group style="position:absolute;margin-left:53.970001pt;margin-top:8.701563pt;width:166.5pt;height:127.75pt;mso-position-horizontal-relative:page;mso-position-vertical-relative:paragraph;z-index:-21574144" coordorigin="1079,174" coordsize="3330,2555">
            <v:shape style="position:absolute;left:1089;top:184;width:100;height:2080" coordorigin="1089,184" coordsize="100,2080" path="m1189,1344l1089,1344m1189,1564l1089,1564m1189,1804l1089,1804m1189,2024l1089,2024m1189,2264l1089,2264m1189,1104l1089,1104m1189,884l1089,884m1189,644l1089,644m1189,404l1089,404m1189,184l1089,184e" filled="false" stroked="true" strokeweight=".5pt" strokecolor="#000000">
              <v:path arrowok="t"/>
              <v:stroke dashstyle="solid"/>
            </v:shape>
            <v:shape style="position:absolute;left:2249;top:1064;width:60;height:80" coordorigin="2249,1064" coordsize="60,80" path="m2249,1144l2269,1064,2269,1084,2289,1144,2309,1124e" filled="false" stroked="true" strokeweight=".5pt" strokecolor="#000000">
              <v:path arrowok="t"/>
              <v:stroke dashstyle="solid"/>
            </v:shape>
            <v:shape style="position:absolute;left:1249;top:184;width:2100;height:2040" coordorigin="1249,184" coordsize="2100,2040" path="m1249,1364l1269,1484,1289,1544,1289,1404,1309,1364,1329,1384,1329,1124,1349,884,1349,1064,1369,964,1369,644,1389,524,1389,504,1409,344,1409,244,1429,344,1429,284,1449,184,1449,464,1469,544,1469,564,1489,604,1509,524,1529,564,1529,664,1549,684,1549,704,1569,744,1569,624,1589,564,1589,664,1609,544,1609,664,1629,604,1649,744,1649,724,1669,664,1669,824,1689,704,1689,664,1709,604,1729,604,1729,464,1749,864,1749,664,1769,524,1789,544,1789,484,1809,644,1809,1004,1829,1084,1829,1064,1849,1004,1849,1024,1869,1164,1869,1364,1889,1364,1889,1384,1909,1424,1909,1664,1929,1944,1929,2044,1949,2104,1949,2224,1969,1824,1969,2024,1989,1944,1989,1484,2009,1504,2009,1404,2029,1204,2049,1124,2049,1164,2069,1084,2069,1064,2089,1064,2089,1104,2109,1084,2109,1124,2129,1084,2129,1024,2149,1004,2169,1144,2189,1204,2189,1164,2209,1284,2209,1264,2229,1204,2229,1304,2249,1364,2249,1224,2269,924,2269,724,2289,604,2309,684m2309,684l2309,664,2329,704,2329,664,2349,644,2349,744,2369,544,2369,484,2389,644,2389,404,2409,364,2409,644,2429,564,2429,664,2469,824,2469,804,2489,784,2489,684,2509,664,2509,604,2529,464,2529,484,2549,624,2549,564,2569,784,2609,704,2609,824,2629,684,2629,1004,2649,564,2649,804,2669,784,2709,984,2689,984,2709,944,2729,844,2729,804,2749,804,2749,884,2769,764,2769,424,2789,324,2789,524,2809,384,2809,244,2829,564,2849,224,2849,404,2869,524,2869,264,2889,384,2889,504,2909,264,2909,244,2929,424,2929,324,2949,404,2949,484,2969,344,2969,384,2989,544,2989,524,3009,484,3009,684,3029,504,3029,604,3049,824,3049,684,3069,804,3089,784,3089,804,3109,1124,3109,1024,3129,1084,3129,1024,3149,1084,3169,1084,3169,984,3189,1004,3189,1104,3209,1224,3229,1164,3229,1344,3249,1504,3249,1644,3269,1804,3289,1944,3289,1664,3309,1284,3309,1524,3329,1364,3329,1304,3349,1244e" filled="false" stroked="true" strokeweight="1pt" strokecolor="#faab54">
              <v:path arrowok="t"/>
              <v:stroke dashstyle="solid"/>
            </v:shape>
            <v:shape style="position:absolute;left:4309;top:184;width:100;height:1620" coordorigin="4309,184" coordsize="100,1620" path="m4309,1344l4409,1344m4309,1564l4409,1564m4309,1804l4409,1804m4309,1104l4409,1104m4309,884l4409,884m4309,644l4409,644m4309,404l4409,404m4309,184l4409,184e" filled="false" stroked="true" strokeweight=".5pt" strokecolor="#000000">
              <v:path arrowok="t"/>
              <v:stroke dashstyle="solid"/>
            </v:shape>
            <v:shape style="position:absolute;left:3349;top:264;width:920;height:1500" coordorigin="3349,264" coordsize="920,1500" path="m3349,1244l3369,1084,3369,1064,3389,1084,3389,1224,3409,1204,3409,1164,3429,1144,3429,984,3449,804,3449,924,3469,1164,3489,1384,3489,1424,3509,1264,3509,1524,3529,1264,3529,1064,3549,884,3549,864,3569,784,3569,564,3589,824,3589,1024,3609,744,3609,704,3629,924,3629,824,3649,884,3649,744,3669,544,3669,604,3689,744,3689,564,3709,604,3709,804,3729,404,3749,564,3749,664,3769,624,3769,484,3789,644,3789,264,3809,324,3809,664,3829,384,3829,624,3849,764,3849,624,3869,644,3889,884,3909,1064,3909,744,3929,644,3929,544,3949,784,3949,724,3969,824,3969,604,3989,604,3989,644,4009,644,4029,604,4029,804,4049,784,4049,724,4069,524,4069,564,4089,704,4089,804,4109,604,4109,724,4129,704,4129,644,4149,884,4149,864,4169,884,4169,844,4189,824,4189,1024,4209,1144,4209,1164,4229,1284,4229,1444,4249,1404,4269,1764e" filled="false" stroked="true" strokeweight="1pt" strokecolor="#faab54">
              <v:path arrowok="t"/>
              <v:stroke dashstyle="solid"/>
            </v:shape>
            <v:line style="position:absolute" from="1249,1104" to="4269,1104" stroked="true" strokeweight=".5pt" strokecolor="#000000">
              <v:stroke dashstyle="solid"/>
            </v:line>
            <v:shape style="position:absolute;left:3349;top:504;width:900;height:1180" coordorigin="3349,504" coordsize="900,1180" path="m3349,1684l3369,1664,3369,1644,3389,1544,3389,1484,3409,1444,3409,1364,3429,1284,3429,1144,3449,1184,3449,1104,3469,1084,3489,984,3509,984,3509,1024,3529,1064,3549,1004,3549,964,3569,944,3569,924,3589,984,3589,1004,3609,1064,3609,1004,3629,1024,3629,1004,3649,944,3649,864,3669,864,3689,844,3689,764,3709,704,3709,664,3729,604,3749,584,3749,504,3769,504,3769,524,3789,624,3789,724,3809,804,3809,844,3829,904,3849,924,3849,944,3869,1004,3889,1044,3889,1104,3909,1124,3909,1084,3929,1084,3929,1024,3949,1084,3949,1104,3969,1124,3969,1104,4009,1104,4029,1064,4029,1024,4049,1004,4049,984,4069,1004,4089,1004,4089,984,4109,984,4109,964,4129,984,4129,1004,4149,1044,4169,1104,4189,1084,4189,1044,4209,1024,4209,1044,4229,1064,4249,1104e" filled="false" stroked="true" strokeweight="1pt" strokecolor="#ed1b2d">
              <v:path arrowok="t"/>
              <v:stroke dashstyle="solid"/>
            </v:shape>
            <v:shape style="position:absolute;left:1089;top:2484;width:3320;height:240" coordorigin="1089,2484" coordsize="3320,240" path="m1189,2484l1089,2484m1189,2724l1089,2724m1249,2624l1249,2724m4309,2724l4409,2724m1249,2724l4269,2724m1369,2684l1369,2724m1489,2684l1489,2724m1609,2684l1609,2724m1749,2684l1749,2724m1869,2684l1869,2724m1989,2684l1989,2724m2129,2684l2129,2724m2249,2684l2249,2724m2389,2684l2389,2724m2509,2684l2509,2724m2629,2684l2629,2724m2769,2684l2769,2724m2889,2684l2889,2724m3009,2684l3009,2724m3149,2684l3149,2724m3269,2684l3269,2724m3409,2684l3409,2724m3529,2684l3529,2724m3649,2684l3649,2724m3789,2684l3789,2724m3909,2684l3909,2724m4029,2684l4029,2724m4169,2684l4169,2724m1369,2684l1369,2724m1489,2684l1489,2724m1609,2684l1609,2724m1749,2684l1749,2724m1869,2684l1869,2724m1989,2684l1989,2724m2129,2684l2129,2724m2249,2684l2249,2724m2389,2684l2389,2724m2509,2684l2509,2724m2629,2684l2629,2724m2769,2684l2769,2724m2889,2684l2889,2724m3009,2684l3009,2724m3149,2684l3149,2724m3269,2684l3269,2724m3409,2684l3409,2724m3529,2684l3529,2724m3649,2684l3649,2724m3789,2684l3789,2724m3909,2684l3909,2724m4029,2684l4029,2724m4169,2684l4169,2724m1869,2624l1869,2724m2509,2624l2509,2724m3149,2624l3149,2724m3789,2624l3789,2724e" filled="false" stroked="true" strokeweight=".5pt" strokecolor="#000000">
              <v:path arrowok="t"/>
              <v:stroke dashstyle="solid"/>
            </v:shape>
            <v:shape style="position:absolute;left:1249;top:384;width:2100;height:2160" coordorigin="1249,384" coordsize="2100,2160" path="m1249,904l1269,1084,1269,1484,1289,1864,1289,2064,1309,2144,1309,2164,1329,2124,1329,1964,1349,1764,1349,1664,1369,1644,1369,1604,1389,1464,1389,1264,1409,964,1409,884,1429,804,1429,824,1449,744,1449,684,1469,664,1469,604,1489,544,1509,584,1529,724,1529,804,1549,924,1549,964,1569,984,1589,1044,1589,1184,1609,1204,1609,1244,1629,1264,1629,1344,1649,1124,1649,1144,1669,1124,1669,944,1689,1004,1689,864,1709,844,1709,944,1729,984,1729,1024,1749,1264,1749,1244,1769,1144,1789,984,1789,944,1809,944,1809,824,1829,1044,1829,1344,1849,1384,1849,1224,1869,1064,1869,804,1889,944,1889,1164,1909,1624,1909,1824,1929,1944,1929,2084,1949,2064,1949,2024,1969,2044,1969,2244,1989,2464,1989,2544,2009,2484,2009,2324,2029,2124,2049,2044,2049,1924m2049,1924l2069,1784,2069,1564,2089,1364,2089,1184,2109,1044,2109,1004,2129,1024,2129,1004,2149,964,2149,944,2169,884,2189,964,2189,1044,2209,1204,2209,1224,2229,1264,2229,1324,2249,1304,2249,1144,2309,1124,2309,1064,2329,964,2329,884,2349,864,2349,824,2369,724,2369,624,2389,624,2389,684,2409,684,2409,664,2429,684,2429,724,2449,804,2449,764,2469,764,2489,844,2489,884,2509,884,2509,844,2529,764,2529,744,2549,744,2549,704,2589,744,2589,884,2609,924,2609,944,2629,1004,2629,984,2649,1064,2649,1104,2669,1124,2669,1144,2689,1184,2709,1164,2689,1164,2709,1164,2729,1044,2729,884,2749,724,2749,604,2769,744,2789,784,2789,704,2809,704,2809,664,2849,504,2869,584,2869,644,2889,664,2889,524,2909,504,2909,404,2929,504,2929,424,2949,444,2969,444,2969,384,2989,384,2989,404,3009,464,3029,484,3029,524,3049,504,3049,564,3069,584,3089,724,3089,804,3109,864,3109,904,3129,944,3149,1004,3149,1064,3169,1064,3169,1044,3189,1004,3209,1004,3229,1024,3229,1124,3249,1164,3249,1204,3269,1264,3269,1304,3289,1364,3289,1444,3309,1584,3309,1644,3329,1664,3329,1644,3349,1684e" filled="false" stroked="true" strokeweight="1pt" strokecolor="#ed1b2d">
              <v:path arrowok="t"/>
              <v:stroke dashstyle="solid"/>
            </v:shape>
            <v:shape style="position:absolute;left:1519;top:187;width:1033;height:133" type="#_x0000_t202" filled="false" stroked="false">
              <v:textbox inset="0,0,0,0">
                <w:txbxContent>
                  <w:p>
                    <w:pPr>
                      <w:spacing w:line="133" w:lineRule="exact" w:before="0"/>
                      <w:ind w:left="0" w:right="0" w:firstLine="0"/>
                      <w:jc w:val="left"/>
                      <w:rPr>
                        <w:sz w:val="12"/>
                      </w:rPr>
                    </w:pPr>
                    <w:r>
                      <w:rPr>
                        <w:sz w:val="12"/>
                      </w:rPr>
                      <w:t>CBI (left-hand scale)</w:t>
                    </w:r>
                  </w:p>
                </w:txbxContent>
              </v:textbox>
              <w10:wrap type="none"/>
            </v:shape>
            <v:shape style="position:absolute;left:1079;top:871;width:111;height:358" type="#_x0000_t202" filled="false" stroked="false">
              <v:textbox inset="0,0,0,0">
                <w:txbxContent>
                  <w:p>
                    <w:pPr>
                      <w:spacing w:line="175" w:lineRule="exact" w:before="0"/>
                      <w:ind w:left="0" w:right="0" w:firstLine="0"/>
                      <w:jc w:val="left"/>
                      <w:rPr>
                        <w:sz w:val="16"/>
                      </w:rPr>
                    </w:pPr>
                    <w:r>
                      <w:rPr>
                        <w:sz w:val="16"/>
                      </w:rPr>
                      <w:t>+</w:t>
                    </w:r>
                  </w:p>
                  <w:p>
                    <w:pPr>
                      <w:spacing w:line="182" w:lineRule="exact" w:before="0"/>
                      <w:ind w:left="0" w:right="0" w:firstLine="0"/>
                      <w:jc w:val="left"/>
                      <w:rPr>
                        <w:sz w:val="16"/>
                      </w:rPr>
                    </w:pPr>
                    <w:r>
                      <w:rPr>
                        <w:sz w:val="16"/>
                      </w:rPr>
                      <w:t>_</w:t>
                    </w:r>
                  </w:p>
                </w:txbxContent>
              </v:textbox>
              <w10:wrap type="none"/>
            </v:shape>
            <v:shape style="position:absolute;left:2039;top:2387;width:1140;height:133" type="#_x0000_t202" filled="false" stroked="false">
              <v:textbox inset="0,0,0,0">
                <w:txbxContent>
                  <w:p>
                    <w:pPr>
                      <w:spacing w:line="133" w:lineRule="exact" w:before="0"/>
                      <w:ind w:left="0" w:right="0" w:firstLine="0"/>
                      <w:jc w:val="left"/>
                      <w:rPr>
                        <w:sz w:val="12"/>
                      </w:rPr>
                    </w:pPr>
                    <w:r>
                      <w:rPr>
                        <w:sz w:val="12"/>
                      </w:rPr>
                      <w:t>ONS (right-hand scale)</w:t>
                    </w:r>
                  </w:p>
                </w:txbxContent>
              </v:textbox>
              <w10:wrap type="none"/>
            </v:shape>
            <w10:wrap type="none"/>
          </v:group>
        </w:pict>
      </w:r>
      <w:r>
        <w:rPr>
          <w:sz w:val="12"/>
        </w:rPr>
        <w:t>40</w:t>
      </w:r>
    </w:p>
    <w:p>
      <w:pPr>
        <w:spacing w:before="102"/>
        <w:ind w:left="286" w:right="0" w:firstLine="0"/>
        <w:jc w:val="left"/>
        <w:rPr>
          <w:sz w:val="12"/>
        </w:rPr>
      </w:pPr>
      <w:r>
        <w:rPr>
          <w:sz w:val="12"/>
        </w:rPr>
        <w:t>30</w:t>
      </w:r>
    </w:p>
    <w:p>
      <w:pPr>
        <w:spacing w:before="82"/>
        <w:ind w:left="286" w:right="0" w:firstLine="0"/>
        <w:jc w:val="left"/>
        <w:rPr>
          <w:sz w:val="12"/>
        </w:rPr>
      </w:pPr>
      <w:r>
        <w:rPr>
          <w:sz w:val="12"/>
        </w:rPr>
        <w:t>20</w:t>
      </w:r>
    </w:p>
    <w:p>
      <w:pPr>
        <w:spacing w:before="102"/>
        <w:ind w:left="286" w:right="0" w:firstLine="0"/>
        <w:jc w:val="left"/>
        <w:rPr>
          <w:sz w:val="12"/>
        </w:rPr>
      </w:pPr>
      <w:r>
        <w:rPr>
          <w:sz w:val="12"/>
        </w:rPr>
        <w:t>10</w:t>
      </w:r>
    </w:p>
    <w:p>
      <w:pPr>
        <w:spacing w:before="82"/>
        <w:ind w:left="346" w:right="0" w:firstLine="0"/>
        <w:jc w:val="left"/>
        <w:rPr>
          <w:sz w:val="12"/>
        </w:rPr>
      </w:pPr>
      <w:r>
        <w:rPr>
          <w:sz w:val="12"/>
        </w:rPr>
        <w:t>0</w:t>
      </w:r>
    </w:p>
    <w:p>
      <w:pPr>
        <w:spacing w:before="102"/>
        <w:ind w:left="286" w:right="0" w:firstLine="0"/>
        <w:jc w:val="left"/>
        <w:rPr>
          <w:sz w:val="12"/>
        </w:rPr>
      </w:pPr>
      <w:r>
        <w:rPr>
          <w:sz w:val="12"/>
        </w:rPr>
        <w:t>10</w:t>
      </w:r>
    </w:p>
    <w:p>
      <w:pPr>
        <w:spacing w:before="82"/>
        <w:ind w:left="286" w:right="0" w:firstLine="0"/>
        <w:jc w:val="left"/>
        <w:rPr>
          <w:sz w:val="12"/>
        </w:rPr>
      </w:pPr>
      <w:r>
        <w:rPr>
          <w:sz w:val="12"/>
        </w:rPr>
        <w:t>20</w:t>
      </w:r>
    </w:p>
    <w:p>
      <w:pPr>
        <w:spacing w:before="102"/>
        <w:ind w:left="286" w:right="0" w:firstLine="0"/>
        <w:jc w:val="left"/>
        <w:rPr>
          <w:sz w:val="12"/>
        </w:rPr>
      </w:pPr>
      <w:r>
        <w:rPr>
          <w:sz w:val="12"/>
        </w:rPr>
        <w:t>30</w:t>
      </w:r>
    </w:p>
    <w:p>
      <w:pPr>
        <w:spacing w:before="102"/>
        <w:ind w:left="286" w:right="0" w:firstLine="0"/>
        <w:jc w:val="left"/>
        <w:rPr>
          <w:sz w:val="12"/>
        </w:rPr>
      </w:pPr>
      <w:r>
        <w:rPr>
          <w:sz w:val="12"/>
        </w:rPr>
        <w:t>40</w:t>
      </w:r>
    </w:p>
    <w:p>
      <w:pPr>
        <w:spacing w:before="82"/>
        <w:ind w:left="286" w:right="0" w:firstLine="0"/>
        <w:jc w:val="left"/>
        <w:rPr>
          <w:sz w:val="12"/>
        </w:rPr>
      </w:pPr>
      <w:r>
        <w:rPr>
          <w:sz w:val="12"/>
        </w:rPr>
        <w:t>50</w:t>
      </w:r>
    </w:p>
    <w:p>
      <w:pPr>
        <w:spacing w:before="103"/>
        <w:ind w:left="286" w:right="0" w:firstLine="0"/>
        <w:jc w:val="left"/>
        <w:rPr>
          <w:sz w:val="12"/>
        </w:rPr>
      </w:pPr>
      <w:r>
        <w:rPr>
          <w:sz w:val="12"/>
        </w:rPr>
        <w:t>60</w:t>
      </w:r>
    </w:p>
    <w:p>
      <w:pPr>
        <w:spacing w:before="82"/>
        <w:ind w:left="286" w:right="0" w:firstLine="0"/>
        <w:jc w:val="left"/>
        <w:rPr>
          <w:sz w:val="12"/>
        </w:rPr>
      </w:pPr>
      <w:r>
        <w:rPr>
          <w:sz w:val="12"/>
        </w:rPr>
        <w:t>70</w:t>
      </w:r>
    </w:p>
    <w:p>
      <w:pPr>
        <w:tabs>
          <w:tab w:pos="1179" w:val="left" w:leader="none"/>
        </w:tabs>
        <w:spacing w:before="2"/>
        <w:ind w:left="532" w:right="0" w:firstLine="0"/>
        <w:jc w:val="left"/>
        <w:rPr>
          <w:sz w:val="12"/>
        </w:rPr>
      </w:pPr>
      <w:r>
        <w:rPr>
          <w:sz w:val="12"/>
        </w:rPr>
        <w:t>1975</w:t>
        <w:tab/>
        <w:t>80</w:t>
      </w:r>
    </w:p>
    <w:p>
      <w:pPr>
        <w:spacing w:before="8"/>
        <w:ind w:left="846" w:right="0" w:firstLine="0"/>
        <w:jc w:val="left"/>
        <w:rPr>
          <w:sz w:val="12"/>
        </w:rPr>
      </w:pPr>
      <w:r>
        <w:rPr/>
        <w:br w:type="column"/>
      </w:r>
      <w:r>
        <w:rPr>
          <w:sz w:val="12"/>
        </w:rPr>
        <w:t>on three months a year earlier</w:t>
      </w:r>
    </w:p>
    <w:p>
      <w:pPr>
        <w:pStyle w:val="BodyText"/>
        <w:spacing w:before="2"/>
        <w:rPr>
          <w:sz w:val="2"/>
        </w:rPr>
      </w:pPr>
    </w:p>
    <w:p>
      <w:pPr>
        <w:pStyle w:val="BodyText"/>
        <w:spacing w:line="20" w:lineRule="exact"/>
        <w:ind w:left="2151" w:right="-58"/>
        <w:rPr>
          <w:sz w:val="2"/>
        </w:rPr>
      </w:pPr>
      <w:r>
        <w:rPr>
          <w:sz w:val="2"/>
        </w:rPr>
        <w:pict>
          <v:group style="width:5pt;height:.5pt;mso-position-horizontal-relative:char;mso-position-vertical-relative:line" coordorigin="0,0" coordsize="100,10">
            <v:line style="position:absolute" from="0,5" to="100,5" stroked="true" strokeweight=".5pt" strokecolor="#000000">
              <v:stroke dashstyle="solid"/>
            </v:line>
          </v:group>
        </w:pict>
      </w:r>
      <w:r>
        <w:rPr>
          <w:sz w:val="2"/>
        </w:rPr>
      </w:r>
    </w:p>
    <w:p>
      <w:pPr>
        <w:pStyle w:val="BodyText"/>
        <w:rPr>
          <w:sz w:val="14"/>
        </w:rPr>
      </w:pPr>
      <w:r>
        <w:rPr/>
        <w:pict>
          <v:shape style="position:absolute;margin-left:215.470001pt;margin-top:10.290325pt;width:5pt;height:.1pt;mso-position-horizontal-relative:page;mso-position-vertical-relative:paragraph;z-index:-15546368;mso-wrap-distance-left:0;mso-wrap-distance-right:0" coordorigin="4309,206" coordsize="100,0" path="m4309,206l4409,206e" filled="false" stroked="true" strokeweight=".5pt" strokecolor="#000000">
            <v:path arrowok="t"/>
            <v:stroke dashstyle="solid"/>
            <w10:wrap type="topAndBottom"/>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4"/>
        </w:rPr>
      </w:pPr>
      <w:r>
        <w:rPr/>
        <w:pict>
          <v:shape style="position:absolute;margin-left:215.470001pt;margin-top:10.307813pt;width:5pt;height:.1pt;mso-position-horizontal-relative:page;mso-position-vertical-relative:paragraph;z-index:-15545856;mso-wrap-distance-left:0;mso-wrap-distance-right:0" coordorigin="4309,206" coordsize="100,0" path="m4309,206l4409,206e" filled="false" stroked="true" strokeweight=".5pt" strokecolor="#000000">
            <v:path arrowok="t"/>
            <v:stroke dashstyle="solid"/>
            <w10:wrap type="topAndBottom"/>
          </v:shape>
        </w:pict>
      </w:r>
      <w:r>
        <w:rPr/>
        <w:pict>
          <v:shape style="position:absolute;margin-left:215.470001pt;margin-top:22.307812pt;width:5pt;height:.1pt;mso-position-horizontal-relative:page;mso-position-vertical-relative:paragraph;z-index:-15545344;mso-wrap-distance-left:0;mso-wrap-distance-right:0" coordorigin="4309,446" coordsize="100,0" path="m4309,446l4409,446e" filled="false" stroked="true" strokeweight=".5pt" strokecolor="#000000">
            <v:path arrowok="t"/>
            <v:stroke dashstyle="solid"/>
            <w10:wrap type="topAndBottom"/>
          </v:shape>
        </w:pict>
      </w:r>
      <w:r>
        <w:rPr/>
        <w:pict>
          <v:shape style="position:absolute;margin-left:215.470001pt;margin-top:33.307812pt;width:5pt;height:.1pt;mso-position-horizontal-relative:page;mso-position-vertical-relative:paragraph;z-index:-15544832;mso-wrap-distance-left:0;mso-wrap-distance-right:0" coordorigin="4309,666" coordsize="100,0" path="m4309,666l4409,666e" filled="false" stroked="true" strokeweight=".5pt" strokecolor="#000000">
            <v:path arrowok="t"/>
            <v:stroke dashstyle="solid"/>
            <w10:wrap type="topAndBottom"/>
          </v:shape>
        </w:pict>
      </w:r>
    </w:p>
    <w:p>
      <w:pPr>
        <w:pStyle w:val="BodyText"/>
        <w:spacing w:before="1"/>
        <w:rPr>
          <w:sz w:val="14"/>
        </w:rPr>
      </w:pPr>
    </w:p>
    <w:p>
      <w:pPr>
        <w:pStyle w:val="BodyText"/>
        <w:spacing w:before="4"/>
        <w:rPr>
          <w:sz w:val="12"/>
        </w:rPr>
      </w:pPr>
    </w:p>
    <w:p>
      <w:pPr>
        <w:pStyle w:val="BodyText"/>
        <w:rPr>
          <w:sz w:val="12"/>
        </w:rPr>
      </w:pPr>
    </w:p>
    <w:p>
      <w:pPr>
        <w:tabs>
          <w:tab w:pos="925" w:val="left" w:leader="none"/>
          <w:tab w:pos="1565" w:val="left" w:leader="none"/>
        </w:tabs>
        <w:spacing w:before="106"/>
        <w:ind w:left="286" w:right="0" w:firstLine="0"/>
        <w:jc w:val="left"/>
        <w:rPr>
          <w:sz w:val="12"/>
        </w:rPr>
      </w:pPr>
      <w:r>
        <w:rPr>
          <w:sz w:val="12"/>
        </w:rPr>
        <w:t>85</w:t>
        <w:tab/>
        <w:t>90</w:t>
        <w:tab/>
        <w:t>95</w:t>
      </w:r>
    </w:p>
    <w:p>
      <w:pPr>
        <w:spacing w:before="94"/>
        <w:ind w:left="70" w:right="0" w:firstLine="0"/>
        <w:jc w:val="left"/>
        <w:rPr>
          <w:sz w:val="12"/>
        </w:rPr>
      </w:pPr>
      <w:r>
        <w:rPr/>
        <w:br w:type="column"/>
      </w:r>
      <w:r>
        <w:rPr>
          <w:sz w:val="12"/>
        </w:rPr>
        <w:t>15.0</w:t>
      </w:r>
    </w:p>
    <w:p>
      <w:pPr>
        <w:spacing w:before="102"/>
        <w:ind w:left="70" w:right="0" w:firstLine="0"/>
        <w:jc w:val="left"/>
        <w:rPr>
          <w:sz w:val="12"/>
        </w:rPr>
      </w:pPr>
      <w:r>
        <w:rPr>
          <w:sz w:val="12"/>
        </w:rPr>
        <w:t>12.5</w:t>
      </w:r>
    </w:p>
    <w:p>
      <w:pPr>
        <w:spacing w:before="82"/>
        <w:ind w:left="70" w:right="0" w:firstLine="0"/>
        <w:jc w:val="left"/>
        <w:rPr>
          <w:sz w:val="12"/>
        </w:rPr>
      </w:pPr>
      <w:r>
        <w:rPr>
          <w:sz w:val="12"/>
        </w:rPr>
        <w:t>10.0</w:t>
      </w:r>
    </w:p>
    <w:p>
      <w:pPr>
        <w:spacing w:before="102"/>
        <w:ind w:left="130" w:right="0" w:firstLine="0"/>
        <w:jc w:val="left"/>
        <w:rPr>
          <w:sz w:val="12"/>
        </w:rPr>
      </w:pPr>
      <w:r>
        <w:rPr>
          <w:sz w:val="12"/>
        </w:rPr>
        <w:t>7.5</w:t>
      </w:r>
    </w:p>
    <w:p>
      <w:pPr>
        <w:spacing w:before="103"/>
        <w:ind w:left="130" w:right="0" w:firstLine="0"/>
        <w:jc w:val="left"/>
        <w:rPr>
          <w:sz w:val="12"/>
        </w:rPr>
      </w:pPr>
      <w:r>
        <w:rPr>
          <w:sz w:val="12"/>
        </w:rPr>
        <w:t>5.0</w:t>
      </w:r>
    </w:p>
    <w:p>
      <w:pPr>
        <w:spacing w:line="107" w:lineRule="exact" w:before="82"/>
        <w:ind w:left="130" w:right="0" w:firstLine="0"/>
        <w:jc w:val="left"/>
        <w:rPr>
          <w:sz w:val="12"/>
        </w:rPr>
      </w:pPr>
      <w:r>
        <w:rPr>
          <w:sz w:val="12"/>
        </w:rPr>
        <w:t>2.5</w:t>
      </w:r>
    </w:p>
    <w:p>
      <w:pPr>
        <w:spacing w:line="139" w:lineRule="exact" w:before="0"/>
        <w:ind w:left="-23" w:right="0" w:firstLine="0"/>
        <w:jc w:val="left"/>
        <w:rPr>
          <w:sz w:val="16"/>
        </w:rPr>
      </w:pPr>
      <w:r>
        <w:rPr>
          <w:sz w:val="16"/>
        </w:rPr>
        <w:t>+</w:t>
      </w:r>
    </w:p>
    <w:p>
      <w:pPr>
        <w:spacing w:line="170" w:lineRule="exact" w:before="0"/>
        <w:ind w:left="-23" w:right="0" w:firstLine="0"/>
        <w:jc w:val="left"/>
        <w:rPr>
          <w:sz w:val="12"/>
        </w:rPr>
      </w:pPr>
      <w:r>
        <w:rPr>
          <w:position w:val="-2"/>
          <w:sz w:val="16"/>
        </w:rPr>
        <w:t>_</w:t>
      </w:r>
      <w:r>
        <w:rPr>
          <w:spacing w:val="33"/>
          <w:position w:val="-2"/>
          <w:sz w:val="16"/>
        </w:rPr>
        <w:t> </w:t>
      </w:r>
      <w:r>
        <w:rPr>
          <w:sz w:val="12"/>
        </w:rPr>
        <w:t>0.0</w:t>
      </w:r>
    </w:p>
    <w:p>
      <w:pPr>
        <w:spacing w:before="43"/>
        <w:ind w:left="130" w:right="0" w:firstLine="0"/>
        <w:jc w:val="left"/>
        <w:rPr>
          <w:sz w:val="12"/>
        </w:rPr>
      </w:pPr>
      <w:r>
        <w:rPr>
          <w:sz w:val="12"/>
        </w:rPr>
        <w:t>2.5</w:t>
      </w:r>
    </w:p>
    <w:p>
      <w:pPr>
        <w:spacing w:before="102"/>
        <w:ind w:left="130" w:right="0" w:firstLine="0"/>
        <w:jc w:val="left"/>
        <w:rPr>
          <w:sz w:val="12"/>
        </w:rPr>
      </w:pPr>
      <w:r>
        <w:rPr>
          <w:sz w:val="12"/>
        </w:rPr>
        <w:t>5.0</w:t>
      </w:r>
    </w:p>
    <w:p>
      <w:pPr>
        <w:spacing w:before="102"/>
        <w:ind w:left="130" w:right="0" w:firstLine="0"/>
        <w:jc w:val="left"/>
        <w:rPr>
          <w:sz w:val="12"/>
        </w:rPr>
      </w:pPr>
      <w:r>
        <w:rPr>
          <w:sz w:val="12"/>
        </w:rPr>
        <w:t>7.5</w:t>
      </w:r>
    </w:p>
    <w:p>
      <w:pPr>
        <w:spacing w:before="82"/>
        <w:ind w:left="70" w:right="0" w:firstLine="0"/>
        <w:jc w:val="left"/>
        <w:rPr>
          <w:sz w:val="12"/>
        </w:rPr>
      </w:pPr>
      <w:r>
        <w:rPr>
          <w:sz w:val="12"/>
        </w:rPr>
        <w:t>10.0</w:t>
      </w:r>
    </w:p>
    <w:p>
      <w:pPr>
        <w:spacing w:before="102"/>
        <w:ind w:left="70" w:right="0" w:firstLine="0"/>
        <w:jc w:val="left"/>
        <w:rPr>
          <w:sz w:val="12"/>
        </w:rPr>
      </w:pPr>
      <w:r>
        <w:rPr>
          <w:sz w:val="12"/>
        </w:rPr>
        <w:t>12.5</w:t>
      </w:r>
    </w:p>
    <w:p>
      <w:pPr>
        <w:spacing w:before="82"/>
        <w:ind w:left="70" w:right="0" w:firstLine="0"/>
        <w:jc w:val="left"/>
        <w:rPr>
          <w:sz w:val="12"/>
        </w:rPr>
      </w:pPr>
      <w:r>
        <w:rPr>
          <w:sz w:val="12"/>
        </w:rPr>
        <w:t>15.0</w:t>
      </w:r>
    </w:p>
    <w:p>
      <w:pPr>
        <w:spacing w:before="102"/>
        <w:ind w:left="70" w:right="0" w:firstLine="0"/>
        <w:jc w:val="left"/>
        <w:rPr>
          <w:sz w:val="12"/>
        </w:rPr>
      </w:pPr>
      <w:r>
        <w:rPr>
          <w:sz w:val="12"/>
        </w:rPr>
        <w:t>17.5</w:t>
      </w:r>
    </w:p>
    <w:p>
      <w:pPr>
        <w:pStyle w:val="Heading4"/>
        <w:spacing w:line="242" w:lineRule="auto" w:before="10"/>
        <w:ind w:left="286" w:right="316"/>
      </w:pPr>
      <w:r>
        <w:rPr/>
        <w:br w:type="column"/>
      </w:r>
      <w:r>
        <w:rPr>
          <w:color w:val="231F20"/>
        </w:rPr>
        <w:t>prospects in the manufacturing sector. The October BCC survey showed a further decline in both home and export deliveries, with the former becoming negative for the first time since 1992 and the latter reaching their lowest level since the survey began in 1989. The October quarterly CBI Industrial Trends survey reported that the balance of firms expecting output to increase over the next four months was the most negative since January 1991 (see Chart 2.12). Both domestic and export orders remained very weak. But the total orders balance has declined by considerably more than the export orders balance since April, suggesting that weakening domestic demand is playing a more significant role. And the C</w:t>
      </w:r>
      <w:r>
        <w:rPr>
          <w:color w:val="231F20"/>
          <w:sz w:val="20"/>
        </w:rPr>
        <w:t>IPS </w:t>
      </w:r>
      <w:r>
        <w:rPr>
          <w:color w:val="231F20"/>
        </w:rPr>
        <w:t>Purchasing Managers’ Index (PMI) fell for the seventh consecutive month in October, to its lowest level since January 1992, when</w:t>
      </w:r>
      <w:r>
        <w:rPr>
          <w:color w:val="231F20"/>
          <w:spacing w:val="-24"/>
        </w:rPr>
        <w:t> </w:t>
      </w:r>
      <w:r>
        <w:rPr>
          <w:color w:val="231F20"/>
          <w:spacing w:val="-6"/>
        </w:rPr>
        <w:t>the </w:t>
      </w:r>
      <w:r>
        <w:rPr>
          <w:color w:val="231F20"/>
        </w:rPr>
        <w:t>survey</w:t>
      </w:r>
      <w:r>
        <w:rPr>
          <w:color w:val="231F20"/>
          <w:spacing w:val="-1"/>
        </w:rPr>
        <w:t> </w:t>
      </w:r>
      <w:r>
        <w:rPr>
          <w:color w:val="231F20"/>
        </w:rPr>
        <w:t>began.</w:t>
      </w:r>
    </w:p>
    <w:p>
      <w:pPr>
        <w:pStyle w:val="BodyText"/>
        <w:spacing w:before="3"/>
        <w:rPr>
          <w:sz w:val="26"/>
        </w:rPr>
      </w:pPr>
    </w:p>
    <w:p>
      <w:pPr>
        <w:spacing w:line="242" w:lineRule="auto" w:before="0"/>
        <w:ind w:left="286" w:right="266" w:firstLine="0"/>
        <w:jc w:val="left"/>
        <w:rPr>
          <w:sz w:val="24"/>
        </w:rPr>
      </w:pPr>
      <w:r>
        <w:rPr>
          <w:color w:val="231F20"/>
          <w:sz w:val="24"/>
        </w:rPr>
        <w:t>Output in the energy extraction and supply industries rose by around 5% in 1998 Q2 compared with the previous quarter, contributing nearly 1 percentage point to total industrial production growth of 1.2%. </w:t>
      </w:r>
      <w:r>
        <w:rPr>
          <w:color w:val="231F20"/>
          <w:spacing w:val="-4"/>
          <w:sz w:val="24"/>
        </w:rPr>
        <w:t>However, </w:t>
      </w:r>
      <w:r>
        <w:rPr>
          <w:color w:val="231F20"/>
          <w:sz w:val="24"/>
        </w:rPr>
        <w:t>the output of these sectors is very volatile from quarter </w:t>
      </w:r>
      <w:r>
        <w:rPr>
          <w:color w:val="231F20"/>
          <w:spacing w:val="-9"/>
          <w:sz w:val="24"/>
        </w:rPr>
        <w:t>to </w:t>
      </w:r>
      <w:r>
        <w:rPr>
          <w:color w:val="231F20"/>
          <w:sz w:val="24"/>
        </w:rPr>
        <w:t>quarter. In 1998 Q3, energy extraction output rose by 0.2%, and energy supply output increased by</w:t>
      </w:r>
      <w:r>
        <w:rPr>
          <w:color w:val="231F20"/>
          <w:spacing w:val="-3"/>
          <w:sz w:val="24"/>
        </w:rPr>
        <w:t> </w:t>
      </w:r>
      <w:r>
        <w:rPr>
          <w:color w:val="231F20"/>
          <w:sz w:val="24"/>
        </w:rPr>
        <w:t>1.1%.</w:t>
      </w:r>
    </w:p>
    <w:p>
      <w:pPr>
        <w:spacing w:before="9"/>
        <w:ind w:left="286" w:right="0" w:firstLine="0"/>
        <w:jc w:val="left"/>
        <w:rPr>
          <w:sz w:val="24"/>
        </w:rPr>
      </w:pPr>
      <w:r>
        <w:rPr>
          <w:color w:val="231F20"/>
          <w:sz w:val="24"/>
        </w:rPr>
        <w:t>Total industrial production rose by 0.1% in 1998 Q3.</w:t>
      </w:r>
    </w:p>
    <w:p>
      <w:pPr>
        <w:pStyle w:val="BodyText"/>
        <w:spacing w:before="8"/>
        <w:rPr>
          <w:sz w:val="24"/>
        </w:rPr>
      </w:pPr>
    </w:p>
    <w:p>
      <w:pPr>
        <w:spacing w:line="242" w:lineRule="auto" w:before="0"/>
        <w:ind w:left="286" w:right="334" w:firstLine="0"/>
        <w:jc w:val="left"/>
        <w:rPr>
          <w:sz w:val="24"/>
        </w:rPr>
      </w:pPr>
      <w:r>
        <w:rPr>
          <w:color w:val="231F20"/>
          <w:sz w:val="24"/>
        </w:rPr>
        <w:t>Construction output fell by 2.9% in 1998 Q2, from the previous quarter, following a rise of 2.0% in 1998 Q1. But over the first six months of 1998, construction output was 1.4% higher than in 1997 H2. And construction output may have risen in 1998 Q3. After declining earlier in the year, construction new orders were 9.2% higher in the three months to September than</w:t>
      </w:r>
    </w:p>
    <w:p>
      <w:pPr>
        <w:spacing w:after="0" w:line="242" w:lineRule="auto"/>
        <w:jc w:val="left"/>
        <w:rPr>
          <w:sz w:val="24"/>
        </w:rPr>
        <w:sectPr>
          <w:type w:val="continuous"/>
          <w:pgSz w:w="11900" w:h="16840"/>
          <w:pgMar w:top="1220" w:bottom="280" w:left="620" w:right="520"/>
          <w:cols w:num="4" w:equalWidth="0">
            <w:col w:w="1423" w:space="111"/>
            <w:col w:w="2276" w:space="39"/>
            <w:col w:w="321" w:space="538"/>
            <w:col w:w="6052"/>
          </w:cols>
        </w:sectPr>
      </w:pPr>
    </w:p>
    <w:p>
      <w:pPr>
        <w:pStyle w:val="BodyText"/>
        <w:rPr>
          <w:sz w:val="20"/>
        </w:rPr>
      </w:pPr>
    </w:p>
    <w:p>
      <w:pPr>
        <w:spacing w:after="0"/>
        <w:rPr>
          <w:sz w:val="20"/>
        </w:rPr>
        <w:sectPr>
          <w:headerReference w:type="default" r:id="rId62"/>
          <w:footerReference w:type="default" r:id="rId63"/>
          <w:footerReference w:type="even" r:id="rId64"/>
          <w:pgSz w:w="11900" w:h="16840"/>
          <w:pgMar w:header="586" w:footer="617" w:top="780" w:bottom="800" w:left="620" w:right="520"/>
          <w:pgNumType w:start="23"/>
        </w:sectPr>
      </w:pPr>
    </w:p>
    <w:p>
      <w:pPr>
        <w:pStyle w:val="BodyText"/>
        <w:spacing w:before="6"/>
        <w:rPr>
          <w:sz w:val="20"/>
        </w:rPr>
      </w:pPr>
    </w:p>
    <w:p>
      <w:pPr>
        <w:pStyle w:val="Heading7"/>
        <w:spacing w:before="0"/>
        <w:ind w:left="175"/>
      </w:pPr>
      <w:bookmarkStart w:name="Summary" w:id="49"/>
      <w:bookmarkEnd w:id="49"/>
      <w:r>
        <w:rPr>
          <w:b w:val="0"/>
        </w:rPr>
      </w:r>
      <w:bookmarkStart w:name="_bookmark16" w:id="50"/>
      <w:bookmarkEnd w:id="50"/>
      <w:r>
        <w:rPr>
          <w:b w:val="0"/>
        </w:rPr>
      </w:r>
      <w:r>
        <w:rPr>
          <w:color w:val="0093C1"/>
        </w:rPr>
        <w:t>Chart 2.13</w:t>
      </w:r>
    </w:p>
    <w:p>
      <w:pPr>
        <w:spacing w:before="10"/>
        <w:ind w:left="175" w:right="0" w:firstLine="0"/>
        <w:jc w:val="left"/>
        <w:rPr>
          <w:sz w:val="12"/>
        </w:rPr>
      </w:pPr>
      <w:r>
        <w:rPr>
          <w:b/>
          <w:color w:val="0093C1"/>
          <w:sz w:val="20"/>
        </w:rPr>
        <w:t>C</w:t>
      </w:r>
      <w:r>
        <w:rPr>
          <w:b/>
          <w:color w:val="0093C1"/>
          <w:sz w:val="16"/>
        </w:rPr>
        <w:t>IPS </w:t>
      </w:r>
      <w:r>
        <w:rPr>
          <w:b/>
          <w:color w:val="0093C1"/>
          <w:sz w:val="20"/>
        </w:rPr>
        <w:t>report on construction</w:t>
      </w:r>
      <w:r>
        <w:rPr>
          <w:color w:val="231F20"/>
          <w:position w:val="4"/>
          <w:sz w:val="12"/>
        </w:rPr>
        <w:t>(a)</w:t>
      </w:r>
    </w:p>
    <w:p>
      <w:pPr>
        <w:pStyle w:val="BodyText"/>
        <w:spacing w:before="7" w:after="39"/>
        <w:rPr>
          <w:sz w:val="20"/>
        </w:rPr>
      </w:pPr>
    </w:p>
    <w:p>
      <w:pPr>
        <w:pStyle w:val="BodyText"/>
        <w:spacing w:line="20" w:lineRule="exact"/>
        <w:ind w:left="233"/>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spacing w:line="129" w:lineRule="exact" w:before="95"/>
        <w:ind w:left="175" w:right="0" w:firstLine="0"/>
        <w:jc w:val="left"/>
        <w:rPr>
          <w:sz w:val="12"/>
        </w:rPr>
      </w:pPr>
      <w:r>
        <w:rPr>
          <w:sz w:val="12"/>
        </w:rPr>
        <w:t>Index (b)</w:t>
      </w:r>
    </w:p>
    <w:p>
      <w:pPr>
        <w:spacing w:line="129" w:lineRule="exact" w:before="0"/>
        <w:ind w:left="647" w:right="0" w:firstLine="0"/>
        <w:jc w:val="left"/>
        <w:rPr>
          <w:sz w:val="12"/>
        </w:rPr>
      </w:pPr>
      <w:r>
        <w:rPr/>
        <w:pict>
          <v:group style="position:absolute;margin-left:42.946999pt;margin-top:4.805583pt;width:166pt;height:149.1pt;mso-position-horizontal-relative:page;mso-position-vertical-relative:paragraph;z-index:15917568" coordorigin="859,96" coordsize="3320,2982">
            <v:shape style="position:absolute;left:858;top:393;width:3180;height:2340" coordorigin="859,393" coordsize="3180,2340" path="m4039,2073l1019,2073m959,2073l859,2073m959,2413l859,2413m959,2733l859,2733m959,1733l859,1733m959,1413l859,1413m959,1073l859,1073m959,733l859,733m959,393l859,393e" filled="false" stroked="true" strokeweight=".5pt" strokecolor="#000000">
              <v:path arrowok="t"/>
              <v:stroke dashstyle="solid"/>
            </v:shape>
            <v:shape style="position:absolute;left:1018;top:193;width:3020;height:2460" coordorigin="1019,193" coordsize="3020,2460" path="m1019,213l1419,653,1619,753,1819,1013,2019,1153,2219,713,2419,193,2639,313,2839,773,3039,973,3239,1013,3439,1293,3639,1893,3839,2433,4039,2653e" filled="false" stroked="true" strokeweight="1pt" strokecolor="#75442b">
              <v:path arrowok="t"/>
              <v:stroke dashstyle="solid"/>
            </v:shape>
            <v:shape style="position:absolute;left:1018;top:293;width:3020;height:2680" coordorigin="1019,293" coordsize="3020,2680" path="m1019,293l1219,1113,1419,1773,1619,1853,1819,1713,2019,1913,2219,1553,2419,1033,2639,1153,2839,1553,3039,1433,3239,1353,3439,1553,3839,2633,4039,2973e" filled="false" stroked="true" strokeweight="1pt" strokecolor="#a790c4">
              <v:path arrowok="t"/>
              <v:stroke dashstyle="solid"/>
            </v:shape>
            <v:shape style="position:absolute;left:858;top:393;width:3320;height:2680" coordorigin="859,393" coordsize="3320,2680" path="m4179,2413l4079,2413m4179,2733l4079,2733m4179,2073l4079,2073m4179,1733l4079,1733m4179,1413l4079,1413m4179,1073l4079,1073m4179,733l4079,733m4179,393l4079,393m959,3073l859,3073m4179,3073l4079,3073m1019,3073l4039,3073m1019,3073l1019,3033m1219,3073l1219,3033m1419,3073l1419,3033m1619,3073l1619,3033m1819,3073l1819,3033m2019,3073l2019,3033m2219,3073l2219,3033m2419,3073l2419,3033m2619,3073l2619,3033m2819,3073l2819,3033m3019,3073l3019,3033m3219,3073l3219,3033m3439,3073l3439,3033m3639,3073l3639,3033m3839,3073l3839,3033m4039,3073l4039,3033m2219,3073l2219,2973m4179,3073l4079,3073e" filled="false" stroked="true" strokeweight=".5pt" strokecolor="#000000">
              <v:path arrowok="t"/>
              <v:stroke dashstyle="solid"/>
            </v:shape>
            <v:shape style="position:absolute;left:2508;top:96;width:1287;height:133" type="#_x0000_t202" filled="false" stroked="false">
              <v:textbox inset="0,0,0,0">
                <w:txbxContent>
                  <w:p>
                    <w:pPr>
                      <w:spacing w:line="133" w:lineRule="exact" w:before="0"/>
                      <w:ind w:left="0" w:right="0" w:firstLine="0"/>
                      <w:jc w:val="left"/>
                      <w:rPr>
                        <w:sz w:val="12"/>
                      </w:rPr>
                    </w:pPr>
                    <w:r>
                      <w:rPr>
                        <w:sz w:val="12"/>
                      </w:rPr>
                      <w:t>Total construction activity</w:t>
                    </w:r>
                  </w:p>
                </w:txbxContent>
              </v:textbox>
              <w10:wrap type="none"/>
            </v:shape>
            <v:shape style="position:absolute;left:2348;top:1576;width:817;height:133" type="#_x0000_t202" filled="false" stroked="false">
              <v:textbox inset="0,0,0,0">
                <w:txbxContent>
                  <w:p>
                    <w:pPr>
                      <w:spacing w:line="133" w:lineRule="exact" w:before="0"/>
                      <w:ind w:left="0" w:right="0" w:firstLine="0"/>
                      <w:jc w:val="left"/>
                      <w:rPr>
                        <w:sz w:val="12"/>
                      </w:rPr>
                    </w:pPr>
                    <w:r>
                      <w:rPr>
                        <w:sz w:val="12"/>
                      </w:rPr>
                      <w:t>Housing activity</w:t>
                    </w:r>
                  </w:p>
                </w:txbxContent>
              </v:textbox>
              <w10:wrap type="none"/>
            </v:shape>
            <w10:wrap type="none"/>
          </v:group>
        </w:pict>
      </w:r>
      <w:r>
        <w:rPr/>
        <w:pict>
          <v:line style="position:absolute;mso-position-horizontal-relative:page;mso-position-vertical-relative:paragraph;z-index:15918080" from="208.947006pt,3.651863pt" to="203.947006pt,3.651863pt" stroked="true" strokeweight=".5pt" strokecolor="#000000">
            <v:stroke dashstyle="solid"/>
            <w10:wrap type="none"/>
          </v:line>
        </w:pict>
      </w:r>
      <w:r>
        <w:rPr>
          <w:sz w:val="12"/>
        </w:rPr>
        <w:t>65.0</w:t>
      </w:r>
    </w:p>
    <w:p>
      <w:pPr>
        <w:pStyle w:val="BodyText"/>
        <w:spacing w:before="6"/>
        <w:rPr>
          <w:sz w:val="17"/>
        </w:rPr>
      </w:pPr>
    </w:p>
    <w:p>
      <w:pPr>
        <w:spacing w:before="0"/>
        <w:ind w:left="0" w:right="38" w:firstLine="0"/>
        <w:jc w:val="right"/>
        <w:rPr>
          <w:sz w:val="12"/>
        </w:rPr>
      </w:pPr>
      <w:r>
        <w:rPr>
          <w:sz w:val="12"/>
        </w:rPr>
        <w:t>62.5</w:t>
      </w:r>
    </w:p>
    <w:p>
      <w:pPr>
        <w:pStyle w:val="BodyText"/>
        <w:spacing w:before="7"/>
        <w:rPr>
          <w:sz w:val="17"/>
        </w:rPr>
      </w:pPr>
    </w:p>
    <w:p>
      <w:pPr>
        <w:spacing w:before="0"/>
        <w:ind w:left="0" w:right="38" w:firstLine="0"/>
        <w:jc w:val="right"/>
        <w:rPr>
          <w:sz w:val="12"/>
        </w:rPr>
      </w:pPr>
      <w:r>
        <w:rPr>
          <w:sz w:val="12"/>
        </w:rPr>
        <w:t>60.0</w:t>
      </w:r>
    </w:p>
    <w:p>
      <w:pPr>
        <w:pStyle w:val="BodyText"/>
        <w:spacing w:before="9"/>
        <w:rPr>
          <w:sz w:val="15"/>
        </w:rPr>
      </w:pPr>
    </w:p>
    <w:p>
      <w:pPr>
        <w:spacing w:before="0"/>
        <w:ind w:left="0" w:right="38" w:firstLine="0"/>
        <w:jc w:val="right"/>
        <w:rPr>
          <w:sz w:val="12"/>
        </w:rPr>
      </w:pPr>
      <w:r>
        <w:rPr>
          <w:sz w:val="12"/>
        </w:rPr>
        <w:t>57.5</w:t>
      </w:r>
    </w:p>
    <w:p>
      <w:pPr>
        <w:pStyle w:val="BodyText"/>
        <w:spacing w:before="7"/>
        <w:rPr>
          <w:sz w:val="17"/>
        </w:rPr>
      </w:pPr>
    </w:p>
    <w:p>
      <w:pPr>
        <w:spacing w:before="0"/>
        <w:ind w:left="0" w:right="38" w:firstLine="0"/>
        <w:jc w:val="right"/>
        <w:rPr>
          <w:sz w:val="12"/>
        </w:rPr>
      </w:pPr>
      <w:r>
        <w:rPr>
          <w:sz w:val="12"/>
        </w:rPr>
        <w:t>55.0</w:t>
      </w:r>
    </w:p>
    <w:p>
      <w:pPr>
        <w:pStyle w:val="BodyText"/>
        <w:spacing w:before="6"/>
        <w:rPr>
          <w:sz w:val="17"/>
        </w:rPr>
      </w:pPr>
    </w:p>
    <w:p>
      <w:pPr>
        <w:spacing w:before="0"/>
        <w:ind w:left="0" w:right="38" w:firstLine="0"/>
        <w:jc w:val="right"/>
        <w:rPr>
          <w:sz w:val="12"/>
        </w:rPr>
      </w:pPr>
      <w:r>
        <w:rPr>
          <w:sz w:val="12"/>
        </w:rPr>
        <w:t>52.5</w:t>
      </w:r>
    </w:p>
    <w:p>
      <w:pPr>
        <w:pStyle w:val="Heading4"/>
        <w:spacing w:line="242" w:lineRule="auto" w:before="227"/>
        <w:ind w:left="175" w:right="296"/>
      </w:pPr>
      <w:r>
        <w:rPr/>
        <w:br w:type="column"/>
      </w:r>
      <w:r>
        <w:rPr>
          <w:color w:val="231F20"/>
        </w:rPr>
        <w:t>in the previous three months, and more than 9% higher than a year ago. Private commercial orders showed the strongest rise, but housing-related activity declined further. By contrast, the C</w:t>
      </w:r>
      <w:r>
        <w:rPr>
          <w:color w:val="231F20"/>
          <w:sz w:val="20"/>
        </w:rPr>
        <w:t>IPS </w:t>
      </w:r>
      <w:r>
        <w:rPr>
          <w:color w:val="231F20"/>
        </w:rPr>
        <w:t>Construction Activity Index was below 50 in both September and October, indicating an overall decline in activity for the first time since the survey began 18 months ago (see Chart 2.13). However, optimism about activity in the next twelve months remained robust.</w:t>
      </w:r>
    </w:p>
    <w:p>
      <w:pPr>
        <w:spacing w:after="0" w:line="242" w:lineRule="auto"/>
        <w:sectPr>
          <w:type w:val="continuous"/>
          <w:pgSz w:w="11900" w:h="16840"/>
          <w:pgMar w:top="1220" w:bottom="280" w:left="620" w:right="520"/>
          <w:cols w:num="3" w:equalWidth="0">
            <w:col w:w="2714" w:space="234"/>
            <w:col w:w="898" w:space="984"/>
            <w:col w:w="5930"/>
          </w:cols>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3"/>
        <w:rPr>
          <w:sz w:val="17"/>
        </w:rPr>
      </w:pPr>
    </w:p>
    <w:p>
      <w:pPr>
        <w:spacing w:line="119" w:lineRule="exact" w:before="0"/>
        <w:ind w:left="0" w:right="38" w:firstLine="0"/>
        <w:jc w:val="right"/>
        <w:rPr>
          <w:sz w:val="12"/>
        </w:rPr>
      </w:pPr>
      <w:r>
        <w:rPr>
          <w:sz w:val="12"/>
        </w:rPr>
        <w:t>1997</w:t>
      </w:r>
    </w:p>
    <w:p>
      <w:pPr>
        <w:pStyle w:val="BodyText"/>
        <w:spacing w:before="5"/>
        <w:rPr>
          <w:sz w:val="16"/>
        </w:rPr>
      </w:pPr>
      <w:r>
        <w:rPr/>
        <w:br w:type="column"/>
      </w:r>
      <w:r>
        <w:rPr>
          <w:sz w:val="16"/>
        </w:rPr>
      </w:r>
    </w:p>
    <w:p>
      <w:pPr>
        <w:spacing w:before="0"/>
        <w:ind w:left="0" w:right="38" w:firstLine="0"/>
        <w:jc w:val="right"/>
        <w:rPr>
          <w:sz w:val="12"/>
        </w:rPr>
      </w:pPr>
      <w:r>
        <w:rPr>
          <w:sz w:val="12"/>
        </w:rPr>
        <w:t>50.0</w:t>
      </w:r>
    </w:p>
    <w:p>
      <w:pPr>
        <w:pStyle w:val="BodyText"/>
        <w:spacing w:before="9"/>
        <w:rPr>
          <w:sz w:val="15"/>
        </w:rPr>
      </w:pPr>
    </w:p>
    <w:p>
      <w:pPr>
        <w:spacing w:before="1"/>
        <w:ind w:left="0" w:right="38" w:firstLine="0"/>
        <w:jc w:val="right"/>
        <w:rPr>
          <w:sz w:val="12"/>
        </w:rPr>
      </w:pPr>
      <w:r>
        <w:rPr>
          <w:sz w:val="12"/>
        </w:rPr>
        <w:t>47.5</w:t>
      </w:r>
    </w:p>
    <w:p>
      <w:pPr>
        <w:pStyle w:val="BodyText"/>
        <w:spacing w:before="6"/>
        <w:rPr>
          <w:sz w:val="17"/>
        </w:rPr>
      </w:pPr>
    </w:p>
    <w:p>
      <w:pPr>
        <w:spacing w:before="0"/>
        <w:ind w:left="0" w:right="38" w:firstLine="0"/>
        <w:jc w:val="right"/>
        <w:rPr>
          <w:sz w:val="12"/>
        </w:rPr>
      </w:pPr>
      <w:r>
        <w:rPr>
          <w:sz w:val="12"/>
        </w:rPr>
        <w:t>45.0</w:t>
      </w:r>
    </w:p>
    <w:p>
      <w:pPr>
        <w:pStyle w:val="BodyText"/>
        <w:spacing w:before="6"/>
        <w:rPr>
          <w:sz w:val="17"/>
        </w:rPr>
      </w:pPr>
    </w:p>
    <w:p>
      <w:pPr>
        <w:spacing w:line="126" w:lineRule="exact" w:before="1"/>
        <w:ind w:left="1795" w:right="20" w:firstLine="0"/>
        <w:jc w:val="center"/>
        <w:rPr>
          <w:sz w:val="12"/>
        </w:rPr>
      </w:pPr>
      <w:r>
        <w:rPr>
          <w:sz w:val="12"/>
        </w:rPr>
        <w:t>42.5</w:t>
      </w:r>
    </w:p>
    <w:p>
      <w:pPr>
        <w:spacing w:line="107" w:lineRule="exact" w:before="0"/>
        <w:ind w:left="750" w:right="1155" w:firstLine="0"/>
        <w:jc w:val="center"/>
        <w:rPr>
          <w:sz w:val="12"/>
        </w:rPr>
      </w:pPr>
      <w:r>
        <w:rPr>
          <w:sz w:val="12"/>
        </w:rPr>
        <w:t>98</w:t>
      </w:r>
    </w:p>
    <w:p>
      <w:pPr>
        <w:pStyle w:val="Heading2"/>
        <w:numPr>
          <w:ilvl w:val="1"/>
          <w:numId w:val="8"/>
        </w:numPr>
        <w:tabs>
          <w:tab w:pos="4866" w:val="left" w:leader="none"/>
          <w:tab w:pos="4868" w:val="left" w:leader="none"/>
        </w:tabs>
        <w:spacing w:line="240" w:lineRule="auto" w:before="254" w:after="0"/>
        <w:ind w:left="4867" w:right="0" w:hanging="4100"/>
        <w:jc w:val="left"/>
        <w:rPr>
          <w:color w:val="009483"/>
        </w:rPr>
      </w:pPr>
      <w:r>
        <w:rPr>
          <w:color w:val="009483"/>
          <w:u w:val="thick" w:color="0093C1"/>
        </w:rPr>
        <w:br w:type="column"/>
        <w:t>Summary</w:t>
      </w:r>
      <w:r>
        <w:rPr>
          <w:color w:val="009483"/>
          <w:spacing w:val="-31"/>
          <w:u w:val="thick" w:color="0093C1"/>
        </w:rPr>
        <w:t> </w:t>
      </w:r>
    </w:p>
    <w:p>
      <w:pPr>
        <w:pStyle w:val="BodyText"/>
        <w:spacing w:before="11"/>
        <w:rPr>
          <w:b/>
          <w:sz w:val="23"/>
        </w:rPr>
      </w:pPr>
    </w:p>
    <w:p>
      <w:pPr>
        <w:pStyle w:val="Heading4"/>
        <w:spacing w:line="242" w:lineRule="auto"/>
        <w:ind w:left="768" w:right="509"/>
      </w:pPr>
      <w:r>
        <w:rPr>
          <w:color w:val="231F20"/>
        </w:rPr>
        <w:t>Global economic conditions have worsened markedly since the August </w:t>
      </w:r>
      <w:r>
        <w:rPr>
          <w:i/>
          <w:color w:val="231F20"/>
        </w:rPr>
        <w:t>Inflation Report</w:t>
      </w:r>
      <w:r>
        <w:rPr>
          <w:color w:val="231F20"/>
        </w:rPr>
        <w:t>, reducing the central</w:t>
      </w:r>
    </w:p>
    <w:p>
      <w:pPr>
        <w:spacing w:after="0" w:line="242" w:lineRule="auto"/>
        <w:sectPr>
          <w:type w:val="continuous"/>
          <w:pgSz w:w="11900" w:h="16840"/>
          <w:pgMar w:top="1220" w:bottom="280" w:left="620" w:right="520"/>
          <w:cols w:num="3" w:equalWidth="0">
            <w:col w:w="1049" w:space="731"/>
            <w:col w:w="2066" w:space="391"/>
            <w:col w:w="6523"/>
          </w:cols>
        </w:sectPr>
      </w:pPr>
    </w:p>
    <w:p>
      <w:pPr>
        <w:spacing w:before="62"/>
        <w:ind w:left="185" w:right="0" w:firstLine="0"/>
        <w:jc w:val="left"/>
        <w:rPr>
          <w:sz w:val="12"/>
        </w:rPr>
      </w:pPr>
      <w:r>
        <w:rPr>
          <w:color w:val="231F20"/>
          <w:sz w:val="12"/>
        </w:rPr>
        <w:t>Source: The Chartered Institute of Purchasing and Supply.</w:t>
      </w:r>
    </w:p>
    <w:p>
      <w:pPr>
        <w:pStyle w:val="ListParagraph"/>
        <w:numPr>
          <w:ilvl w:val="0"/>
          <w:numId w:val="16"/>
        </w:numPr>
        <w:tabs>
          <w:tab w:pos="426" w:val="left" w:leader="none"/>
        </w:tabs>
        <w:spacing w:line="129" w:lineRule="exact" w:before="102" w:after="0"/>
        <w:ind w:left="425" w:right="0" w:hanging="241"/>
        <w:jc w:val="left"/>
        <w:rPr>
          <w:sz w:val="12"/>
        </w:rPr>
      </w:pPr>
      <w:r>
        <w:rPr>
          <w:color w:val="231F20"/>
          <w:sz w:val="12"/>
        </w:rPr>
        <w:t>Seasonally adjusted.</w:t>
      </w:r>
    </w:p>
    <w:p>
      <w:pPr>
        <w:pStyle w:val="ListParagraph"/>
        <w:numPr>
          <w:ilvl w:val="0"/>
          <w:numId w:val="16"/>
        </w:numPr>
        <w:tabs>
          <w:tab w:pos="426" w:val="left" w:leader="none"/>
        </w:tabs>
        <w:spacing w:line="129" w:lineRule="exact" w:before="0" w:after="0"/>
        <w:ind w:left="425" w:right="0" w:hanging="241"/>
        <w:jc w:val="left"/>
        <w:rPr>
          <w:sz w:val="12"/>
        </w:rPr>
      </w:pPr>
      <w:r>
        <w:rPr>
          <w:color w:val="231F20"/>
          <w:sz w:val="12"/>
        </w:rPr>
        <w:t>A reading below 50 indicates a contraction.</w:t>
      </w:r>
    </w:p>
    <w:p>
      <w:pPr>
        <w:pStyle w:val="Heading4"/>
        <w:spacing w:line="242" w:lineRule="auto"/>
        <w:ind w:left="185" w:right="323"/>
      </w:pPr>
      <w:r>
        <w:rPr/>
        <w:br w:type="column"/>
      </w:r>
      <w:r>
        <w:rPr>
          <w:color w:val="231F20"/>
        </w:rPr>
        <w:t>projection and posing further downside risks for UK output growth. UK output could be affected in a </w:t>
      </w:r>
      <w:r>
        <w:rPr>
          <w:color w:val="231F20"/>
          <w:spacing w:val="-3"/>
        </w:rPr>
        <w:t>number </w:t>
      </w:r>
      <w:r>
        <w:rPr>
          <w:color w:val="231F20"/>
        </w:rPr>
        <w:t>of ways: directly through net trade; and indirectly via the financial markets, which could </w:t>
      </w:r>
      <w:r>
        <w:rPr>
          <w:color w:val="231F20"/>
          <w:spacing w:val="-3"/>
        </w:rPr>
        <w:t>have </w:t>
      </w:r>
      <w:r>
        <w:rPr>
          <w:color w:val="231F20"/>
        </w:rPr>
        <w:t>an impact on credit conditions, confidence and wealth, and hence on consumption and</w:t>
      </w:r>
      <w:r>
        <w:rPr>
          <w:color w:val="231F20"/>
          <w:spacing w:val="-1"/>
        </w:rPr>
        <w:t> </w:t>
      </w:r>
      <w:r>
        <w:rPr>
          <w:color w:val="231F20"/>
        </w:rPr>
        <w:t>investment.</w:t>
      </w:r>
    </w:p>
    <w:p>
      <w:pPr>
        <w:pStyle w:val="BodyText"/>
        <w:spacing w:before="1"/>
        <w:rPr>
          <w:sz w:val="24"/>
        </w:rPr>
      </w:pPr>
    </w:p>
    <w:p>
      <w:pPr>
        <w:spacing w:line="242" w:lineRule="auto" w:before="0"/>
        <w:ind w:left="185" w:right="298" w:firstLine="0"/>
        <w:jc w:val="left"/>
        <w:rPr>
          <w:sz w:val="24"/>
        </w:rPr>
      </w:pPr>
      <w:r>
        <w:rPr>
          <w:color w:val="231F20"/>
          <w:sz w:val="24"/>
        </w:rPr>
        <w:t>Data for the most recent quarters should be viewed within the context of the extensive back-revisions to the National Accounts, which raised the cumulative growth in GDP by nearly 2% between 1991–97. As the main source of these revisions was higher investment spending, particularly since 1996, this will </w:t>
      </w:r>
      <w:r>
        <w:rPr>
          <w:color w:val="231F20"/>
          <w:spacing w:val="-3"/>
          <w:sz w:val="24"/>
        </w:rPr>
        <w:t>have </w:t>
      </w:r>
      <w:r>
        <w:rPr>
          <w:color w:val="231F20"/>
          <w:sz w:val="24"/>
        </w:rPr>
        <w:t>implications for both the demand and the supply side of the economy. The central projection in August was for </w:t>
      </w:r>
      <w:r>
        <w:rPr>
          <w:color w:val="231F20"/>
          <w:spacing w:val="-16"/>
          <w:sz w:val="24"/>
        </w:rPr>
        <w:t>a </w:t>
      </w:r>
      <w:r>
        <w:rPr>
          <w:color w:val="231F20"/>
          <w:sz w:val="24"/>
        </w:rPr>
        <w:t>slowdown to below-trend growth in both domestic demand and </w:t>
      </w:r>
      <w:r>
        <w:rPr>
          <w:color w:val="231F20"/>
          <w:spacing w:val="-7"/>
          <w:sz w:val="24"/>
        </w:rPr>
        <w:t>GDP.   </w:t>
      </w:r>
      <w:r>
        <w:rPr>
          <w:color w:val="231F20"/>
          <w:sz w:val="24"/>
        </w:rPr>
        <w:t>Though domestic demand growth has slowed, GDP growth remains slightly higher than envisaged then. </w:t>
      </w:r>
      <w:r>
        <w:rPr>
          <w:color w:val="231F20"/>
          <w:spacing w:val="-4"/>
          <w:sz w:val="24"/>
        </w:rPr>
        <w:t>However, </w:t>
      </w:r>
      <w:r>
        <w:rPr>
          <w:color w:val="231F20"/>
          <w:sz w:val="24"/>
        </w:rPr>
        <w:t>forward-looking indicators from surveys and from the </w:t>
      </w:r>
      <w:r>
        <w:rPr>
          <w:color w:val="231F20"/>
          <w:spacing w:val="-3"/>
          <w:sz w:val="24"/>
        </w:rPr>
        <w:t>Bank’s </w:t>
      </w:r>
      <w:r>
        <w:rPr>
          <w:color w:val="231F20"/>
          <w:sz w:val="24"/>
        </w:rPr>
        <w:t>regional Agencies suggest that a further slowing is </w:t>
      </w:r>
      <w:r>
        <w:rPr>
          <w:color w:val="231F20"/>
          <w:spacing w:val="-3"/>
          <w:sz w:val="24"/>
        </w:rPr>
        <w:t>likely. </w:t>
      </w:r>
      <w:r>
        <w:rPr>
          <w:color w:val="231F20"/>
          <w:sz w:val="24"/>
        </w:rPr>
        <w:t>The </w:t>
      </w:r>
      <w:r>
        <w:rPr>
          <w:color w:val="231F20"/>
          <w:spacing w:val="-3"/>
          <w:sz w:val="24"/>
        </w:rPr>
        <w:t>MPC’s </w:t>
      </w:r>
      <w:r>
        <w:rPr>
          <w:color w:val="231F20"/>
          <w:sz w:val="24"/>
        </w:rPr>
        <w:t>forecast assumes that annual GDP growth will slow over the next year, before increasing to trend in the second half of 2000. But the risks remain on the</w:t>
      </w:r>
      <w:r>
        <w:rPr>
          <w:color w:val="231F20"/>
          <w:spacing w:val="-4"/>
          <w:sz w:val="24"/>
        </w:rPr>
        <w:t> </w:t>
      </w:r>
      <w:r>
        <w:rPr>
          <w:color w:val="231F20"/>
          <w:sz w:val="24"/>
        </w:rPr>
        <w:t>downside.</w:t>
      </w:r>
    </w:p>
    <w:p>
      <w:pPr>
        <w:spacing w:after="0" w:line="242" w:lineRule="auto"/>
        <w:jc w:val="left"/>
        <w:rPr>
          <w:sz w:val="24"/>
        </w:rPr>
        <w:sectPr>
          <w:type w:val="continuous"/>
          <w:pgSz w:w="11900" w:h="16840"/>
          <w:pgMar w:top="1220" w:bottom="280" w:left="620" w:right="520"/>
          <w:cols w:num="2" w:equalWidth="0">
            <w:col w:w="3062" w:space="1758"/>
            <w:col w:w="5940"/>
          </w:cols>
        </w:sectPr>
      </w:pPr>
    </w:p>
    <w:p>
      <w:pPr>
        <w:pStyle w:val="BodyText"/>
        <w:spacing w:line="20" w:lineRule="exact"/>
        <w:ind w:left="158"/>
        <w:rPr>
          <w:sz w:val="2"/>
        </w:rPr>
      </w:pPr>
      <w:r>
        <w:rPr>
          <w:sz w:val="2"/>
        </w:rPr>
        <w:pict>
          <v:group style="width:517pt;height:.15pt;mso-position-horizontal-relative:char;mso-position-vertical-relative:line" coordorigin="0,0" coordsize="10340,3">
            <v:line style="position:absolute" from="0,1" to="10340,1" stroked="true" strokeweight=".125pt" strokecolor="#000000">
              <v:stroke dashstyle="solid"/>
            </v:line>
          </v:group>
        </w:pict>
      </w:r>
      <w:r>
        <w:rPr>
          <w:sz w:val="2"/>
        </w:rPr>
      </w:r>
    </w:p>
    <w:p>
      <w:pPr>
        <w:pStyle w:val="BodyText"/>
        <w:rPr>
          <w:sz w:val="20"/>
        </w:rPr>
      </w:pPr>
    </w:p>
    <w:p>
      <w:pPr>
        <w:pStyle w:val="BodyText"/>
        <w:spacing w:before="9"/>
      </w:pPr>
      <w:r>
        <w:rPr/>
        <w:pict>
          <v:shape style="position:absolute;margin-left:40.090pt;margin-top:12.000977pt;width:516pt;height:48pt;mso-position-horizontal-relative:page;mso-position-vertical-relative:paragraph;z-index:-15538176;mso-wrap-distance-left:0;mso-wrap-distance-right:0" type="#_x0000_t202" filled="true" fillcolor="#b5dad6" stroked="false">
            <v:textbox inset="0,0,0,0">
              <w:txbxContent>
                <w:p>
                  <w:pPr>
                    <w:tabs>
                      <w:tab w:pos="6212" w:val="left" w:leader="none"/>
                    </w:tabs>
                    <w:spacing w:before="51"/>
                    <w:ind w:left="260" w:right="0" w:firstLine="0"/>
                    <w:jc w:val="left"/>
                    <w:rPr>
                      <w:b/>
                      <w:sz w:val="48"/>
                    </w:rPr>
                  </w:pPr>
                  <w:bookmarkStart w:name="The labour market" w:id="51"/>
                  <w:bookmarkEnd w:id="51"/>
                  <w:r>
                    <w:rPr/>
                  </w:r>
                  <w:bookmarkStart w:name="Earnings" w:id="52"/>
                  <w:bookmarkEnd w:id="52"/>
                  <w:r>
                    <w:rPr/>
                  </w:r>
                  <w:bookmarkStart w:name="_bookmark17" w:id="53"/>
                  <w:bookmarkEnd w:id="53"/>
                  <w:r>
                    <w:rPr/>
                  </w:r>
                  <w:r>
                    <w:rPr>
                      <w:b/>
                      <w:color w:val="009483"/>
                      <w:sz w:val="72"/>
                    </w:rPr>
                    <w:t>3</w:t>
                    <w:tab/>
                  </w:r>
                  <w:r>
                    <w:rPr>
                      <w:b/>
                      <w:color w:val="009483"/>
                      <w:sz w:val="48"/>
                    </w:rPr>
                    <w:t>The labour</w:t>
                  </w:r>
                  <w:r>
                    <w:rPr>
                      <w:b/>
                      <w:color w:val="009483"/>
                      <w:spacing w:val="-3"/>
                      <w:sz w:val="48"/>
                    </w:rPr>
                    <w:t> </w:t>
                  </w:r>
                  <w:r>
                    <w:rPr>
                      <w:b/>
                      <w:color w:val="009483"/>
                      <w:sz w:val="48"/>
                    </w:rPr>
                    <w:t>market</w:t>
                  </w:r>
                </w:p>
              </w:txbxContent>
            </v:textbox>
            <v:fill type="solid"/>
            <w10:wrap type="topAndBottom"/>
          </v:shape>
        </w:pict>
      </w:r>
    </w:p>
    <w:p>
      <w:pPr>
        <w:pStyle w:val="BodyText"/>
        <w:rPr>
          <w:sz w:val="20"/>
        </w:rPr>
      </w:pPr>
    </w:p>
    <w:p>
      <w:pPr>
        <w:pStyle w:val="BodyText"/>
        <w:spacing w:before="5"/>
        <w:rPr>
          <w:sz w:val="29"/>
        </w:rPr>
      </w:pPr>
    </w:p>
    <w:p>
      <w:pPr>
        <w:spacing w:after="0"/>
        <w:rPr>
          <w:sz w:val="29"/>
        </w:rPr>
        <w:sectPr>
          <w:headerReference w:type="even" r:id="rId65"/>
          <w:pgSz w:w="11900" w:h="16840"/>
          <w:pgMar w:header="0" w:footer="597" w:top="780" w:bottom="780" w:left="620" w:right="520"/>
        </w:sectPr>
      </w:pPr>
    </w:p>
    <w:p>
      <w:pPr>
        <w:pStyle w:val="Heading7"/>
        <w:spacing w:before="123"/>
        <w:ind w:left="220"/>
      </w:pPr>
      <w:r>
        <w:rPr>
          <w:color w:val="0093C1"/>
        </w:rPr>
        <w:t>Chart 3.1</w:t>
      </w:r>
    </w:p>
    <w:p>
      <w:pPr>
        <w:spacing w:before="10"/>
        <w:ind w:left="220" w:right="0" w:firstLine="0"/>
        <w:jc w:val="left"/>
        <w:rPr>
          <w:sz w:val="14"/>
        </w:rPr>
      </w:pPr>
      <w:r>
        <w:rPr>
          <w:b/>
          <w:color w:val="0093C1"/>
          <w:sz w:val="20"/>
        </w:rPr>
        <w:t>Headline average earnings growth</w:t>
      </w:r>
      <w:r>
        <w:rPr>
          <w:position w:val="5"/>
          <w:sz w:val="14"/>
        </w:rPr>
        <w:t>(a)</w:t>
      </w:r>
    </w:p>
    <w:p>
      <w:pPr>
        <w:spacing w:line="119" w:lineRule="exact" w:before="138"/>
        <w:ind w:left="1858" w:right="0" w:firstLine="0"/>
        <w:jc w:val="left"/>
        <w:rPr>
          <w:sz w:val="12"/>
        </w:rPr>
      </w:pPr>
      <w:r>
        <w:rPr>
          <w:sz w:val="12"/>
        </w:rPr>
        <w:t>Percentage changes on a year earlier</w:t>
      </w:r>
    </w:p>
    <w:p>
      <w:pPr>
        <w:spacing w:line="119" w:lineRule="exact" w:before="0"/>
        <w:ind w:left="3681" w:right="0" w:firstLine="0"/>
        <w:jc w:val="left"/>
        <w:rPr>
          <w:sz w:val="12"/>
        </w:rPr>
      </w:pPr>
      <w:r>
        <w:rPr/>
        <w:pict>
          <v:line style="position:absolute;mso-position-horizontal-relative:page;mso-position-vertical-relative:paragraph;z-index:15922688" from="50.029999pt,3.151758pt" to="45.029999pt,3.151758pt" stroked="true" strokeweight=".5pt" strokecolor="#000000">
            <v:stroke dashstyle="solid"/>
            <w10:wrap type="none"/>
          </v:line>
        </w:pict>
      </w:r>
      <w:r>
        <w:rPr/>
        <w:pict>
          <v:line style="position:absolute;mso-position-horizontal-relative:page;mso-position-vertical-relative:paragraph;z-index:15927808" from="211.113007pt,3.151758pt" to="206.113007pt,3.151758pt" stroked="true" strokeweight=".5pt" strokecolor="#000000">
            <v:stroke dashstyle="solid"/>
            <w10:wrap type="none"/>
          </v:line>
        </w:pict>
      </w:r>
      <w:r>
        <w:rPr>
          <w:sz w:val="12"/>
        </w:rPr>
        <w:t>6.5</w:t>
      </w:r>
    </w:p>
    <w:p>
      <w:pPr>
        <w:pStyle w:val="BodyText"/>
        <w:spacing w:before="1"/>
        <w:rPr>
          <w:sz w:val="14"/>
        </w:rPr>
      </w:pPr>
    </w:p>
    <w:p>
      <w:pPr>
        <w:spacing w:before="0"/>
        <w:ind w:left="3681" w:right="0" w:firstLine="0"/>
        <w:jc w:val="left"/>
        <w:rPr>
          <w:sz w:val="12"/>
        </w:rPr>
      </w:pPr>
      <w:r>
        <w:rPr/>
        <w:pict>
          <v:group style="position:absolute;margin-left:45.029999pt;margin-top:-.411692pt;width:155.6pt;height:129.0500pt;mso-position-horizontal-relative:page;mso-position-vertical-relative:paragraph;z-index:15922176" coordorigin="901,-8" coordsize="3112,2581">
            <v:shape style="position:absolute;left:900;top:82;width:100;height:2420" coordorigin="901,82" coordsize="100,2420" path="m1001,2502l901,2502m1001,2202l901,2202m1001,1902l901,1902m1001,1602l901,1602m1001,1282l901,1282m1001,1002l901,1002m1001,682l901,682m1001,382l901,382m1001,82l901,82e" filled="false" stroked="true" strokeweight=".5pt" strokecolor="#000000">
              <v:path arrowok="t"/>
              <v:stroke dashstyle="solid"/>
            </v:shape>
            <v:shape style="position:absolute;left:1062;top:82;width:2940;height:1940" coordorigin="1062,82" coordsize="2940,1940" path="m1062,1422l1142,1182,1202,1182,1282,1042,1342,1422,1422,1762,1482,1902,1562,1762,1622,1762,1702,1722,1762,1722,1842,1902,1902,2022,1982,2022,2042,1842,2122,1722,2182,1482,2262,1242,2322,1042,2402,1002,2462,1002,2542,942,2602,762,2682,442,2742,262,2822,82,2882,82,2962,142,3022,382,3102,582,3162,502,3242,682,3302,682,3382,802,3442,942,3522,1042,3582,1042,3662,1282,3722,1282,3802,802,3862,582,3942,442,4002,882e" filled="false" stroked="true" strokeweight="1pt" strokecolor="#0099d8">
              <v:path arrowok="t"/>
              <v:stroke dashstyle="solid"/>
            </v:shape>
            <v:shape style="position:absolute;left:1062;top:502;width:2940;height:1520" coordorigin="1062,502" coordsize="2940,1520" path="m1062,1482l1142,1282,1282,1282,1342,1642,1422,1902,1482,1962,1562,1902,1622,1902,1702,1842,1762,1842,1842,1962,1902,2022,1982,2022,2042,1842,2122,1782,2182,1542,2262,1362,2322,1282,2402,1242,2462,1182,2542,1122,2602,1002,2682,762,2742,622,2822,502,2882,502,2962,622,3022,762,3102,882,3162,802,3242,942,3302,1002,3382,1042,3442,1042,3522,1182,3582,1182,3662,1362,3722,1362,3802,942,3862,682,3942,582,4002,942e" filled="false" stroked="true" strokeweight="1pt" strokecolor="#ed1b2d">
              <v:path arrowok="t"/>
              <v:stroke dashstyle="solid"/>
            </v:shape>
            <v:shape style="position:absolute;left:1062;top:942;width:2940;height:1620" coordorigin="1062,942" coordsize="2940,1620" path="m1062,1842l1142,2022,1202,1902,1282,2262,1342,2442,1422,2562,1482,2382,1562,2382,1622,2262,1702,2322,1762,2442,1842,2142,1902,2082,1982,1842,2042,1962,2122,1642,2182,1602,2262,1642,2322,1902,2462,1902,2542,1782,2602,1782,2682,1902,2742,2022,2822,2202,2882,2202,2962,2322,3022,2262,3102,2322,3162,2202,3242,2082,3302,1962,3382,1782,3522,1642,3582,1722,3662,1602,3722,1602,3802,1402,3862,1162,3942,1002,4002,942e" filled="false" stroked="true" strokeweight="1pt" strokecolor="#95459a">
              <v:path arrowok="t"/>
              <v:stroke dashstyle="solid"/>
            </v:shape>
            <v:line style="position:absolute" from="2193,586" to="2399,1126" stroked="true" strokeweight=".5pt" strokecolor="#000000">
              <v:stroke dashstyle="solid"/>
            </v:line>
            <v:shape style="position:absolute;left:2369;top:1101;width:54;height:89" coordorigin="2370,1101" coordsize="54,89" path="m2417,1101l2370,1119,2381,1132,2390,1142,2424,1189,2422,1181,2420,1170,2419,1158,2417,1145,2417,1133,2417,1101xe" filled="true" fillcolor="#000000" stroked="false">
              <v:path arrowok="t"/>
              <v:fill type="solid"/>
            </v:shape>
            <v:shape style="position:absolute;left:1225;top:318;width:1067;height:253" type="#_x0000_t202" filled="false" stroked="false">
              <v:textbox inset="0,0,0,0">
                <w:txbxContent>
                  <w:p>
                    <w:pPr>
                      <w:spacing w:line="208" w:lineRule="auto" w:before="9"/>
                      <w:ind w:left="60" w:right="0" w:hanging="60"/>
                      <w:jc w:val="left"/>
                      <w:rPr>
                        <w:sz w:val="12"/>
                      </w:rPr>
                    </w:pPr>
                    <w:r>
                      <w:rPr>
                        <w:sz w:val="12"/>
                      </w:rPr>
                      <w:t>Whole-economy headline growth rate</w:t>
                    </w:r>
                  </w:p>
                </w:txbxContent>
              </v:textbox>
              <w10:wrap type="none"/>
            </v:shape>
            <v:shape style="position:absolute;left:2992;top:-9;width:857;height:373" type="#_x0000_t202" filled="false" stroked="false">
              <v:textbox inset="0,0,0,0">
                <w:txbxContent>
                  <w:p>
                    <w:pPr>
                      <w:spacing w:line="208" w:lineRule="auto" w:before="9"/>
                      <w:ind w:left="60" w:right="0" w:hanging="60"/>
                      <w:jc w:val="left"/>
                      <w:rPr>
                        <w:sz w:val="12"/>
                      </w:rPr>
                    </w:pPr>
                    <w:r>
                      <w:rPr>
                        <w:sz w:val="12"/>
                      </w:rPr>
                      <w:t>Private sector headline growth rate</w:t>
                    </w:r>
                  </w:p>
                </w:txbxContent>
              </v:textbox>
              <w10:wrap type="none"/>
            </v:shape>
            <v:shape style="position:absolute;left:1825;top:2285;width:1067;height:253" type="#_x0000_t202" filled="false" stroked="false">
              <v:textbox inset="0,0,0,0">
                <w:txbxContent>
                  <w:p>
                    <w:pPr>
                      <w:spacing w:line="208" w:lineRule="auto" w:before="9"/>
                      <w:ind w:left="60" w:right="18" w:hanging="60"/>
                      <w:jc w:val="left"/>
                      <w:rPr>
                        <w:sz w:val="12"/>
                      </w:rPr>
                    </w:pPr>
                    <w:r>
                      <w:rPr>
                        <w:sz w:val="12"/>
                      </w:rPr>
                      <w:t>Public sector headline growth</w:t>
                    </w:r>
                    <w:r>
                      <w:rPr>
                        <w:spacing w:val="1"/>
                        <w:sz w:val="12"/>
                      </w:rPr>
                      <w:t> </w:t>
                    </w:r>
                    <w:r>
                      <w:rPr>
                        <w:spacing w:val="-5"/>
                        <w:sz w:val="12"/>
                      </w:rPr>
                      <w:t>rate</w:t>
                    </w:r>
                  </w:p>
                </w:txbxContent>
              </v:textbox>
              <w10:wrap type="none"/>
            </v:shape>
            <w10:wrap type="none"/>
          </v:group>
        </w:pict>
      </w:r>
      <w:r>
        <w:rPr/>
        <w:pict>
          <v:line style="position:absolute;mso-position-horizontal-relative:page;mso-position-vertical-relative:paragraph;z-index:15927296" from="211.113007pt,4.101587pt" to="206.113007pt,4.101587pt" stroked="true" strokeweight=".5pt" strokecolor="#000000">
            <v:stroke dashstyle="solid"/>
            <w10:wrap type="none"/>
          </v:line>
        </w:pict>
      </w:r>
      <w:r>
        <w:rPr>
          <w:sz w:val="12"/>
        </w:rPr>
        <w:t>6.0</w:t>
      </w:r>
    </w:p>
    <w:p>
      <w:pPr>
        <w:pStyle w:val="BodyText"/>
        <w:spacing w:before="1"/>
        <w:rPr>
          <w:sz w:val="14"/>
        </w:rPr>
      </w:pPr>
    </w:p>
    <w:p>
      <w:pPr>
        <w:spacing w:before="0"/>
        <w:ind w:left="3681" w:right="0" w:firstLine="0"/>
        <w:jc w:val="left"/>
        <w:rPr>
          <w:sz w:val="12"/>
        </w:rPr>
      </w:pPr>
      <w:r>
        <w:rPr/>
        <w:pict>
          <v:line style="position:absolute;mso-position-horizontal-relative:page;mso-position-vertical-relative:paragraph;z-index:15926784" from="211.113007pt,4.101587pt" to="206.113007pt,4.101587pt" stroked="true" strokeweight=".5pt" strokecolor="#000000">
            <v:stroke dashstyle="solid"/>
            <w10:wrap type="none"/>
          </v:line>
        </w:pict>
      </w:r>
      <w:r>
        <w:rPr>
          <w:sz w:val="12"/>
        </w:rPr>
        <w:t>5.5</w:t>
      </w:r>
    </w:p>
    <w:p>
      <w:pPr>
        <w:pStyle w:val="BodyText"/>
        <w:spacing w:before="1"/>
        <w:rPr>
          <w:sz w:val="14"/>
        </w:rPr>
      </w:pPr>
    </w:p>
    <w:p>
      <w:pPr>
        <w:spacing w:before="0"/>
        <w:ind w:left="3681" w:right="0" w:firstLine="0"/>
        <w:jc w:val="left"/>
        <w:rPr>
          <w:sz w:val="12"/>
        </w:rPr>
      </w:pPr>
      <w:r>
        <w:rPr/>
        <w:pict>
          <v:line style="position:absolute;mso-position-horizontal-relative:page;mso-position-vertical-relative:paragraph;z-index:15926272" from="211.113007pt,4.101587pt" to="206.113007pt,4.101587pt" stroked="true" strokeweight=".5pt" strokecolor="#000000">
            <v:stroke dashstyle="solid"/>
            <w10:wrap type="none"/>
          </v:line>
        </w:pict>
      </w:r>
      <w:r>
        <w:rPr>
          <w:sz w:val="12"/>
        </w:rPr>
        <w:t>5.0</w:t>
      </w:r>
    </w:p>
    <w:p>
      <w:pPr>
        <w:pStyle w:val="BodyText"/>
        <w:spacing w:before="1"/>
        <w:rPr>
          <w:sz w:val="14"/>
        </w:rPr>
      </w:pPr>
    </w:p>
    <w:p>
      <w:pPr>
        <w:spacing w:before="0"/>
        <w:ind w:left="3681" w:right="0" w:firstLine="0"/>
        <w:jc w:val="left"/>
        <w:rPr>
          <w:sz w:val="12"/>
        </w:rPr>
      </w:pPr>
      <w:r>
        <w:rPr/>
        <w:pict>
          <v:line style="position:absolute;mso-position-horizontal-relative:page;mso-position-vertical-relative:paragraph;z-index:15925760" from="211.113007pt,5.101587pt" to="206.113007pt,5.101587pt" stroked="true" strokeweight=".5pt" strokecolor="#000000">
            <v:stroke dashstyle="solid"/>
            <w10:wrap type="none"/>
          </v:line>
        </w:pict>
      </w:r>
      <w:r>
        <w:rPr>
          <w:sz w:val="12"/>
        </w:rPr>
        <w:t>4.5</w:t>
      </w:r>
    </w:p>
    <w:p>
      <w:pPr>
        <w:pStyle w:val="BodyText"/>
        <w:spacing w:before="9"/>
        <w:rPr>
          <w:sz w:val="15"/>
        </w:rPr>
      </w:pPr>
    </w:p>
    <w:p>
      <w:pPr>
        <w:spacing w:before="1"/>
        <w:ind w:left="3681" w:right="0" w:firstLine="0"/>
        <w:jc w:val="left"/>
        <w:rPr>
          <w:sz w:val="12"/>
        </w:rPr>
      </w:pPr>
      <w:r>
        <w:rPr/>
        <w:pict>
          <v:line style="position:absolute;mso-position-horizontal-relative:page;mso-position-vertical-relative:paragraph;z-index:15925248" from="211.113007pt,3.151587pt" to="206.113007pt,3.151587pt" stroked="true" strokeweight=".5pt" strokecolor="#000000">
            <v:stroke dashstyle="solid"/>
            <w10:wrap type="none"/>
          </v:line>
        </w:pict>
      </w:r>
      <w:r>
        <w:rPr>
          <w:sz w:val="12"/>
        </w:rPr>
        <w:t>4.0</w:t>
      </w:r>
    </w:p>
    <w:p>
      <w:pPr>
        <w:pStyle w:val="BodyText"/>
        <w:rPr>
          <w:sz w:val="14"/>
        </w:rPr>
      </w:pPr>
    </w:p>
    <w:p>
      <w:pPr>
        <w:spacing w:before="1"/>
        <w:ind w:left="3681" w:right="0" w:firstLine="0"/>
        <w:jc w:val="left"/>
        <w:rPr>
          <w:sz w:val="12"/>
        </w:rPr>
      </w:pPr>
      <w:r>
        <w:rPr/>
        <w:pict>
          <v:line style="position:absolute;mso-position-horizontal-relative:page;mso-position-vertical-relative:paragraph;z-index:15924736" from="211.113007pt,4.151587pt" to="206.113007pt,4.151587pt" stroked="true" strokeweight=".5pt" strokecolor="#000000">
            <v:stroke dashstyle="solid"/>
            <w10:wrap type="none"/>
          </v:line>
        </w:pict>
      </w:r>
      <w:r>
        <w:rPr>
          <w:sz w:val="12"/>
        </w:rPr>
        <w:t>3.5</w:t>
      </w:r>
    </w:p>
    <w:p>
      <w:pPr>
        <w:pStyle w:val="BodyText"/>
        <w:spacing w:before="3"/>
        <w:rPr>
          <w:sz w:val="12"/>
        </w:rPr>
      </w:pPr>
    </w:p>
    <w:p>
      <w:pPr>
        <w:spacing w:before="1"/>
        <w:ind w:left="3681" w:right="0" w:firstLine="0"/>
        <w:jc w:val="left"/>
        <w:rPr>
          <w:sz w:val="12"/>
        </w:rPr>
      </w:pPr>
      <w:r>
        <w:rPr/>
        <w:pict>
          <v:line style="position:absolute;mso-position-horizontal-relative:page;mso-position-vertical-relative:paragraph;z-index:15924224" from="211.113007pt,5.151587pt" to="206.113007pt,5.151587pt" stroked="true" strokeweight=".5pt" strokecolor="#000000">
            <v:stroke dashstyle="solid"/>
            <w10:wrap type="none"/>
          </v:line>
        </w:pict>
      </w:r>
      <w:r>
        <w:rPr>
          <w:sz w:val="12"/>
        </w:rPr>
        <w:t>3.0</w:t>
      </w:r>
    </w:p>
    <w:p>
      <w:pPr>
        <w:pStyle w:val="BodyText"/>
        <w:spacing w:before="9"/>
        <w:rPr>
          <w:sz w:val="15"/>
        </w:rPr>
      </w:pPr>
    </w:p>
    <w:p>
      <w:pPr>
        <w:pStyle w:val="ListParagraph"/>
        <w:numPr>
          <w:ilvl w:val="1"/>
          <w:numId w:val="8"/>
        </w:numPr>
        <w:tabs>
          <w:tab w:pos="3833" w:val="left" w:leader="none"/>
        </w:tabs>
        <w:spacing w:line="240" w:lineRule="auto" w:before="0" w:after="0"/>
        <w:ind w:left="3832" w:right="0" w:hanging="152"/>
        <w:jc w:val="left"/>
        <w:rPr>
          <w:sz w:val="10"/>
        </w:rPr>
      </w:pPr>
      <w:r>
        <w:rPr/>
        <w:pict>
          <v:line style="position:absolute;mso-position-horizontal-relative:page;mso-position-vertical-relative:paragraph;z-index:15923712" from="211.113007pt,4.101587pt" to="206.113007pt,4.101587pt" stroked="true" strokeweight=".5pt" strokecolor="#000000">
            <v:stroke dashstyle="solid"/>
            <w10:wrap type="none"/>
          </v:line>
        </w:pict>
      </w:r>
      <w:r>
        <w:rPr>
          <w:sz w:val="12"/>
        </w:rPr>
        <w:t>2.5</w:t>
      </w:r>
    </w:p>
    <w:p>
      <w:pPr>
        <w:pStyle w:val="BodyText"/>
        <w:spacing w:before="1"/>
        <w:rPr>
          <w:sz w:val="14"/>
        </w:rPr>
      </w:pPr>
    </w:p>
    <w:p>
      <w:pPr>
        <w:spacing w:before="0"/>
        <w:ind w:left="3681" w:right="0" w:firstLine="0"/>
        <w:jc w:val="left"/>
        <w:rPr>
          <w:sz w:val="12"/>
        </w:rPr>
      </w:pPr>
      <w:r>
        <w:rPr/>
        <w:pict>
          <v:line style="position:absolute;mso-position-horizontal-relative:page;mso-position-vertical-relative:paragraph;z-index:15923200" from="211.113007pt,4.101587pt" to="206.113007pt,4.101587pt" stroked="true" strokeweight=".5pt" strokecolor="#000000">
            <v:stroke dashstyle="solid"/>
            <w10:wrap type="none"/>
          </v:line>
        </w:pict>
      </w:r>
      <w:r>
        <w:rPr>
          <w:sz w:val="12"/>
        </w:rPr>
        <w:t>2.0</w:t>
      </w:r>
    </w:p>
    <w:p>
      <w:pPr>
        <w:pStyle w:val="BodyText"/>
        <w:spacing w:before="1"/>
        <w:rPr>
          <w:sz w:val="14"/>
        </w:rPr>
      </w:pPr>
    </w:p>
    <w:p>
      <w:pPr>
        <w:spacing w:before="0"/>
        <w:ind w:left="3681" w:right="0" w:firstLine="0"/>
        <w:jc w:val="left"/>
        <w:rPr>
          <w:sz w:val="12"/>
        </w:rPr>
      </w:pPr>
      <w:r>
        <w:rPr/>
        <w:pict>
          <v:group style="position:absolute;margin-left:44.946999pt;margin-top:3.851557pt;width:167.5pt;height:8.75pt;mso-position-horizontal-relative:page;mso-position-vertical-relative:paragraph;z-index:15920128" coordorigin="899,77" coordsize="3350,175">
            <v:shape style="position:absolute;left:898;top:82;width:3324;height:160" coordorigin="899,82" coordsize="3324,160" path="m1001,82l901,82m996,242l4219,242m1062,242l1062,202m1142,242l1142,202m1212,242l1212,202m1282,242l1282,202m1352,242l1352,202m1422,242l1422,202m1492,242l1492,202m1562,242l1562,202m1632,242l1632,202m1702,242l1702,202m1772,242l1772,202m1842,242l1842,202m1902,242l1902,202m1982,242l1982,202m2052,242l2052,202m2122,242l2122,202m2192,242l2192,202m2262,242l2262,202m2332,242l2332,202m2402,242l2402,202m2472,242l2472,202m2542,242l2542,202m2612,242l2612,202m2682,242l2682,202m2742,242l2742,202m2822,242l2822,202m2892,242l2892,202m2962,242l2962,202m3032,242l3032,202m3102,242l3102,202m3172,242l3172,202m3242,242l3242,202m3312,242l3312,202m3382,242l3382,202m3452,242l3452,202m3522,242l3522,202m3582,242l3582,202m3662,242l3662,202m3722,242l3722,202m3802,242l3802,202m3862,242l3862,202m3942,242l3942,202m4002,242l4002,202m4082,242l4082,202m1062,242l1062,142m1902,242l1902,142m2742,242l2742,142m3582,242l3582,142m999,242l899,242m4222,82l4122,82e" filled="false" stroked="true" strokeweight=".5pt" strokecolor="#000000">
              <v:path arrowok="t"/>
              <v:stroke dashstyle="solid"/>
            </v:shape>
            <v:shape style="position:absolute;left:979;top:82;width:3264;height:165" coordorigin="980,82" coordsize="3264,165" path="m4223,82l4223,131,4203,147,4243,161,4203,181,4243,197,4220,207,4219,247m1000,82l1000,131,980,147,1020,161,980,181,1020,197,996,207,996,247e" filled="false" stroked="true" strokeweight=".5pt" strokecolor="#000000">
              <v:path arrowok="t"/>
              <v:stroke dashstyle="solid"/>
            </v:shape>
            <w10:wrap type="none"/>
          </v:group>
        </w:pict>
      </w:r>
      <w:r>
        <w:rPr>
          <w:sz w:val="12"/>
        </w:rPr>
        <w:t>1.5</w:t>
      </w:r>
    </w:p>
    <w:p>
      <w:pPr>
        <w:spacing w:line="131" w:lineRule="exact" w:before="30"/>
        <w:ind w:left="3681" w:right="0" w:firstLine="0"/>
        <w:jc w:val="left"/>
        <w:rPr>
          <w:sz w:val="12"/>
        </w:rPr>
      </w:pPr>
      <w:r>
        <w:rPr>
          <w:sz w:val="12"/>
        </w:rPr>
        <w:t>0.0</w:t>
      </w:r>
    </w:p>
    <w:p>
      <w:pPr>
        <w:pStyle w:val="Heading4"/>
        <w:spacing w:line="242" w:lineRule="auto" w:before="90"/>
        <w:ind w:left="220" w:right="322"/>
      </w:pPr>
      <w:r>
        <w:rPr/>
        <w:br w:type="column"/>
      </w:r>
      <w:r>
        <w:rPr/>
        <w:t>According to recently revised and rebased data, headline earnings grew by 4.6% in the year to July, more slowly than envisaged at the time of the August </w:t>
      </w:r>
      <w:r>
        <w:rPr>
          <w:i/>
          <w:color w:val="231F20"/>
        </w:rPr>
        <w:t>Inflation </w:t>
      </w:r>
      <w:r>
        <w:rPr>
          <w:i/>
          <w:color w:val="231F20"/>
        </w:rPr>
        <w:t>Report</w:t>
      </w:r>
      <w:r>
        <w:rPr>
          <w:color w:val="231F20"/>
        </w:rPr>
        <w:t>. The revisions have changed the profile and behaviour of reported earnings growth. It is no longer easy to reconcile the official earnings data with other information on the state of the labour market, particularly the continuing upward drift in wage settlements. On 2 November, the ONS announced that it was suspending publication of the Average Earnings Index, pending the outcome of an independent review of the series announced by the Chancellor. The labour market remains tight, although some recent data suggest that it is no longer continuing to tighten.</w:t>
      </w:r>
    </w:p>
    <w:p>
      <w:pPr>
        <w:spacing w:after="0" w:line="242" w:lineRule="auto"/>
        <w:sectPr>
          <w:type w:val="continuous"/>
          <w:pgSz w:w="11900" w:h="16840"/>
          <w:pgMar w:top="1220" w:bottom="280" w:left="620" w:right="520"/>
          <w:cols w:num="2" w:equalWidth="0">
            <w:col w:w="3872" w:space="888"/>
            <w:col w:w="6000"/>
          </w:cols>
        </w:sectPr>
      </w:pPr>
    </w:p>
    <w:p>
      <w:pPr>
        <w:tabs>
          <w:tab w:pos="1632" w:val="left" w:leader="none"/>
          <w:tab w:pos="2472" w:val="left" w:leader="none"/>
          <w:tab w:pos="3132" w:val="left" w:leader="none"/>
        </w:tabs>
        <w:spacing w:line="133" w:lineRule="exact" w:before="0"/>
        <w:ind w:left="712" w:right="0" w:firstLine="0"/>
        <w:jc w:val="left"/>
        <w:rPr>
          <w:sz w:val="12"/>
        </w:rPr>
      </w:pPr>
      <w:r>
        <w:rPr>
          <w:sz w:val="12"/>
        </w:rPr>
        <w:t>1995</w:t>
        <w:tab/>
        <w:t>96</w:t>
        <w:tab/>
        <w:t>97</w:t>
        <w:tab/>
        <w:t>98</w:t>
      </w:r>
    </w:p>
    <w:p>
      <w:pPr>
        <w:spacing w:before="69"/>
        <w:ind w:left="205" w:right="0" w:firstLine="0"/>
        <w:jc w:val="left"/>
        <w:rPr>
          <w:sz w:val="12"/>
        </w:rPr>
      </w:pPr>
      <w:r>
        <w:rPr>
          <w:sz w:val="12"/>
        </w:rPr>
        <w:t>(a) Seasonally adjusted.</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4"/>
        <w:rPr>
          <w:sz w:val="13"/>
        </w:rPr>
      </w:pPr>
    </w:p>
    <w:p>
      <w:pPr>
        <w:pStyle w:val="Heading7"/>
        <w:spacing w:before="0"/>
        <w:ind w:left="205"/>
      </w:pPr>
      <w:r>
        <w:rPr>
          <w:color w:val="0093C1"/>
        </w:rPr>
        <w:t>Chart 3.2</w:t>
      </w:r>
    </w:p>
    <w:p>
      <w:pPr>
        <w:spacing w:before="10"/>
        <w:ind w:left="205" w:right="0" w:firstLine="0"/>
        <w:jc w:val="left"/>
        <w:rPr>
          <w:sz w:val="12"/>
        </w:rPr>
      </w:pPr>
      <w:r>
        <w:rPr>
          <w:b/>
          <w:color w:val="0093C1"/>
          <w:sz w:val="20"/>
        </w:rPr>
        <w:t>Revisions to headline average earnings growth</w:t>
      </w:r>
      <w:r>
        <w:rPr>
          <w:position w:val="4"/>
          <w:sz w:val="12"/>
        </w:rPr>
        <w:t>(a)</w:t>
      </w:r>
    </w:p>
    <w:p>
      <w:pPr>
        <w:spacing w:before="140"/>
        <w:ind w:left="1894" w:right="0" w:firstLine="0"/>
        <w:jc w:val="left"/>
        <w:rPr>
          <w:sz w:val="12"/>
        </w:rPr>
      </w:pPr>
      <w:r>
        <w:rPr/>
        <w:pict>
          <v:group style="position:absolute;margin-left:44.779999pt;margin-top:19.601549pt;width:159.5pt;height:131pt;mso-position-horizontal-relative:page;mso-position-vertical-relative:paragraph;z-index:15929856" coordorigin="896,392" coordsize="3190,2620">
            <v:shape style="position:absolute;left:895;top:1802;width:100;height:1000" coordorigin="896,1802" coordsize="100,1000" path="m996,2802l896,2802m996,2802l896,2802m996,2302l896,2302m996,1802l896,1802e" filled="false" stroked="true" strokeweight=".5pt" strokecolor="#000000">
              <v:path arrowok="t"/>
              <v:stroke dashstyle="solid"/>
            </v:shape>
            <v:shape style="position:absolute;left:1075;top:402;width:2940;height:2220" coordorigin="1076,402" coordsize="2940,2220" path="m1076,2262l1136,2242,1216,2222,1276,1962,1356,2282,1436,2422,1496,2622,1576,2582,1636,2462,1716,2402,1796,2402,1856,2502,1936,2502,1996,2302,2076,2102,2156,2202,2216,2102,2296,2202,2356,1902,2436,1802m2436,1802l2496,1802,2576,1702,2636,1502,2716,1202,2796,1202,2856,1302,2936,1502,2996,1502,3076,1602,3156,1502,3216,1402,3296,1502,3356,1402,3436,1402,3496,1202,3576,1302,3656,1202,3716,802,3796,502m3796,502l3856,402,3936,802,4016,1102e" filled="false" stroked="true" strokeweight="1pt" strokecolor="#522e91">
              <v:path arrowok="t"/>
              <v:stroke dashstyle="solid"/>
            </v:shape>
            <v:shape style="position:absolute;left:895;top:802;width:100;height:1500" coordorigin="896,802" coordsize="100,1500" path="m996,2302l896,2302m996,1802l896,1802m996,1302l896,1302m996,1302l896,1302m996,802l896,802m996,802l896,802e" filled="false" stroked="true" strokeweight=".5pt" strokecolor="#000000">
              <v:path arrowok="t"/>
              <v:stroke dashstyle="solid"/>
            </v:shape>
            <v:shape style="position:absolute;left:1075;top:502;width:3000;height:2500" coordorigin="1076,502" coordsize="3000,2500" path="m1076,2102l1136,1802,1276,1802,1356,2402,1436,2802,1496,2902,1576,2802,1636,2802,1716,2702,1796,2702,1856,2902,1936,3002,1996,3002,2076,2702,2156,2602,2216,2202,2296,1902,2356,1802,2436,1702m2436,1702l2496,1602,2576,1502,2636,1302,2716,902,2796,702,2856,502,2936,502,2996,702,3156,1102,3216,1002,3296,1202,3356,1302,3436,1402,3496,1402,3576,1602,3656,1602,3716,1902,3796,1902m3796,1902l3856,1202,3936,802,4016,582,4076,1202e" filled="false" stroked="true" strokeweight="1pt" strokecolor="#008256">
              <v:path arrowok="t"/>
              <v:stroke dashstyle="solid"/>
            </v:shape>
            <v:shape style="position:absolute;left:1950;top:475;width:883;height:253" type="#_x0000_t202" filled="false" stroked="false">
              <v:textbox inset="0,0,0,0">
                <w:txbxContent>
                  <w:p>
                    <w:pPr>
                      <w:spacing w:line="208" w:lineRule="auto" w:before="9"/>
                      <w:ind w:left="60" w:right="0" w:hanging="60"/>
                      <w:jc w:val="left"/>
                      <w:rPr>
                        <w:sz w:val="12"/>
                      </w:rPr>
                    </w:pPr>
                    <w:r>
                      <w:rPr>
                        <w:sz w:val="12"/>
                      </w:rPr>
                      <w:t>Average Earnings Index (revised)</w:t>
                    </w:r>
                  </w:p>
                </w:txbxContent>
              </v:textbox>
              <w10:wrap type="none"/>
            </v:shape>
            <v:shape style="position:absolute;left:2560;top:1730;width:883;height:253" type="#_x0000_t202" filled="false" stroked="false">
              <v:textbox inset="0,0,0,0">
                <w:txbxContent>
                  <w:p>
                    <w:pPr>
                      <w:spacing w:line="208" w:lineRule="auto" w:before="9"/>
                      <w:ind w:left="60" w:right="0" w:hanging="60"/>
                      <w:jc w:val="left"/>
                      <w:rPr>
                        <w:sz w:val="12"/>
                      </w:rPr>
                    </w:pPr>
                    <w:r>
                      <w:rPr>
                        <w:sz w:val="12"/>
                      </w:rPr>
                      <w:t>Average Earnings Index (old)</w:t>
                    </w:r>
                  </w:p>
                </w:txbxContent>
              </v:textbox>
              <w10:wrap type="none"/>
            </v:shape>
            <w10:wrap type="none"/>
          </v:group>
        </w:pict>
      </w:r>
      <w:r>
        <w:rPr/>
        <w:pict>
          <v:shape style="position:absolute;margin-left:44.779999pt;margin-top:15.101549pt;width:5pt;height:.1pt;mso-position-horizontal-relative:page;mso-position-vertical-relative:paragraph;z-index:15930368" coordorigin="896,302" coordsize="100,0" path="m996,302l896,302m996,302l896,302e" filled="false" stroked="true" strokeweight=".5pt" strokecolor="#000000">
            <v:path arrowok="t"/>
            <v:stroke dashstyle="solid"/>
            <w10:wrap type="none"/>
          </v:shape>
        </w:pict>
      </w:r>
      <w:r>
        <w:rPr/>
        <w:pict>
          <v:shape style="position:absolute;margin-left:208.779999pt;margin-top:15.101549pt;width:5pt;height:.1pt;mso-position-horizontal-relative:page;mso-position-vertical-relative:paragraph;z-index:-21555200" coordorigin="4176,302" coordsize="100,0" path="m4276,302l4176,302m4276,302l4176,302e" filled="false" stroked="true" strokeweight=".5pt" strokecolor="#000000">
            <v:path arrowok="t"/>
            <v:stroke dashstyle="solid"/>
            <w10:wrap type="none"/>
          </v:shape>
        </w:pict>
      </w:r>
      <w:r>
        <w:rPr>
          <w:sz w:val="12"/>
        </w:rPr>
        <w:t>Percentage changes on a year earlier </w:t>
      </w:r>
      <w:r>
        <w:rPr>
          <w:spacing w:val="11"/>
          <w:sz w:val="12"/>
        </w:rPr>
        <w:t> </w:t>
      </w:r>
      <w:r>
        <w:rPr>
          <w:position w:val="-7"/>
          <w:sz w:val="12"/>
        </w:rPr>
        <w:t>5.5</w:t>
      </w:r>
    </w:p>
    <w:p>
      <w:pPr>
        <w:pStyle w:val="BodyText"/>
        <w:rPr>
          <w:sz w:val="20"/>
        </w:rPr>
      </w:pPr>
    </w:p>
    <w:p>
      <w:pPr>
        <w:spacing w:before="132"/>
        <w:ind w:left="3714" w:right="0" w:firstLine="0"/>
        <w:jc w:val="left"/>
        <w:rPr>
          <w:sz w:val="12"/>
        </w:rPr>
      </w:pPr>
      <w:r>
        <w:rPr/>
        <w:pict>
          <v:shape style="position:absolute;margin-left:208.779999pt;margin-top:10.70155pt;width:5pt;height:.1pt;mso-position-horizontal-relative:page;mso-position-vertical-relative:paragraph;z-index:15932928" coordorigin="4176,214" coordsize="100,0" path="m4276,214l4176,214m4276,214l4176,214e" filled="false" stroked="true" strokeweight=".5pt" strokecolor="#000000">
            <v:path arrowok="t"/>
            <v:stroke dashstyle="solid"/>
            <w10:wrap type="none"/>
          </v:shape>
        </w:pict>
      </w:r>
      <w:r>
        <w:rPr>
          <w:sz w:val="12"/>
        </w:rPr>
        <w:t>5.0</w:t>
      </w:r>
    </w:p>
    <w:p>
      <w:pPr>
        <w:pStyle w:val="BodyText"/>
        <w:rPr>
          <w:sz w:val="12"/>
        </w:rPr>
      </w:pPr>
    </w:p>
    <w:p>
      <w:pPr>
        <w:pStyle w:val="BodyText"/>
        <w:rPr>
          <w:sz w:val="12"/>
        </w:rPr>
      </w:pPr>
    </w:p>
    <w:p>
      <w:pPr>
        <w:spacing w:before="86"/>
        <w:ind w:left="3714" w:right="0" w:firstLine="0"/>
        <w:jc w:val="left"/>
        <w:rPr>
          <w:sz w:val="12"/>
        </w:rPr>
      </w:pPr>
      <w:r>
        <w:rPr/>
        <w:pict>
          <v:shape style="position:absolute;margin-left:208.779999pt;margin-top:8.401549pt;width:5pt;height:.1pt;mso-position-horizontal-relative:page;mso-position-vertical-relative:paragraph;z-index:15932416" coordorigin="4176,168" coordsize="100,0" path="m4276,168l4176,168m4276,168l4176,168e" filled="false" stroked="true" strokeweight=".5pt" strokecolor="#000000">
            <v:path arrowok="t"/>
            <v:stroke dashstyle="solid"/>
            <w10:wrap type="none"/>
          </v:shape>
        </w:pict>
      </w:r>
      <w:r>
        <w:rPr>
          <w:sz w:val="12"/>
        </w:rPr>
        <w:t>4.5</w:t>
      </w:r>
    </w:p>
    <w:p>
      <w:pPr>
        <w:pStyle w:val="BodyText"/>
        <w:rPr>
          <w:sz w:val="12"/>
        </w:rPr>
      </w:pPr>
    </w:p>
    <w:p>
      <w:pPr>
        <w:pStyle w:val="BodyText"/>
        <w:rPr>
          <w:sz w:val="12"/>
        </w:rPr>
      </w:pPr>
    </w:p>
    <w:p>
      <w:pPr>
        <w:spacing w:before="86"/>
        <w:ind w:left="3714" w:right="0" w:firstLine="0"/>
        <w:jc w:val="left"/>
        <w:rPr>
          <w:sz w:val="12"/>
        </w:rPr>
      </w:pPr>
      <w:r>
        <w:rPr/>
        <w:pict>
          <v:shape style="position:absolute;margin-left:208.779999pt;margin-top:8.401549pt;width:5pt;height:.1pt;mso-position-horizontal-relative:page;mso-position-vertical-relative:paragraph;z-index:15931904" coordorigin="4176,168" coordsize="100,0" path="m4276,168l4176,168m4276,168l4176,168e" filled="false" stroked="true" strokeweight=".5pt" strokecolor="#000000">
            <v:path arrowok="t"/>
            <v:stroke dashstyle="solid"/>
            <w10:wrap type="none"/>
          </v:shape>
        </w:pict>
      </w:r>
      <w:r>
        <w:rPr>
          <w:sz w:val="12"/>
        </w:rPr>
        <w:t>4.0</w:t>
      </w:r>
    </w:p>
    <w:p>
      <w:pPr>
        <w:pStyle w:val="BodyText"/>
        <w:rPr>
          <w:sz w:val="12"/>
        </w:rPr>
      </w:pPr>
    </w:p>
    <w:p>
      <w:pPr>
        <w:pStyle w:val="BodyText"/>
        <w:rPr>
          <w:sz w:val="12"/>
        </w:rPr>
      </w:pPr>
    </w:p>
    <w:p>
      <w:pPr>
        <w:spacing w:before="86"/>
        <w:ind w:left="3714" w:right="0" w:firstLine="0"/>
        <w:jc w:val="left"/>
        <w:rPr>
          <w:sz w:val="12"/>
        </w:rPr>
      </w:pPr>
      <w:r>
        <w:rPr/>
        <w:pict>
          <v:shape style="position:absolute;margin-left:208.779999pt;margin-top:8.401549pt;width:5pt;height:.1pt;mso-position-horizontal-relative:page;mso-position-vertical-relative:paragraph;z-index:15931392" coordorigin="4176,168" coordsize="100,0" path="m4276,168l4176,168m4276,168l4176,168e" filled="false" stroked="true" strokeweight=".5pt" strokecolor="#000000">
            <v:path arrowok="t"/>
            <v:stroke dashstyle="solid"/>
            <w10:wrap type="none"/>
          </v:shape>
        </w:pict>
      </w:r>
      <w:r>
        <w:rPr>
          <w:sz w:val="12"/>
        </w:rPr>
        <w:t>3.5</w:t>
      </w:r>
    </w:p>
    <w:p>
      <w:pPr>
        <w:pStyle w:val="BodyText"/>
        <w:rPr>
          <w:sz w:val="12"/>
        </w:rPr>
      </w:pPr>
    </w:p>
    <w:p>
      <w:pPr>
        <w:pStyle w:val="BodyText"/>
        <w:rPr>
          <w:sz w:val="12"/>
        </w:rPr>
      </w:pPr>
    </w:p>
    <w:p>
      <w:pPr>
        <w:spacing w:before="86"/>
        <w:ind w:left="3714" w:right="0" w:firstLine="0"/>
        <w:jc w:val="left"/>
        <w:rPr>
          <w:sz w:val="12"/>
        </w:rPr>
      </w:pPr>
      <w:r>
        <w:rPr/>
        <w:pict>
          <v:shape style="position:absolute;margin-left:208.779999pt;margin-top:8.401549pt;width:5pt;height:.1pt;mso-position-horizontal-relative:page;mso-position-vertical-relative:paragraph;z-index:15930880" coordorigin="4176,168" coordsize="100,0" path="m4276,168l4176,168m4276,168l4176,168e" filled="false" stroked="true" strokeweight=".5pt" strokecolor="#000000">
            <v:path arrowok="t"/>
            <v:stroke dashstyle="solid"/>
            <w10:wrap type="none"/>
          </v:shape>
        </w:pict>
      </w:r>
      <w:r>
        <w:rPr>
          <w:sz w:val="12"/>
        </w:rPr>
        <w:t>3.0</w:t>
      </w:r>
    </w:p>
    <w:p>
      <w:pPr>
        <w:pStyle w:val="BodyText"/>
        <w:rPr>
          <w:sz w:val="12"/>
        </w:rPr>
      </w:pPr>
    </w:p>
    <w:p>
      <w:pPr>
        <w:pStyle w:val="BodyText"/>
        <w:rPr>
          <w:sz w:val="12"/>
        </w:rPr>
      </w:pPr>
    </w:p>
    <w:p>
      <w:pPr>
        <w:spacing w:before="86"/>
        <w:ind w:left="3714" w:right="0" w:firstLine="0"/>
        <w:jc w:val="left"/>
        <w:rPr>
          <w:sz w:val="12"/>
        </w:rPr>
      </w:pPr>
      <w:r>
        <w:rPr/>
        <w:pict>
          <v:group style="position:absolute;margin-left:44.779999pt;margin-top:8.057565pt;width:170.4pt;height:8.6pt;mso-position-horizontal-relative:page;mso-position-vertical-relative:paragraph;z-index:15928320" coordorigin="896,161" coordsize="3408,172">
            <v:shape style="position:absolute;left:895;top:168;width:3380;height:160" coordorigin="896,168" coordsize="3380,160" path="m996,168l896,168m996,168l896,168m4276,168l4176,168m4276,168l4176,168m997,328l4168,328m1076,288l1076,328m1136,288l1136,328m1208,288l1208,328m1280,288l1280,328m1352,288l1352,328m1424,288l1424,328m1496,288l1496,328m1568,288l1568,328m1640,288l1640,328m1712,288l1712,328m1784,288l1784,328m1856,288l1856,328m1936,288l1936,328m1996,288l1996,328m2068,288l2068,328m2140,288l2140,328m2212,288l2212,328m2284,288l2284,328m2356,288l2356,328m2428,288l2428,328m2500,288l2500,328m2572,288l2572,328m2644,288l2644,328m2716,288l2716,328m2796,288l2796,328m2856,288l2856,328m2928,288l2928,328m3000,288l3000,328m3072,288l3072,328m3144,288l3144,328m3216,288l3216,328m3288,288l3288,328m3360,288l3360,328m3432,288l3432,328m3504,288l3504,328m3576,288l3576,328m3656,288l3656,328m3716,288l3716,328m3791,288l3791,328m3866,288l3866,328m3941,288l3941,328m4016,288l4016,328m4076,288l4076,328m1076,228l1076,328m1936,228l1936,328m2796,228l2796,328m3656,228l3656,328m4276,328l4176,328m996,328l896,328e" filled="false" stroked="true" strokeweight=".5pt" strokecolor="#000000">
              <v:path arrowok="t"/>
              <v:stroke dashstyle="solid"/>
            </v:shape>
            <v:shape style="position:absolute;left:978;top:166;width:3320;height:162" coordorigin="978,166" coordsize="3320,162" path="m4278,168l4278,211,4258,227,4298,241,4258,261,4298,277,4275,287,4274,328m998,166l998,209,978,225,1018,239,978,259,1018,275,995,285,994,326e" filled="false" stroked="true" strokeweight=".5pt" strokecolor="#000000">
              <v:path arrowok="t"/>
              <v:stroke dashstyle="solid"/>
            </v:shape>
            <w10:wrap type="none"/>
          </v:group>
        </w:pict>
      </w:r>
      <w:r>
        <w:rPr>
          <w:sz w:val="12"/>
        </w:rPr>
        <w:t>2.5</w:t>
      </w:r>
    </w:p>
    <w:p>
      <w:pPr>
        <w:spacing w:line="127" w:lineRule="exact" w:before="40"/>
        <w:ind w:left="3714" w:right="0" w:firstLine="0"/>
        <w:jc w:val="left"/>
        <w:rPr>
          <w:sz w:val="12"/>
        </w:rPr>
      </w:pPr>
      <w:r>
        <w:rPr>
          <w:sz w:val="12"/>
        </w:rPr>
        <w:t>0.0</w:t>
      </w:r>
    </w:p>
    <w:p>
      <w:pPr>
        <w:tabs>
          <w:tab w:pos="1678" w:val="left" w:leader="none"/>
          <w:tab w:pos="2552" w:val="left" w:leader="none"/>
          <w:tab w:pos="3192" w:val="left" w:leader="none"/>
        </w:tabs>
        <w:spacing w:line="127" w:lineRule="exact" w:before="0"/>
        <w:ind w:left="672" w:right="0" w:firstLine="0"/>
        <w:jc w:val="left"/>
        <w:rPr>
          <w:sz w:val="12"/>
        </w:rPr>
      </w:pPr>
      <w:r>
        <w:rPr>
          <w:sz w:val="12"/>
        </w:rPr>
        <w:t>1995</w:t>
        <w:tab/>
        <w:t>96</w:t>
        <w:tab/>
        <w:t>97</w:t>
        <w:tab/>
        <w:t>98</w:t>
      </w:r>
    </w:p>
    <w:p>
      <w:pPr>
        <w:spacing w:before="47"/>
        <w:ind w:left="205" w:right="0" w:firstLine="0"/>
        <w:jc w:val="left"/>
        <w:rPr>
          <w:sz w:val="12"/>
        </w:rPr>
      </w:pPr>
      <w:r>
        <w:rPr>
          <w:sz w:val="12"/>
        </w:rPr>
        <w:t>(a) Seasonally adjusted, whole-economy figures.</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Heading7"/>
        <w:spacing w:before="72"/>
        <w:ind w:left="205"/>
      </w:pPr>
      <w:r>
        <w:rPr>
          <w:color w:val="0093C1"/>
        </w:rPr>
        <w:t>Table 3.A</w:t>
      </w:r>
    </w:p>
    <w:p>
      <w:pPr>
        <w:spacing w:before="10"/>
        <w:ind w:left="205" w:right="0" w:firstLine="0"/>
        <w:jc w:val="left"/>
        <w:rPr>
          <w:sz w:val="12"/>
        </w:rPr>
      </w:pPr>
      <w:r>
        <w:rPr>
          <w:b/>
          <w:color w:val="0093C1"/>
          <w:sz w:val="20"/>
        </w:rPr>
        <w:t>The variability of official earnings data</w:t>
      </w:r>
      <w:r>
        <w:rPr>
          <w:position w:val="4"/>
          <w:sz w:val="12"/>
        </w:rPr>
        <w:t>(a)</w:t>
      </w:r>
    </w:p>
    <w:p>
      <w:pPr>
        <w:tabs>
          <w:tab w:pos="1415" w:val="left" w:leader="none"/>
          <w:tab w:pos="2395" w:val="left" w:leader="none"/>
          <w:tab w:pos="3095" w:val="left" w:leader="none"/>
          <w:tab w:pos="3685" w:val="left" w:leader="none"/>
          <w:tab w:pos="4350" w:val="right" w:leader="none"/>
        </w:tabs>
        <w:spacing w:line="280" w:lineRule="atLeast" w:before="81"/>
        <w:ind w:left="205" w:right="38" w:firstLine="820"/>
        <w:jc w:val="left"/>
        <w:rPr>
          <w:sz w:val="14"/>
        </w:rPr>
      </w:pPr>
      <w:r>
        <w:rPr>
          <w:sz w:val="14"/>
          <w:u w:val="single"/>
        </w:rPr>
        <w:t>Whole-economy</w:t>
      </w:r>
      <w:r>
        <w:rPr>
          <w:sz w:val="14"/>
        </w:rPr>
        <w:t> </w:t>
      </w:r>
      <w:r>
        <w:rPr>
          <w:sz w:val="14"/>
          <w:u w:val="single"/>
        </w:rPr>
        <w:t>Manufacturing</w:t>
      </w:r>
      <w:r>
        <w:rPr>
          <w:sz w:val="14"/>
        </w:rPr>
        <w:t> </w:t>
      </w:r>
      <w:r>
        <w:rPr>
          <w:sz w:val="14"/>
          <w:u w:val="single"/>
        </w:rPr>
        <w:t>Services</w:t>
      </w:r>
      <w:r>
        <w:rPr>
          <w:sz w:val="14"/>
        </w:rPr>
        <w:t> </w:t>
      </w:r>
      <w:r>
        <w:rPr>
          <w:sz w:val="14"/>
          <w:u w:val="single"/>
        </w:rPr>
        <w:t>Private</w:t>
      </w:r>
      <w:r>
        <w:rPr>
          <w:sz w:val="14"/>
        </w:rPr>
        <w:t>  </w:t>
      </w:r>
      <w:r>
        <w:rPr>
          <w:spacing w:val="-3"/>
          <w:sz w:val="14"/>
          <w:u w:val="single"/>
        </w:rPr>
        <w:t>Public</w:t>
      </w:r>
      <w:r>
        <w:rPr>
          <w:spacing w:val="-3"/>
          <w:sz w:val="14"/>
        </w:rPr>
        <w:t> </w:t>
      </w:r>
      <w:r>
        <w:rPr>
          <w:sz w:val="14"/>
        </w:rPr>
        <w:t>New AEI</w:t>
        <w:tab/>
        <w:t>0.8</w:t>
        <w:tab/>
        <w:t>0.6</w:t>
        <w:tab/>
        <w:t>1.1</w:t>
        <w:tab/>
        <w:t>1.0</w:t>
        <w:tab/>
        <w:t>0.8</w:t>
      </w:r>
    </w:p>
    <w:p>
      <w:pPr>
        <w:tabs>
          <w:tab w:pos="1414" w:val="left" w:leader="none"/>
          <w:tab w:pos="2394" w:val="left" w:leader="none"/>
          <w:tab w:pos="3094" w:val="left" w:leader="none"/>
          <w:tab w:pos="3684" w:val="left" w:leader="none"/>
          <w:tab w:pos="4349" w:val="right" w:leader="none"/>
        </w:tabs>
        <w:spacing w:line="140" w:lineRule="exact" w:before="0"/>
        <w:ind w:left="205" w:right="0" w:firstLine="0"/>
        <w:jc w:val="left"/>
        <w:rPr>
          <w:sz w:val="14"/>
        </w:rPr>
      </w:pPr>
      <w:r>
        <w:rPr>
          <w:sz w:val="14"/>
        </w:rPr>
        <w:t>Old AEI</w:t>
        <w:tab/>
        <w:t>0.6</w:t>
        <w:tab/>
        <w:t>0.5</w:t>
        <w:tab/>
        <w:t>0.9</w:t>
        <w:tab/>
        <w:t>0.7</w:t>
        <w:tab/>
        <w:t>0.5</w:t>
      </w:r>
    </w:p>
    <w:p>
      <w:pPr>
        <w:spacing w:before="124"/>
        <w:ind w:left="205" w:right="0" w:firstLine="0"/>
        <w:jc w:val="left"/>
        <w:rPr>
          <w:sz w:val="12"/>
        </w:rPr>
      </w:pPr>
      <w:r>
        <w:rPr>
          <w:sz w:val="12"/>
        </w:rPr>
        <w:t>Sources: ONS and Bank of England.</w:t>
      </w:r>
    </w:p>
    <w:p>
      <w:pPr>
        <w:spacing w:line="208" w:lineRule="auto" w:before="117"/>
        <w:ind w:left="445" w:right="0" w:hanging="240"/>
        <w:jc w:val="left"/>
        <w:rPr>
          <w:sz w:val="12"/>
        </w:rPr>
      </w:pPr>
      <w:r>
        <w:rPr>
          <w:sz w:val="12"/>
        </w:rPr>
        <w:t>(a) Figures refer to the standard deviation of the twelve-month growth in earnings between 1994–98.</w:t>
      </w:r>
    </w:p>
    <w:p>
      <w:pPr>
        <w:pStyle w:val="Heading2"/>
        <w:tabs>
          <w:tab w:pos="4400" w:val="left" w:leader="none"/>
          <w:tab w:pos="5704" w:val="left" w:leader="none"/>
        </w:tabs>
        <w:spacing w:before="183"/>
        <w:ind w:left="205"/>
      </w:pPr>
      <w:r>
        <w:rPr>
          <w:b w:val="0"/>
        </w:rPr>
        <w:br w:type="column"/>
      </w:r>
      <w:r>
        <w:rPr>
          <w:color w:val="009483"/>
          <w:u w:val="thick" w:color="0093C1"/>
        </w:rPr>
        <w:t>3.1</w:t>
        <w:tab/>
        <w:t>Earnings</w:t>
        <w:tab/>
      </w:r>
    </w:p>
    <w:p>
      <w:pPr>
        <w:pStyle w:val="BodyText"/>
        <w:spacing w:before="5"/>
        <w:rPr>
          <w:b/>
          <w:sz w:val="25"/>
        </w:rPr>
      </w:pPr>
    </w:p>
    <w:p>
      <w:pPr>
        <w:pStyle w:val="Heading4"/>
        <w:spacing w:line="242" w:lineRule="auto"/>
        <w:ind w:left="205" w:right="270"/>
      </w:pPr>
      <w:r>
        <w:rPr/>
        <w:t>Recent average earnings growth has been lower than expected at the time of the August </w:t>
      </w:r>
      <w:r>
        <w:rPr>
          <w:i/>
        </w:rPr>
        <w:t>Report</w:t>
      </w:r>
      <w:r>
        <w:rPr/>
        <w:t>. Headline whole-economy average earnings grew by 4.6% in the year to July, compared with 5.2% for June and 5.0% in May.</w:t>
      </w:r>
      <w:r>
        <w:rPr>
          <w:position w:val="5"/>
          <w:sz w:val="16"/>
        </w:rPr>
        <w:t>(1) </w:t>
      </w:r>
      <w:r>
        <w:rPr/>
        <w:t>Chart 3.1 shows that, on the new series, the headline rate of annual earnings growth fell during 1995, then rose from about 3% to more than 5% in early 1997. It fell to below 4% in early 1998, then peaked above 5% before declining more recently.</w:t>
      </w:r>
    </w:p>
    <w:p>
      <w:pPr>
        <w:pStyle w:val="BodyText"/>
        <w:spacing w:before="9"/>
        <w:rPr>
          <w:sz w:val="21"/>
        </w:rPr>
      </w:pPr>
    </w:p>
    <w:p>
      <w:pPr>
        <w:spacing w:line="242" w:lineRule="auto" w:before="1"/>
        <w:ind w:left="205" w:right="270" w:firstLine="0"/>
        <w:jc w:val="left"/>
        <w:rPr>
          <w:sz w:val="24"/>
        </w:rPr>
      </w:pPr>
      <w:r>
        <w:rPr>
          <w:sz w:val="24"/>
        </w:rPr>
        <w:t>Revisions and rebasing of the Average Earnings Index (AEI) significantly changed the reported profile of nominal earnings growth in 1997 and 1998 (see</w:t>
      </w:r>
    </w:p>
    <w:p>
      <w:pPr>
        <w:spacing w:line="242" w:lineRule="auto" w:before="3"/>
        <w:ind w:left="205" w:right="315" w:firstLine="0"/>
        <w:jc w:val="left"/>
        <w:rPr>
          <w:sz w:val="24"/>
        </w:rPr>
      </w:pPr>
      <w:r>
        <w:rPr>
          <w:sz w:val="24"/>
        </w:rPr>
        <w:t>Chart 3.2). The new methodology attaches greater weight to small firms in the sample, and has changed the split between private and public sector pay. But it is difficult to draw inferences from the revised series, for three reasons. First, the changes in methodology have added to the volatility of measured earnings growth.</w:t>
      </w:r>
    </w:p>
    <w:p>
      <w:pPr>
        <w:spacing w:line="242" w:lineRule="auto" w:before="8"/>
        <w:ind w:left="205" w:right="315" w:firstLine="0"/>
        <w:jc w:val="left"/>
        <w:rPr>
          <w:sz w:val="24"/>
        </w:rPr>
      </w:pPr>
      <w:r>
        <w:rPr>
          <w:sz w:val="24"/>
        </w:rPr>
        <w:t>Table 3.A shows that the standard deviation of earnings growth in the whole economy and in different sectors between 1994–98 is higher on the new AEI than on the older methodology. Second, the revised series does not sit well with other evidence on earnings behaviour, including available evidence on settlements, the New Earnings Survey (NES) and the National Accounts data.</w:t>
      </w:r>
    </w:p>
    <w:p>
      <w:pPr>
        <w:spacing w:before="9"/>
        <w:ind w:left="205" w:right="0" w:firstLine="0"/>
        <w:jc w:val="left"/>
        <w:rPr>
          <w:sz w:val="24"/>
        </w:rPr>
      </w:pPr>
      <w:r>
        <w:rPr>
          <w:sz w:val="24"/>
        </w:rPr>
        <w:t>And third, the marked slowdown in earnings growth</w:t>
      </w:r>
    </w:p>
    <w:p>
      <w:pPr>
        <w:pStyle w:val="BodyText"/>
        <w:spacing w:before="9"/>
        <w:rPr>
          <w:sz w:val="9"/>
        </w:rPr>
      </w:pPr>
      <w:r>
        <w:rPr/>
        <w:pict>
          <v:shape style="position:absolute;margin-left:279pt;margin-top:7.701765pt;width:278pt;height:.1pt;mso-position-horizontal-relative:page;mso-position-vertical-relative:paragraph;z-index:-15537664;mso-wrap-distance-left:0;mso-wrap-distance-right:0" coordorigin="5580,154" coordsize="5560,0" path="m5580,154l11140,154e" filled="false" stroked="true" strokeweight=".125pt" strokecolor="#000000">
            <v:path arrowok="t"/>
            <v:stroke dashstyle="solid"/>
            <w10:wrap type="topAndBottom"/>
          </v:shape>
        </w:pict>
      </w:r>
    </w:p>
    <w:p>
      <w:pPr>
        <w:spacing w:before="0"/>
        <w:ind w:left="205" w:right="0" w:firstLine="0"/>
        <w:jc w:val="left"/>
        <w:rPr>
          <w:sz w:val="16"/>
        </w:rPr>
      </w:pPr>
      <w:r>
        <w:rPr>
          <w:sz w:val="16"/>
        </w:rPr>
        <w:t>(1) Based on a centred three-month moving average of earnings growth.</w:t>
      </w:r>
    </w:p>
    <w:p>
      <w:pPr>
        <w:spacing w:after="0"/>
        <w:jc w:val="left"/>
        <w:rPr>
          <w:sz w:val="16"/>
        </w:rPr>
        <w:sectPr>
          <w:type w:val="continuous"/>
          <w:pgSz w:w="11900" w:h="16840"/>
          <w:pgMar w:top="1220" w:bottom="280" w:left="620" w:right="520"/>
          <w:cols w:num="2" w:equalWidth="0">
            <w:col w:w="4484" w:space="291"/>
            <w:col w:w="5985"/>
          </w:cols>
        </w:sectPr>
      </w:pPr>
    </w:p>
    <w:p>
      <w:pPr>
        <w:pStyle w:val="BodyText"/>
        <w:rPr>
          <w:sz w:val="20"/>
        </w:rPr>
      </w:pPr>
    </w:p>
    <w:p>
      <w:pPr>
        <w:spacing w:after="0"/>
        <w:rPr>
          <w:sz w:val="20"/>
        </w:rPr>
        <w:sectPr>
          <w:headerReference w:type="default" r:id="rId66"/>
          <w:headerReference w:type="even" r:id="rId67"/>
          <w:footerReference w:type="default" r:id="rId68"/>
          <w:footerReference w:type="even" r:id="rId69"/>
          <w:pgSz w:w="11900" w:h="16840"/>
          <w:pgMar w:header="586" w:footer="617" w:top="780" w:bottom="800" w:left="620" w:right="520"/>
          <w:pgNumType w:start="25"/>
        </w:sectPr>
      </w:pPr>
    </w:p>
    <w:p>
      <w:pPr>
        <w:pStyle w:val="BodyText"/>
        <w:spacing w:before="6"/>
        <w:rPr>
          <w:sz w:val="20"/>
        </w:rPr>
      </w:pPr>
    </w:p>
    <w:p>
      <w:pPr>
        <w:pStyle w:val="Heading7"/>
        <w:spacing w:before="0"/>
        <w:ind w:left="190"/>
      </w:pPr>
      <w:r>
        <w:rPr>
          <w:color w:val="0093C1"/>
        </w:rPr>
        <w:t>Chart 3.3</w:t>
      </w:r>
    </w:p>
    <w:p>
      <w:pPr>
        <w:spacing w:line="249" w:lineRule="auto" w:before="10"/>
        <w:ind w:left="190" w:right="0" w:firstLine="0"/>
        <w:jc w:val="left"/>
        <w:rPr>
          <w:sz w:val="12"/>
        </w:rPr>
      </w:pPr>
      <w:r>
        <w:rPr>
          <w:b/>
          <w:color w:val="0093C1"/>
          <w:sz w:val="20"/>
        </w:rPr>
        <w:t>Manufacturing and service sector </w:t>
      </w:r>
      <w:r>
        <w:rPr>
          <w:b/>
          <w:color w:val="0093C1"/>
          <w:spacing w:val="-3"/>
          <w:sz w:val="20"/>
        </w:rPr>
        <w:t>earnings </w:t>
      </w:r>
      <w:r>
        <w:rPr>
          <w:b/>
          <w:color w:val="0093C1"/>
          <w:sz w:val="20"/>
        </w:rPr>
        <w:t>growth</w:t>
      </w:r>
      <w:r>
        <w:rPr>
          <w:position w:val="4"/>
          <w:sz w:val="12"/>
        </w:rPr>
        <w:t>(a)</w:t>
      </w:r>
    </w:p>
    <w:p>
      <w:pPr>
        <w:spacing w:before="14"/>
        <w:ind w:left="1750" w:right="0" w:firstLine="0"/>
        <w:jc w:val="left"/>
        <w:rPr>
          <w:sz w:val="11"/>
        </w:rPr>
      </w:pPr>
      <w:r>
        <w:rPr/>
        <w:pict>
          <v:group style="position:absolute;margin-left:43.974998pt;margin-top:7.338782pt;width:157.7pt;height:126.15pt;mso-position-horizontal-relative:page;mso-position-vertical-relative:paragraph;z-index:-21553152" coordorigin="879,147" coordsize="3154,2523">
            <v:shape style="position:absolute;left:879;top:151;width:95;height:2508" coordorigin="879,152" coordsize="95,2508" path="m974,2660l879,2660m974,2299l879,2299m974,1938l879,1938m974,1577l879,1577m974,1216l879,1216m974,874l879,874m974,513l879,513m974,152l879,152e" filled="false" stroked="true" strokeweight=".475pt" strokecolor="#000000">
              <v:path arrowok="t"/>
              <v:stroke dashstyle="solid"/>
            </v:shape>
            <v:shape style="position:absolute;left:1050;top:227;width:2850;height:2432" coordorigin="1050,228" coordsize="2850,2432" path="m1050,2660l1145,2660,1240,2432,1335,2299,1430,1862,1525,1577,1620,1444,1715,1444,1810,1292,1905,1216,2000,1007,2190,437,2285,228,2380,228,2475,361,2570,646,2665,874,2760,798,2855,950,2950,1083,3045,1292,3140,1368,3235,1520,3330,1577,3425,1938,3520,1938,3615,1292,3805,722,3900,1216e" filled="false" stroked="true" strokeweight=".95pt" strokecolor="#faab54">
              <v:path arrowok="t"/>
              <v:stroke dashstyle="solid"/>
            </v:shape>
            <v:shape style="position:absolute;left:1050;top:645;width:2850;height:1216" coordorigin="1050,646" coordsize="2850,1216" path="m1050,1862l1145,1653,1240,1729,1335,1653,1430,1729,1525,1729,1620,1653,1810,1805,2000,1653,2095,1729,2190,1653,2285,1729,2475,1729,2570,1577,2665,1520,2760,1368,2855,1444,2950,1292,3045,1292,3140,1159,3235,1083,3330,950,3425,798,3615,646,3710,722,3805,722,3900,874e" filled="false" stroked="true" strokeweight=".95pt" strokecolor="#0066a5">
              <v:path arrowok="t"/>
              <v:stroke dashstyle="solid"/>
            </v:shape>
            <v:shape style="position:absolute;left:3938;top:512;width:95;height:2147" coordorigin="3938,513" coordsize="95,2147" path="m4033,2660l3938,2660m4033,2299l3938,2299m4033,1938l3938,1938m4033,1577l3938,1577m4033,1216l3938,1216m4033,874l3938,874m4033,513l3938,513e" filled="false" stroked="true" strokeweight=".475pt" strokecolor="#000000">
              <v:path arrowok="t"/>
              <v:stroke dashstyle="solid"/>
            </v:shape>
            <v:shape style="position:absolute;left:1332;top:844;width:663;height:127" type="#_x0000_t202" filled="false" stroked="false">
              <v:textbox inset="0,0,0,0">
                <w:txbxContent>
                  <w:p>
                    <w:pPr>
                      <w:spacing w:line="125" w:lineRule="exact" w:before="0"/>
                      <w:ind w:left="0" w:right="0" w:firstLine="0"/>
                      <w:jc w:val="left"/>
                      <w:rPr>
                        <w:sz w:val="11"/>
                      </w:rPr>
                    </w:pPr>
                    <w:r>
                      <w:rPr>
                        <w:w w:val="105"/>
                        <w:sz w:val="11"/>
                      </w:rPr>
                      <w:t>Service sector</w:t>
                    </w:r>
                  </w:p>
                </w:txbxContent>
              </v:textbox>
              <w10:wrap type="none"/>
            </v:shape>
            <v:shape style="position:absolute;left:1934;top:1750;width:999;height:127" type="#_x0000_t202" filled="false" stroked="false">
              <v:textbox inset="0,0,0,0">
                <w:txbxContent>
                  <w:p>
                    <w:pPr>
                      <w:spacing w:line="125" w:lineRule="exact" w:before="0"/>
                      <w:ind w:left="0" w:right="0" w:firstLine="0"/>
                      <w:jc w:val="left"/>
                      <w:rPr>
                        <w:sz w:val="11"/>
                      </w:rPr>
                    </w:pPr>
                    <w:r>
                      <w:rPr>
                        <w:w w:val="105"/>
                        <w:sz w:val="11"/>
                      </w:rPr>
                      <w:t>Manufacturing sector</w:t>
                    </w:r>
                  </w:p>
                </w:txbxContent>
              </v:textbox>
              <w10:wrap type="none"/>
            </v:shape>
            <w10:wrap type="none"/>
          </v:group>
        </w:pict>
      </w:r>
      <w:r>
        <w:rPr>
          <w:w w:val="105"/>
          <w:sz w:val="11"/>
        </w:rPr>
        <w:t>Percentage changes on a year earl</w:t>
      </w:r>
      <w:r>
        <w:rPr>
          <w:w w:val="105"/>
          <w:sz w:val="11"/>
          <w:u w:val="single"/>
        </w:rPr>
        <w:t>ie</w:t>
      </w:r>
      <w:r>
        <w:rPr>
          <w:w w:val="105"/>
          <w:sz w:val="11"/>
        </w:rPr>
        <w:t>r</w:t>
      </w:r>
      <w:r>
        <w:rPr>
          <w:spacing w:val="14"/>
          <w:w w:val="105"/>
          <w:sz w:val="11"/>
        </w:rPr>
        <w:t> </w:t>
      </w:r>
      <w:r>
        <w:rPr>
          <w:w w:val="105"/>
          <w:position w:val="-5"/>
          <w:sz w:val="11"/>
        </w:rPr>
        <w:t>6.0</w:t>
      </w:r>
    </w:p>
    <w:p>
      <w:pPr>
        <w:pStyle w:val="BodyText"/>
        <w:spacing w:before="8"/>
        <w:rPr>
          <w:sz w:val="20"/>
        </w:rPr>
      </w:pPr>
    </w:p>
    <w:p>
      <w:pPr>
        <w:spacing w:before="0"/>
        <w:ind w:left="3480" w:right="0" w:firstLine="0"/>
        <w:jc w:val="left"/>
        <w:rPr>
          <w:sz w:val="11"/>
        </w:rPr>
      </w:pPr>
      <w:r>
        <w:rPr>
          <w:w w:val="105"/>
          <w:sz w:val="11"/>
        </w:rPr>
        <w:t>5.5</w:t>
      </w:r>
    </w:p>
    <w:p>
      <w:pPr>
        <w:pStyle w:val="BodyText"/>
        <w:rPr>
          <w:sz w:val="12"/>
        </w:rPr>
      </w:pPr>
    </w:p>
    <w:p>
      <w:pPr>
        <w:spacing w:before="96"/>
        <w:ind w:left="3480" w:right="0" w:firstLine="0"/>
        <w:jc w:val="left"/>
        <w:rPr>
          <w:sz w:val="11"/>
        </w:rPr>
      </w:pPr>
      <w:r>
        <w:rPr>
          <w:w w:val="105"/>
          <w:sz w:val="11"/>
        </w:rPr>
        <w:t>5.0</w:t>
      </w:r>
    </w:p>
    <w:p>
      <w:pPr>
        <w:pStyle w:val="BodyText"/>
        <w:rPr>
          <w:sz w:val="12"/>
        </w:rPr>
      </w:pPr>
    </w:p>
    <w:p>
      <w:pPr>
        <w:spacing w:before="78"/>
        <w:ind w:left="3480" w:right="0" w:firstLine="0"/>
        <w:jc w:val="left"/>
        <w:rPr>
          <w:sz w:val="11"/>
        </w:rPr>
      </w:pPr>
      <w:r>
        <w:rPr>
          <w:w w:val="105"/>
          <w:sz w:val="11"/>
        </w:rPr>
        <w:t>4.5</w:t>
      </w:r>
    </w:p>
    <w:p>
      <w:pPr>
        <w:pStyle w:val="BodyText"/>
        <w:rPr>
          <w:sz w:val="12"/>
        </w:rPr>
      </w:pPr>
    </w:p>
    <w:p>
      <w:pPr>
        <w:spacing w:before="96"/>
        <w:ind w:left="3480" w:right="0" w:firstLine="0"/>
        <w:jc w:val="left"/>
        <w:rPr>
          <w:sz w:val="11"/>
        </w:rPr>
      </w:pPr>
      <w:r>
        <w:rPr>
          <w:w w:val="105"/>
          <w:sz w:val="11"/>
        </w:rPr>
        <w:t>4.0</w:t>
      </w:r>
    </w:p>
    <w:p>
      <w:pPr>
        <w:pStyle w:val="BodyText"/>
        <w:rPr>
          <w:sz w:val="12"/>
        </w:rPr>
      </w:pPr>
    </w:p>
    <w:p>
      <w:pPr>
        <w:spacing w:before="97"/>
        <w:ind w:left="3480" w:right="0" w:firstLine="0"/>
        <w:jc w:val="left"/>
        <w:rPr>
          <w:sz w:val="11"/>
        </w:rPr>
      </w:pPr>
      <w:r>
        <w:rPr>
          <w:w w:val="105"/>
          <w:sz w:val="11"/>
        </w:rPr>
        <w:t>3.5</w:t>
      </w:r>
    </w:p>
    <w:p>
      <w:pPr>
        <w:pStyle w:val="BodyText"/>
        <w:rPr>
          <w:sz w:val="12"/>
        </w:rPr>
      </w:pPr>
    </w:p>
    <w:p>
      <w:pPr>
        <w:spacing w:before="96"/>
        <w:ind w:left="3480" w:right="0" w:firstLine="0"/>
        <w:jc w:val="left"/>
        <w:rPr>
          <w:sz w:val="11"/>
        </w:rPr>
      </w:pPr>
      <w:r>
        <w:rPr>
          <w:w w:val="105"/>
          <w:sz w:val="11"/>
        </w:rPr>
        <w:t>3.0</w:t>
      </w:r>
    </w:p>
    <w:p>
      <w:pPr>
        <w:pStyle w:val="BodyText"/>
        <w:rPr>
          <w:sz w:val="12"/>
        </w:rPr>
      </w:pPr>
    </w:p>
    <w:p>
      <w:pPr>
        <w:spacing w:before="97"/>
        <w:ind w:left="3480" w:right="0" w:firstLine="0"/>
        <w:jc w:val="left"/>
        <w:rPr>
          <w:sz w:val="11"/>
        </w:rPr>
      </w:pPr>
      <w:r>
        <w:rPr>
          <w:w w:val="105"/>
          <w:sz w:val="11"/>
        </w:rPr>
        <w:t>2.5</w:t>
      </w:r>
    </w:p>
    <w:p>
      <w:pPr>
        <w:pStyle w:val="BodyText"/>
        <w:rPr>
          <w:sz w:val="12"/>
        </w:rPr>
      </w:pPr>
    </w:p>
    <w:p>
      <w:pPr>
        <w:spacing w:before="77"/>
        <w:ind w:left="3480" w:right="0" w:firstLine="0"/>
        <w:jc w:val="left"/>
        <w:rPr>
          <w:sz w:val="11"/>
        </w:rPr>
      </w:pPr>
      <w:r>
        <w:rPr/>
        <w:pict>
          <v:group style="position:absolute;margin-left:43.974998pt;margin-top:7.322278pt;width:158.9pt;height:8.1pt;mso-position-horizontal-relative:page;mso-position-vertical-relative:paragraph;z-index:15933952" coordorigin="879,146" coordsize="3178,162">
            <v:shape style="position:absolute;left:879;top:151;width:3154;height:152" coordorigin="879,151" coordsize="3154,152" path="m974,151l879,151m879,303l4030,303m1145,303l1145,265m1240,303l1240,265m1335,303l1335,265m1430,303l1430,265m1525,303l1525,265m1620,303l1620,265m1715,303l1715,265m1810,303l1810,265m1905,303l1905,265m2000,303l2000,265m2095,303l2095,265m2190,303l2190,265m2285,303l2285,265m2380,303l2380,265m2475,303l2475,265m2570,303l2570,265m2665,303l2665,265m2760,303l2760,265m2855,303l2855,265m2950,303l2950,265m3045,303l3045,265m3140,303l3140,265m3235,303l3235,265m3330,303l3330,265m3425,303l3425,265m3520,303l3520,265m3615,303l3615,265m3710,303l3710,265m3805,303l3805,265m3900,303l3900,265m1067,299l1067,204m2190,303l2190,208m3330,303l3330,208m4033,151l3938,151m974,303l879,303e" filled="false" stroked="true" strokeweight=".475pt" strokecolor="#000000">
              <v:path arrowok="t"/>
              <v:stroke dashstyle="solid"/>
            </v:shape>
            <v:shape style="position:absolute;left:960;top:151;width:3093;height:152" coordorigin="960,151" coordsize="3093,152" path="m4033,151l4033,194,4014,209,4052,222,4014,241,4052,257,4030,267,4030,303m979,151l979,194,960,209,998,222,960,241,998,257,976,267,976,303e" filled="false" stroked="true" strokeweight=".475pt" strokecolor="#000000">
              <v:path arrowok="t"/>
              <v:stroke dashstyle="solid"/>
            </v:shape>
            <w10:wrap type="none"/>
          </v:group>
        </w:pict>
      </w:r>
      <w:r>
        <w:rPr>
          <w:w w:val="105"/>
          <w:sz w:val="11"/>
        </w:rPr>
        <w:t>2.0</w:t>
      </w:r>
    </w:p>
    <w:p>
      <w:pPr>
        <w:spacing w:line="120" w:lineRule="exact" w:before="7"/>
        <w:ind w:left="3480" w:right="0" w:firstLine="0"/>
        <w:jc w:val="left"/>
        <w:rPr>
          <w:sz w:val="11"/>
        </w:rPr>
      </w:pPr>
      <w:r>
        <w:rPr>
          <w:w w:val="105"/>
          <w:sz w:val="11"/>
        </w:rPr>
        <w:t>0.0</w:t>
      </w:r>
    </w:p>
    <w:p>
      <w:pPr>
        <w:tabs>
          <w:tab w:pos="1915" w:val="left" w:leader="none"/>
          <w:tab w:pos="3055" w:val="left" w:leader="none"/>
        </w:tabs>
        <w:spacing w:line="120" w:lineRule="exact" w:before="0"/>
        <w:ind w:left="832" w:right="0" w:firstLine="0"/>
        <w:jc w:val="left"/>
        <w:rPr>
          <w:sz w:val="11"/>
        </w:rPr>
      </w:pPr>
      <w:r>
        <w:rPr>
          <w:w w:val="105"/>
          <w:sz w:val="11"/>
        </w:rPr>
        <w:t>1996</w:t>
        <w:tab/>
        <w:t>97</w:t>
        <w:tab/>
        <w:t>98</w:t>
      </w:r>
    </w:p>
    <w:p>
      <w:pPr>
        <w:spacing w:before="20"/>
        <w:ind w:left="165" w:right="0" w:firstLine="0"/>
        <w:jc w:val="left"/>
        <w:rPr>
          <w:sz w:val="12"/>
        </w:rPr>
      </w:pPr>
      <w:r>
        <w:rPr>
          <w:sz w:val="12"/>
        </w:rPr>
        <w:t>Source: ONS.</w:t>
      </w:r>
    </w:p>
    <w:p>
      <w:pPr>
        <w:spacing w:before="102"/>
        <w:ind w:left="165" w:right="0" w:firstLine="0"/>
        <w:jc w:val="left"/>
        <w:rPr>
          <w:sz w:val="12"/>
        </w:rPr>
      </w:pPr>
      <w:r>
        <w:rPr>
          <w:sz w:val="12"/>
        </w:rPr>
        <w:t>(a) Headline rate, seasonally adjusted.</w:t>
      </w:r>
    </w:p>
    <w:p>
      <w:pPr>
        <w:pStyle w:val="Heading7"/>
        <w:spacing w:before="103"/>
        <w:ind w:left="190"/>
      </w:pPr>
      <w:r>
        <w:rPr>
          <w:color w:val="0093C1"/>
        </w:rPr>
        <w:t>Chart 3.4</w:t>
      </w:r>
    </w:p>
    <w:p>
      <w:pPr>
        <w:spacing w:line="249" w:lineRule="auto" w:before="10"/>
        <w:ind w:left="190" w:right="20" w:firstLine="0"/>
        <w:jc w:val="left"/>
        <w:rPr>
          <w:b/>
          <w:sz w:val="20"/>
        </w:rPr>
      </w:pPr>
      <w:r>
        <w:rPr>
          <w:b/>
          <w:color w:val="0093C1"/>
          <w:sz w:val="20"/>
        </w:rPr>
        <w:t>Regular pay growth and the contribution of bonuses to overall earnings growth</w:t>
      </w:r>
    </w:p>
    <w:p>
      <w:pPr>
        <w:spacing w:line="242" w:lineRule="auto" w:before="207"/>
        <w:ind w:left="165" w:right="272" w:firstLine="0"/>
        <w:jc w:val="left"/>
        <w:rPr>
          <w:sz w:val="24"/>
        </w:rPr>
      </w:pPr>
      <w:r>
        <w:rPr/>
        <w:br w:type="column"/>
      </w:r>
      <w:r>
        <w:rPr>
          <w:sz w:val="24"/>
        </w:rPr>
        <w:t>during 1997 is difficult to reconcile with the observed fall in unemployment, and the increases in employment that took place during that </w:t>
      </w:r>
      <w:r>
        <w:rPr>
          <w:spacing w:val="-3"/>
          <w:sz w:val="24"/>
        </w:rPr>
        <w:t>year. </w:t>
      </w:r>
      <w:r>
        <w:rPr>
          <w:sz w:val="24"/>
        </w:rPr>
        <w:t>The ONS has decided </w:t>
      </w:r>
      <w:r>
        <w:rPr>
          <w:spacing w:val="-8"/>
          <w:sz w:val="24"/>
        </w:rPr>
        <w:t>to </w:t>
      </w:r>
      <w:r>
        <w:rPr>
          <w:sz w:val="24"/>
        </w:rPr>
        <w:t>suspend the AEI pending the findings of the </w:t>
      </w:r>
      <w:r>
        <w:rPr>
          <w:spacing w:val="-4"/>
          <w:sz w:val="24"/>
        </w:rPr>
        <w:t>Chancellor’s </w:t>
      </w:r>
      <w:r>
        <w:rPr>
          <w:sz w:val="24"/>
        </w:rPr>
        <w:t>independent </w:t>
      </w:r>
      <w:r>
        <w:rPr>
          <w:spacing w:val="-4"/>
          <w:sz w:val="24"/>
        </w:rPr>
        <w:t>review.</w:t>
      </w:r>
    </w:p>
    <w:p>
      <w:pPr>
        <w:pStyle w:val="BodyText"/>
        <w:spacing w:before="5"/>
        <w:rPr>
          <w:sz w:val="21"/>
        </w:rPr>
      </w:pPr>
    </w:p>
    <w:p>
      <w:pPr>
        <w:spacing w:line="242" w:lineRule="auto" w:before="0"/>
        <w:ind w:left="165" w:right="156" w:firstLine="0"/>
        <w:jc w:val="left"/>
        <w:rPr>
          <w:sz w:val="24"/>
        </w:rPr>
      </w:pPr>
      <w:r>
        <w:rPr>
          <w:sz w:val="24"/>
        </w:rPr>
        <w:t>Before the rebasing, reported public sector earnings growth had been broadly flat at about 2.5% during the second half of 1997 and early 1998, before rising from 1998 Q2. And private sector earnings growth had risen steadily, from 5.1% in 1997 Q4 to 5.7% in 1998 Q2. But according to the new AEI, public sector pay growth has been revised up and is increasing, whereas private</w:t>
      </w:r>
    </w:p>
    <w:p>
      <w:pPr>
        <w:spacing w:line="242" w:lineRule="auto" w:before="9"/>
        <w:ind w:left="165" w:right="309" w:firstLine="0"/>
        <w:jc w:val="left"/>
        <w:rPr>
          <w:sz w:val="24"/>
        </w:rPr>
      </w:pPr>
      <w:r>
        <w:rPr>
          <w:sz w:val="24"/>
        </w:rPr>
        <w:t>sector earnings growth fell markedly during 1997 to about 4% early this year, and then rose to a peak of </w:t>
      </w:r>
      <w:r>
        <w:rPr>
          <w:spacing w:val="-5"/>
          <w:sz w:val="24"/>
        </w:rPr>
        <w:t>5.4% </w:t>
      </w:r>
      <w:r>
        <w:rPr>
          <w:sz w:val="24"/>
        </w:rPr>
        <w:t>in June (see Chart 3.1). The large gap between public and private sector earnings growth on the old series, which suggested an upside risk to earnings because of the possible reversal of negative public sector wage</w:t>
      </w:r>
      <w:r>
        <w:rPr>
          <w:spacing w:val="-28"/>
          <w:sz w:val="24"/>
        </w:rPr>
        <w:t> </w:t>
      </w:r>
      <w:r>
        <w:rPr>
          <w:sz w:val="24"/>
        </w:rPr>
        <w:t>drift,</w:t>
      </w:r>
    </w:p>
    <w:p>
      <w:pPr>
        <w:spacing w:after="0" w:line="242" w:lineRule="auto"/>
        <w:jc w:val="left"/>
        <w:rPr>
          <w:sz w:val="24"/>
        </w:rPr>
        <w:sectPr>
          <w:type w:val="continuous"/>
          <w:pgSz w:w="11900" w:h="16840"/>
          <w:pgMar w:top="1220" w:bottom="280" w:left="620" w:right="520"/>
          <w:cols w:num="2" w:equalWidth="0">
            <w:col w:w="3964" w:space="850"/>
            <w:col w:w="5946"/>
          </w:cols>
        </w:sectPr>
      </w:pPr>
    </w:p>
    <w:p>
      <w:pPr>
        <w:pStyle w:val="BodyText"/>
        <w:rPr>
          <w:sz w:val="10"/>
        </w:rPr>
      </w:pPr>
    </w:p>
    <w:p>
      <w:pPr>
        <w:spacing w:line="364" w:lineRule="auto" w:before="0"/>
        <w:ind w:left="241" w:right="158" w:firstLine="0"/>
        <w:jc w:val="left"/>
        <w:rPr>
          <w:sz w:val="11"/>
        </w:rPr>
      </w:pPr>
      <w:r>
        <w:rPr/>
        <w:pict>
          <v:group style="position:absolute;margin-left:52.474998pt;margin-top:7.271802pt;width:157.7pt;height:143.950pt;mso-position-horizontal-relative:page;mso-position-vertical-relative:paragraph;z-index:-21536256" coordorigin="1049,145" coordsize="3154,2879">
            <v:line style="position:absolute" from="1144,2430" to="1049,2430" stroked="true" strokeweight=".475pt" strokecolor="#000000">
              <v:stroke dashstyle="solid"/>
            </v:line>
            <v:shape style="position:absolute;left:1182;top:2427;width:2280;height:5" coordorigin="1182,2428" coordsize="2280,5" path="m1182,2428l1391,2428m1482,2428l1543,2428m1638,2428l1695,2428m1790,2428l2664,2428m1182,2433l1866,2433m1957,2433l2341,2433m2755,2428l2816,2428m2907,2428l2968,2428m3063,2428l3462,2428m2432,2433l3139,2433m3230,2433l3282,2433e" filled="false" stroked="true" strokeweight=".2375pt" strokecolor="#000000">
              <v:path arrowok="t"/>
              <v:stroke dashstyle="solid"/>
            </v:shape>
            <v:line style="position:absolute" from="4108,2430" to="4203,2430" stroked="true" strokeweight=".475pt" strokecolor="#000000">
              <v:stroke dashstyle="solid"/>
            </v:line>
            <v:shape style="position:absolute;left:3552;top:2427;width:499;height:3" coordorigin="3553,2428" coordsize="499,3" path="m3553,2430l4052,2430m3553,2428l4052,2428e" filled="false" stroked="true" strokeweight=".02pt" strokecolor="#000000">
              <v:path arrowok="t"/>
              <v:stroke dashstyle="solid"/>
            </v:shape>
            <v:shape style="position:absolute;left:3377;top:2432;width:675;height:2" coordorigin="3377,2433" coordsize="675,0" path="m3377,2433l3602,2433m3697,2433l3937,2433m4028,2433l4051,2433e" filled="false" stroked="true" strokeweight=".2375pt" strokecolor="#000000">
              <v:path arrowok="t"/>
              <v:stroke dashstyle="solid"/>
            </v:shape>
            <v:rect style="position:absolute;left:1220;top:150;width:95;height:2280" filled="true" fillcolor="#ffc40c" stroked="false">
              <v:fill type="solid"/>
            </v:rect>
            <v:rect style="position:absolute;left:1220;top:150;width:95;height:2280" filled="false" stroked="true" strokeweight=".475pt" strokecolor="#000000">
              <v:stroke dashstyle="solid"/>
            </v:rect>
            <v:rect style="position:absolute;left:1391;top:1062;width:91;height:1368" filled="true" fillcolor="#ffc40c" stroked="false">
              <v:fill type="solid"/>
            </v:rect>
            <v:rect style="position:absolute;left:1391;top:1062;width:91;height:1368" filled="false" stroked="true" strokeweight=".475pt" strokecolor="#000000">
              <v:stroke dashstyle="solid"/>
            </v:rect>
            <v:rect style="position:absolute;left:1543;top:1974;width:95;height:456" filled="true" fillcolor="#ffc40c" stroked="false">
              <v:fill type="solid"/>
            </v:rect>
            <v:rect style="position:absolute;left:1543;top:1974;width:95;height:456" filled="false" stroked="true" strokeweight=".475pt" strokecolor="#000000">
              <v:stroke dashstyle="solid"/>
            </v:rect>
            <v:rect style="position:absolute;left:1695;top:1746;width:95;height:684" filled="true" fillcolor="#ffc40c" stroked="false">
              <v:fill type="solid"/>
            </v:rect>
            <v:rect style="position:absolute;left:1695;top:1746;width:95;height:684" filled="false" stroked="true" strokeweight=".475pt" strokecolor="#000000">
              <v:stroke dashstyle="solid"/>
            </v:rect>
            <v:rect style="position:absolute;left:1866;top:2430;width:91;height:114" filled="true" fillcolor="#ffc40c" stroked="false">
              <v:fill type="solid"/>
            </v:rect>
            <v:rect style="position:absolute;left:1866;top:2430;width:91;height:114" filled="false" stroked="true" strokeweight=".475pt" strokecolor="#000000">
              <v:stroke dashstyle="solid"/>
            </v:rect>
            <v:rect style="position:absolute;left:2018;top:1974;width:76;height:456" filled="true" fillcolor="#ffc40c" stroked="false">
              <v:fill type="solid"/>
            </v:rect>
            <v:rect style="position:absolute;left:2018;top:1974;width:76;height:456" filled="false" stroked="true" strokeweight=".475pt" strokecolor="#000000">
              <v:stroke dashstyle="solid"/>
            </v:rect>
            <v:rect style="position:absolute;left:2189;top:2088;width:76;height:342" filled="true" fillcolor="#ffc40c" stroked="false">
              <v:fill type="solid"/>
            </v:rect>
            <v:rect style="position:absolute;left:2189;top:2088;width:76;height:342" filled="false" stroked="true" strokeweight=".475pt" strokecolor="#000000">
              <v:stroke dashstyle="solid"/>
            </v:rect>
            <v:rect style="position:absolute;left:2341;top:2430;width:91;height:114" filled="true" fillcolor="#ffc40c" stroked="false">
              <v:fill type="solid"/>
            </v:rect>
            <v:rect style="position:absolute;left:2341;top:2430;width:91;height:114" filled="false" stroked="true" strokeweight=".475pt" strokecolor="#000000">
              <v:stroke dashstyle="solid"/>
            </v:rect>
            <v:rect style="position:absolute;left:2512;top:1860;width:76;height:570" filled="true" fillcolor="#ffc40c" stroked="false">
              <v:fill type="solid"/>
            </v:rect>
            <v:rect style="position:absolute;left:2512;top:1860;width:76;height:570" filled="false" stroked="true" strokeweight=".475pt" strokecolor="#000000">
              <v:stroke dashstyle="solid"/>
            </v:rect>
            <v:rect style="position:absolute;left:2664;top:2202;width:91;height:228" filled="true" fillcolor="#ffc40c" stroked="false">
              <v:fill type="solid"/>
            </v:rect>
            <v:rect style="position:absolute;left:2664;top:2202;width:91;height:228" filled="false" stroked="true" strokeweight=".475pt" strokecolor="#000000">
              <v:stroke dashstyle="solid"/>
            </v:rect>
            <v:rect style="position:absolute;left:2816;top:2202;width:91;height:228" filled="true" fillcolor="#ffc40c" stroked="false">
              <v:fill type="solid"/>
            </v:rect>
            <v:rect style="position:absolute;left:2816;top:2202;width:91;height:228" filled="false" stroked="true" strokeweight=".475pt" strokecolor="#000000">
              <v:stroke dashstyle="solid"/>
            </v:rect>
            <v:rect style="position:absolute;left:2968;top:1860;width:95;height:570" filled="true" fillcolor="#ffc40c" stroked="false">
              <v:fill type="solid"/>
            </v:rect>
            <v:rect style="position:absolute;left:2968;top:1860;width:95;height:570" filled="false" stroked="true" strokeweight=".475pt" strokecolor="#000000">
              <v:stroke dashstyle="solid"/>
            </v:rect>
            <v:rect style="position:absolute;left:3139;top:2430;width:91;height:228" filled="true" fillcolor="#ffc40c" stroked="false">
              <v:fill type="solid"/>
            </v:rect>
            <v:rect style="position:absolute;left:3139;top:2430;width:91;height:228" filled="false" stroked="true" strokeweight=".475pt" strokecolor="#000000">
              <v:stroke dashstyle="solid"/>
            </v:rect>
            <v:rect style="position:absolute;left:3282;top:2430;width:95;height:475" filled="true" fillcolor="#ffc40c" stroked="false">
              <v:fill type="solid"/>
            </v:rect>
            <v:rect style="position:absolute;left:3282;top:2430;width:95;height:475" filled="false" stroked="true" strokeweight=".475pt" strokecolor="#000000">
              <v:stroke dashstyle="solid"/>
            </v:rect>
            <v:rect style="position:absolute;left:3462;top:492;width:91;height:1938" filled="true" fillcolor="#ffc40c" stroked="false">
              <v:fill type="solid"/>
            </v:rect>
            <v:rect style="position:absolute;left:3462;top:492;width:91;height:1938" filled="false" stroked="true" strokeweight=".475pt" strokecolor="#000000">
              <v:stroke dashstyle="solid"/>
            </v:rect>
            <v:rect style="position:absolute;left:3601;top:2429;width:95;height:114" filled="true" fillcolor="#ffc40c" stroked="false">
              <v:fill type="solid"/>
            </v:rect>
            <v:rect style="position:absolute;left:3601;top:2429;width:95;height:114" filled="false" stroked="true" strokeweight=".475pt" strokecolor="#000000">
              <v:stroke dashstyle="solid"/>
            </v:rect>
            <v:rect style="position:absolute;left:3776;top:1515;width:95;height:912" filled="true" fillcolor="#ffc40c" stroked="false">
              <v:fill type="solid"/>
            </v:rect>
            <v:rect style="position:absolute;left:3776;top:1515;width:95;height:912" filled="false" stroked="true" strokeweight=".475pt" strokecolor="#000000">
              <v:stroke dashstyle="solid"/>
            </v:rect>
            <v:rect style="position:absolute;left:3937;top:2430;width:91;height:114" filled="true" fillcolor="#ffc40c" stroked="false">
              <v:fill type="solid"/>
            </v:rect>
            <v:rect style="position:absolute;left:3937;top:2430;width:91;height:114" filled="false" stroked="true" strokeweight=".475pt" strokecolor="#000000">
              <v:stroke dashstyle="solid"/>
            </v:rect>
            <v:shape style="position:absolute;left:1049;top:2924;width:3154;height:95" coordorigin="1049,2924" coordsize="3154,95" path="m1144,3019l1049,3019m4108,3019l4203,3019m1182,3019l4051,3019m1277,3019l1277,2962m1429,3019l1429,2962m1581,3019l1581,2962m1752,3019l1752,2962m1904,3019l1904,2962m2056,3019l2056,2962m2227,3019l2227,2962m2379,3019l2379,2962m2550,3019l2550,2962m2702,3019l2702,2962m2854,3019l2854,2962m3025,3019l3025,2962m3177,3019l3177,2962m3329,3019l3329,2962m3500,3019l3500,2962m3652,3019l3652,2962m3804,3019l3804,2962m3975,3019l3975,2962m2854,3019l2854,2924e" filled="false" stroked="true" strokeweight=".475pt" strokecolor="#000000">
              <v:path arrowok="t"/>
              <v:stroke dashstyle="solid"/>
            </v:shape>
            <v:shape style="position:absolute;left:1277;top:530;width:2698;height:2109" coordorigin="1277,530" coordsize="2698,2109" path="m1277,2240l1429,1670,1581,1670,1752,1860,1904,530,2075,1670,2227,2240,2379,1100,2550,2430,2702,1670,2873,2240,3025,2430,3177,2639,3329,1100,3500,720,3652,910,3823,1670,3975,1100e" filled="false" stroked="true" strokeweight=".95pt" strokecolor="#008256">
              <v:path arrowok="t"/>
              <v:stroke dashstyle="solid"/>
            </v:shape>
            <v:shape style="position:absolute;left:1049;top:145;width:3154;height:2879" type="#_x0000_t202" filled="false" stroked="false">
              <v:textbox inset="0,0,0,0">
                <w:txbxContent>
                  <w:p>
                    <w:pPr>
                      <w:spacing w:line="240" w:lineRule="auto" w:before="7"/>
                      <w:rPr>
                        <w:sz w:val="12"/>
                      </w:rPr>
                    </w:pPr>
                  </w:p>
                  <w:p>
                    <w:pPr>
                      <w:spacing w:before="1"/>
                      <w:ind w:left="300" w:right="0" w:firstLine="0"/>
                      <w:jc w:val="left"/>
                      <w:rPr>
                        <w:sz w:val="11"/>
                      </w:rPr>
                    </w:pPr>
                    <w:r>
                      <w:rPr>
                        <w:w w:val="105"/>
                        <w:sz w:val="11"/>
                      </w:rPr>
                      <w:t>Irregular pay (right-hand</w:t>
                    </w:r>
                    <w:r>
                      <w:rPr>
                        <w:spacing w:val="-19"/>
                        <w:w w:val="105"/>
                        <w:sz w:val="11"/>
                      </w:rPr>
                      <w:t> </w:t>
                    </w:r>
                    <w:r>
                      <w:rPr>
                        <w:w w:val="105"/>
                        <w:sz w:val="11"/>
                      </w:rPr>
                      <w:t>scale)</w:t>
                    </w:r>
                  </w:p>
                  <w:p>
                    <w:pPr>
                      <w:spacing w:line="240" w:lineRule="auto" w:before="0"/>
                      <w:rPr>
                        <w:sz w:val="12"/>
                      </w:rPr>
                    </w:pPr>
                  </w:p>
                  <w:p>
                    <w:pPr>
                      <w:spacing w:line="216" w:lineRule="auto" w:before="105"/>
                      <w:ind w:left="992" w:right="1310" w:hanging="57"/>
                      <w:jc w:val="left"/>
                      <w:rPr>
                        <w:sz w:val="11"/>
                      </w:rPr>
                    </w:pPr>
                    <w:r>
                      <w:rPr>
                        <w:w w:val="105"/>
                        <w:sz w:val="11"/>
                      </w:rPr>
                      <w:t>Regular pay </w:t>
                    </w:r>
                    <w:r>
                      <w:rPr>
                        <w:spacing w:val="-3"/>
                        <w:w w:val="105"/>
                        <w:sz w:val="11"/>
                      </w:rPr>
                      <w:t>growth </w:t>
                    </w:r>
                    <w:r>
                      <w:rPr>
                        <w:w w:val="105"/>
                        <w:sz w:val="11"/>
                      </w:rPr>
                      <w:t>(left-hand</w:t>
                    </w:r>
                    <w:r>
                      <w:rPr>
                        <w:spacing w:val="-3"/>
                        <w:w w:val="105"/>
                        <w:sz w:val="11"/>
                      </w:rPr>
                      <w:t> </w:t>
                    </w:r>
                    <w:r>
                      <w:rPr>
                        <w:w w:val="105"/>
                        <w:sz w:val="11"/>
                      </w:rPr>
                      <w:t>scale)</w:t>
                    </w:r>
                  </w:p>
                </w:txbxContent>
              </v:textbox>
              <w10:wrap type="none"/>
            </v:shape>
            <w10:wrap type="none"/>
          </v:group>
        </w:pict>
      </w:r>
      <w:r>
        <w:rPr/>
        <w:pict>
          <v:line style="position:absolute;mso-position-horizontal-relative:page;mso-position-vertical-relative:paragraph;z-index:-21530112" from="57.224998pt,17.009302pt" to="52.474998pt,17.009302pt" stroked="true" strokeweight=".475pt" strokecolor="#000000">
            <v:stroke dashstyle="solid"/>
            <w10:wrap type="none"/>
          </v:line>
        </w:pict>
      </w:r>
      <w:r>
        <w:rPr>
          <w:w w:val="105"/>
          <w:position w:val="-7"/>
          <w:sz w:val="11"/>
        </w:rPr>
        <w:t>5.0</w:t>
      </w:r>
      <w:r>
        <w:rPr>
          <w:color w:val="231F20"/>
          <w:w w:val="105"/>
          <w:sz w:val="11"/>
        </w:rPr>
        <w:t> </w:t>
      </w:r>
      <w:r>
        <w:rPr>
          <w:color w:val="231F20"/>
          <w:w w:val="105"/>
          <w:sz w:val="11"/>
          <w:u w:val="single" w:color="000000"/>
        </w:rPr>
        <w:t>P</w:t>
      </w:r>
      <w:r>
        <w:rPr>
          <w:color w:val="231F20"/>
          <w:w w:val="105"/>
          <w:sz w:val="11"/>
        </w:rPr>
        <w:t>ercentage change on a year </w:t>
      </w:r>
      <w:r>
        <w:rPr>
          <w:color w:val="231F20"/>
          <w:spacing w:val="-3"/>
          <w:w w:val="105"/>
          <w:sz w:val="11"/>
        </w:rPr>
        <w:t>earlier </w:t>
      </w:r>
      <w:r>
        <w:rPr>
          <w:color w:val="231F20"/>
          <w:w w:val="105"/>
          <w:sz w:val="11"/>
        </w:rPr>
        <w:t>4.9</w:t>
      </w:r>
    </w:p>
    <w:p>
      <w:pPr>
        <w:spacing w:line="118" w:lineRule="exact" w:before="0"/>
        <w:ind w:left="241" w:right="0" w:firstLine="0"/>
        <w:jc w:val="left"/>
        <w:rPr>
          <w:sz w:val="11"/>
        </w:rPr>
      </w:pPr>
      <w:r>
        <w:rPr/>
        <w:pict>
          <v:line style="position:absolute;mso-position-horizontal-relative:page;mso-position-vertical-relative:paragraph;z-index:15958016" from="57.224998pt,3.282935pt" to="52.474998pt,3.282935pt" stroked="true" strokeweight=".475pt" strokecolor="#000000">
            <v:stroke dashstyle="solid"/>
            <w10:wrap type="none"/>
          </v:line>
        </w:pict>
      </w:r>
      <w:r>
        <w:rPr>
          <w:w w:val="105"/>
          <w:sz w:val="11"/>
        </w:rPr>
        <w:t>4.8</w:t>
      </w:r>
    </w:p>
    <w:p>
      <w:pPr>
        <w:spacing w:before="64"/>
        <w:ind w:left="241" w:right="0" w:firstLine="0"/>
        <w:jc w:val="left"/>
        <w:rPr>
          <w:sz w:val="11"/>
        </w:rPr>
      </w:pPr>
      <w:r>
        <w:rPr/>
        <w:pict>
          <v:line style="position:absolute;mso-position-horizontal-relative:page;mso-position-vertical-relative:paragraph;z-index:15957504" from="57.224998pt,6.909131pt" to="52.474998pt,6.909131pt" stroked="true" strokeweight=".475pt" strokecolor="#000000">
            <v:stroke dashstyle="solid"/>
            <w10:wrap type="none"/>
          </v:line>
        </w:pict>
      </w:r>
      <w:r>
        <w:rPr>
          <w:color w:val="231F20"/>
          <w:w w:val="105"/>
          <w:sz w:val="11"/>
        </w:rPr>
        <w:t>4.7</w:t>
      </w:r>
    </w:p>
    <w:p>
      <w:pPr>
        <w:spacing w:before="68"/>
        <w:ind w:left="241" w:right="0" w:firstLine="0"/>
        <w:jc w:val="left"/>
        <w:rPr>
          <w:sz w:val="11"/>
        </w:rPr>
      </w:pPr>
      <w:r>
        <w:rPr/>
        <w:pict>
          <v:line style="position:absolute;mso-position-horizontal-relative:page;mso-position-vertical-relative:paragraph;z-index:15956992" from="57.224998pt,6.871765pt" to="52.474998pt,6.871765pt" stroked="true" strokeweight=".475pt" strokecolor="#000000">
            <v:stroke dashstyle="solid"/>
            <w10:wrap type="none"/>
          </v:line>
        </w:pict>
      </w:r>
      <w:r>
        <w:rPr>
          <w:w w:val="105"/>
          <w:sz w:val="11"/>
        </w:rPr>
        <w:t>4.6</w:t>
      </w:r>
    </w:p>
    <w:p>
      <w:pPr>
        <w:spacing w:before="59"/>
        <w:ind w:left="241" w:right="0" w:firstLine="0"/>
        <w:jc w:val="left"/>
        <w:rPr>
          <w:sz w:val="11"/>
        </w:rPr>
      </w:pPr>
      <w:r>
        <w:rPr/>
        <w:pict>
          <v:line style="position:absolute;mso-position-horizontal-relative:page;mso-position-vertical-relative:paragraph;z-index:15956480" from="57.224998pt,6.659314pt" to="52.474998pt,6.659314pt" stroked="true" strokeweight=".475pt" strokecolor="#000000">
            <v:stroke dashstyle="solid"/>
            <w10:wrap type="none"/>
          </v:line>
        </w:pict>
      </w:r>
      <w:r>
        <w:rPr>
          <w:color w:val="231F20"/>
          <w:w w:val="105"/>
          <w:sz w:val="11"/>
        </w:rPr>
        <w:t>4.5</w:t>
      </w:r>
    </w:p>
    <w:p>
      <w:pPr>
        <w:spacing w:before="68"/>
        <w:ind w:left="241" w:right="0" w:firstLine="0"/>
        <w:jc w:val="left"/>
        <w:rPr>
          <w:sz w:val="11"/>
        </w:rPr>
      </w:pPr>
      <w:r>
        <w:rPr/>
        <w:pict>
          <v:line style="position:absolute;mso-position-horizontal-relative:page;mso-position-vertical-relative:paragraph;z-index:15955968" from="57.224998pt,6.871765pt" to="52.474998pt,6.871765pt" stroked="true" strokeweight=".475pt" strokecolor="#000000">
            <v:stroke dashstyle="solid"/>
            <w10:wrap type="none"/>
          </v:line>
        </w:pict>
      </w:r>
      <w:r>
        <w:rPr>
          <w:w w:val="105"/>
          <w:sz w:val="11"/>
        </w:rPr>
        <w:t>4.4</w:t>
      </w:r>
    </w:p>
    <w:p>
      <w:pPr>
        <w:spacing w:before="53"/>
        <w:ind w:left="241" w:right="0" w:firstLine="0"/>
        <w:jc w:val="left"/>
        <w:rPr>
          <w:sz w:val="11"/>
        </w:rPr>
      </w:pPr>
      <w:r>
        <w:rPr/>
        <w:pict>
          <v:line style="position:absolute;mso-position-horizontal-relative:page;mso-position-vertical-relative:paragraph;z-index:15955456" from="57.224998pt,6.675842pt" to="52.474998pt,6.675842pt" stroked="true" strokeweight=".475pt" strokecolor="#000000">
            <v:stroke dashstyle="solid"/>
            <w10:wrap type="none"/>
          </v:line>
        </w:pict>
      </w:r>
      <w:r>
        <w:rPr>
          <w:color w:val="231F20"/>
          <w:w w:val="105"/>
          <w:sz w:val="11"/>
        </w:rPr>
        <w:t>4.3</w:t>
      </w:r>
    </w:p>
    <w:p>
      <w:pPr>
        <w:spacing w:before="74"/>
        <w:ind w:left="241" w:right="0" w:firstLine="0"/>
        <w:jc w:val="left"/>
        <w:rPr>
          <w:sz w:val="11"/>
        </w:rPr>
      </w:pPr>
      <w:r>
        <w:rPr/>
        <w:pict>
          <v:line style="position:absolute;mso-position-horizontal-relative:page;mso-position-vertical-relative:paragraph;z-index:15954944" from="57.224998pt,7.172772pt" to="52.474998pt,7.172772pt" stroked="true" strokeweight=".475pt" strokecolor="#000000">
            <v:stroke dashstyle="solid"/>
            <w10:wrap type="none"/>
          </v:line>
        </w:pict>
      </w:r>
      <w:r>
        <w:rPr>
          <w:w w:val="105"/>
          <w:sz w:val="11"/>
        </w:rPr>
        <w:t>4.2</w:t>
      </w:r>
    </w:p>
    <w:p>
      <w:pPr>
        <w:spacing w:before="70"/>
        <w:ind w:left="241" w:right="0" w:firstLine="0"/>
        <w:jc w:val="left"/>
        <w:rPr>
          <w:sz w:val="11"/>
        </w:rPr>
      </w:pPr>
      <w:r>
        <w:rPr/>
        <w:pict>
          <v:line style="position:absolute;mso-position-horizontal-relative:page;mso-position-vertical-relative:paragraph;z-index:15954432" from="57.224998pt,6.655084pt" to="52.474998pt,6.655084pt" stroked="true" strokeweight=".475pt" strokecolor="#000000">
            <v:stroke dashstyle="solid"/>
            <w10:wrap type="none"/>
          </v:line>
        </w:pict>
      </w:r>
      <w:r>
        <w:rPr>
          <w:color w:val="231F20"/>
          <w:w w:val="105"/>
          <w:sz w:val="11"/>
        </w:rPr>
        <w:t>4.1</w:t>
      </w:r>
    </w:p>
    <w:p>
      <w:pPr>
        <w:spacing w:before="62"/>
        <w:ind w:left="241" w:right="0" w:firstLine="0"/>
        <w:jc w:val="left"/>
        <w:rPr>
          <w:sz w:val="11"/>
        </w:rPr>
      </w:pPr>
      <w:r>
        <w:rPr/>
        <w:pict>
          <v:line style="position:absolute;mso-position-horizontal-relative:page;mso-position-vertical-relative:paragraph;z-index:15953920" from="57.224998pt,6.334765pt" to="52.474998pt,6.334765pt" stroked="true" strokeweight=".475pt" strokecolor="#000000">
            <v:stroke dashstyle="solid"/>
            <w10:wrap type="none"/>
          </v:line>
        </w:pict>
      </w:r>
      <w:r>
        <w:rPr>
          <w:w w:val="105"/>
          <w:sz w:val="11"/>
        </w:rPr>
        <w:t>4.0</w:t>
      </w:r>
    </w:p>
    <w:p>
      <w:pPr>
        <w:spacing w:before="40"/>
        <w:ind w:left="241" w:right="0" w:firstLine="0"/>
        <w:jc w:val="left"/>
        <w:rPr>
          <w:sz w:val="11"/>
        </w:rPr>
      </w:pPr>
      <w:r>
        <w:rPr/>
        <w:pict>
          <v:line style="position:absolute;mso-position-horizontal-relative:page;mso-position-vertical-relative:paragraph;z-index:-21537280" from="57.224998pt,6.421808pt" to="52.474998pt,6.421808pt" stroked="true" strokeweight=".475pt" strokecolor="#000000">
            <v:stroke dashstyle="solid"/>
            <w10:wrap type="none"/>
          </v:line>
        </w:pict>
      </w:r>
      <w:r>
        <w:rPr>
          <w:color w:val="231F20"/>
          <w:w w:val="105"/>
          <w:sz w:val="11"/>
        </w:rPr>
        <w:t>3.9</w:t>
      </w:r>
    </w:p>
    <w:p>
      <w:pPr>
        <w:spacing w:before="87"/>
        <w:ind w:left="241" w:right="0" w:firstLine="0"/>
        <w:jc w:val="left"/>
        <w:rPr>
          <w:sz w:val="11"/>
        </w:rPr>
      </w:pPr>
      <w:r>
        <w:rPr>
          <w:w w:val="105"/>
          <w:sz w:val="11"/>
        </w:rPr>
        <w:t>3.8</w:t>
      </w:r>
    </w:p>
    <w:p>
      <w:pPr>
        <w:spacing w:before="78"/>
        <w:ind w:left="241" w:right="0" w:firstLine="0"/>
        <w:jc w:val="left"/>
        <w:rPr>
          <w:sz w:val="11"/>
        </w:rPr>
      </w:pPr>
      <w:r>
        <w:rPr/>
        <w:pict>
          <v:line style="position:absolute;mso-position-horizontal-relative:page;mso-position-vertical-relative:paragraph;z-index:15952896" from="57.224998pt,7.371631pt" to="52.474998pt,7.371631pt" stroked="true" strokeweight=".475pt" strokecolor="#000000">
            <v:stroke dashstyle="solid"/>
            <w10:wrap type="none"/>
          </v:line>
        </w:pict>
      </w:r>
      <w:r>
        <w:rPr>
          <w:color w:val="231F20"/>
          <w:w w:val="105"/>
          <w:sz w:val="11"/>
        </w:rPr>
        <w:t>3.7</w:t>
      </w:r>
    </w:p>
    <w:p>
      <w:pPr>
        <w:spacing w:before="49"/>
        <w:ind w:left="241" w:right="0" w:firstLine="0"/>
        <w:jc w:val="left"/>
        <w:rPr>
          <w:sz w:val="11"/>
        </w:rPr>
      </w:pPr>
      <w:r>
        <w:rPr/>
        <w:pict>
          <v:line style="position:absolute;mso-position-horizontal-relative:page;mso-position-vertical-relative:paragraph;z-index:15953408" from="57.224998pt,5.684766pt" to="52.474998pt,5.684766pt" stroked="true" strokeweight=".475pt" strokecolor="#000000">
            <v:stroke dashstyle="solid"/>
            <w10:wrap type="none"/>
          </v:line>
        </w:pict>
      </w:r>
      <w:r>
        <w:rPr>
          <w:w w:val="105"/>
          <w:sz w:val="11"/>
        </w:rPr>
        <w:t>3.6</w:t>
      </w:r>
    </w:p>
    <w:p>
      <w:pPr>
        <w:spacing w:line="119" w:lineRule="exact" w:before="60"/>
        <w:ind w:left="241" w:right="0" w:firstLine="0"/>
        <w:jc w:val="left"/>
        <w:rPr>
          <w:sz w:val="11"/>
        </w:rPr>
      </w:pPr>
      <w:r>
        <w:rPr>
          <w:color w:val="231F20"/>
          <w:w w:val="105"/>
          <w:sz w:val="11"/>
        </w:rPr>
        <w:t>3.5</w:t>
      </w:r>
    </w:p>
    <w:p>
      <w:pPr>
        <w:tabs>
          <w:tab w:pos="1023" w:val="left" w:leader="none"/>
          <w:tab w:pos="1512" w:val="left" w:leader="none"/>
          <w:tab w:pos="1996" w:val="left" w:leader="none"/>
        </w:tabs>
        <w:spacing w:line="119" w:lineRule="exact" w:before="0"/>
        <w:ind w:left="553" w:right="0" w:firstLine="0"/>
        <w:jc w:val="center"/>
        <w:rPr>
          <w:sz w:val="11"/>
        </w:rPr>
      </w:pPr>
      <w:r>
        <w:rPr>
          <w:w w:val="105"/>
          <w:sz w:val="11"/>
        </w:rPr>
        <w:t>Mar.</w:t>
        <w:tab/>
        <w:t>June</w:t>
        <w:tab/>
      </w:r>
      <w:r>
        <w:rPr>
          <w:color w:val="231F20"/>
          <w:w w:val="105"/>
          <w:sz w:val="11"/>
        </w:rPr>
        <w:t>Sept.</w:t>
        <w:tab/>
      </w:r>
      <w:r>
        <w:rPr>
          <w:color w:val="231F20"/>
          <w:spacing w:val="-5"/>
          <w:w w:val="105"/>
          <w:sz w:val="11"/>
        </w:rPr>
        <w:t>Dec.</w:t>
      </w:r>
    </w:p>
    <w:p>
      <w:pPr>
        <w:spacing w:before="26"/>
        <w:ind w:left="530" w:right="0" w:firstLine="0"/>
        <w:jc w:val="center"/>
        <w:rPr>
          <w:sz w:val="11"/>
        </w:rPr>
      </w:pPr>
      <w:r>
        <w:rPr>
          <w:w w:val="105"/>
          <w:sz w:val="11"/>
        </w:rPr>
        <w:t>1997</w:t>
      </w:r>
    </w:p>
    <w:p>
      <w:pPr>
        <w:pStyle w:val="BodyText"/>
        <w:spacing w:before="1"/>
        <w:rPr>
          <w:sz w:val="11"/>
        </w:rPr>
      </w:pPr>
    </w:p>
    <w:p>
      <w:pPr>
        <w:pStyle w:val="Heading7"/>
        <w:spacing w:before="0"/>
      </w:pPr>
      <w:r>
        <w:rPr>
          <w:color w:val="0093C1"/>
        </w:rPr>
        <w:t>Chart 3.5</w:t>
      </w:r>
    </w:p>
    <w:p>
      <w:pPr>
        <w:pStyle w:val="BodyText"/>
        <w:rPr>
          <w:b/>
          <w:sz w:val="12"/>
        </w:rPr>
      </w:pPr>
      <w:r>
        <w:rPr/>
        <w:br w:type="column"/>
      </w:r>
      <w:r>
        <w:rPr>
          <w:b/>
          <w:sz w:val="12"/>
        </w:rPr>
      </w: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spacing w:before="9"/>
        <w:rPr>
          <w:b/>
          <w:sz w:val="10"/>
        </w:rPr>
      </w:pPr>
    </w:p>
    <w:p>
      <w:pPr>
        <w:spacing w:before="0"/>
        <w:ind w:left="200" w:right="0" w:firstLine="0"/>
        <w:jc w:val="left"/>
        <w:rPr>
          <w:sz w:val="11"/>
        </w:rPr>
      </w:pPr>
      <w:r>
        <w:rPr>
          <w:color w:val="231F20"/>
          <w:sz w:val="11"/>
        </w:rPr>
        <w:t>Mar.</w:t>
      </w:r>
    </w:p>
    <w:p>
      <w:pPr>
        <w:spacing w:before="115"/>
        <w:ind w:left="0" w:right="38" w:firstLine="0"/>
        <w:jc w:val="right"/>
        <w:rPr>
          <w:sz w:val="11"/>
        </w:rPr>
      </w:pPr>
      <w:r>
        <w:rPr/>
        <w:br w:type="column"/>
      </w:r>
      <w:r>
        <w:rPr>
          <w:w w:val="105"/>
          <w:sz w:val="11"/>
        </w:rPr>
        <w:t>Percentage poi</w:t>
      </w:r>
      <w:r>
        <w:rPr>
          <w:w w:val="105"/>
          <w:sz w:val="11"/>
          <w:u w:val="single"/>
        </w:rPr>
        <w:t>nt</w:t>
      </w:r>
      <w:r>
        <w:rPr>
          <w:w w:val="105"/>
          <w:sz w:val="11"/>
        </w:rPr>
        <w:t>s</w:t>
      </w:r>
      <w:r>
        <w:rPr>
          <w:spacing w:val="12"/>
          <w:w w:val="105"/>
          <w:sz w:val="11"/>
        </w:rPr>
        <w:t> </w:t>
      </w:r>
      <w:r>
        <w:rPr>
          <w:w w:val="105"/>
          <w:position w:val="-7"/>
          <w:sz w:val="11"/>
        </w:rPr>
        <w:t>2.00</w:t>
      </w:r>
    </w:p>
    <w:p>
      <w:pPr>
        <w:spacing w:before="155"/>
        <w:ind w:left="0" w:right="38" w:firstLine="0"/>
        <w:jc w:val="right"/>
        <w:rPr>
          <w:sz w:val="11"/>
        </w:rPr>
      </w:pPr>
      <w:r>
        <w:rPr/>
        <w:pict>
          <v:line style="position:absolute;mso-position-horizontal-relative:page;mso-position-vertical-relative:paragraph;z-index:15962624" from="205.425003pt,11.459772pt" to="210.175003pt,11.459772pt" stroked="true" strokeweight=".475pt" strokecolor="#000000">
            <v:stroke dashstyle="solid"/>
            <w10:wrap type="none"/>
          </v:line>
        </w:pict>
      </w:r>
      <w:r>
        <w:rPr>
          <w:sz w:val="11"/>
        </w:rPr>
        <w:t>1.75</w:t>
      </w:r>
    </w:p>
    <w:p>
      <w:pPr>
        <w:pStyle w:val="BodyText"/>
        <w:spacing w:before="5"/>
        <w:rPr>
          <w:sz w:val="15"/>
        </w:rPr>
      </w:pPr>
    </w:p>
    <w:p>
      <w:pPr>
        <w:spacing w:before="0"/>
        <w:ind w:left="0" w:right="38" w:firstLine="0"/>
        <w:jc w:val="right"/>
        <w:rPr>
          <w:sz w:val="11"/>
        </w:rPr>
      </w:pPr>
      <w:r>
        <w:rPr/>
        <w:pict>
          <v:line style="position:absolute;mso-position-horizontal-relative:page;mso-position-vertical-relative:paragraph;z-index:15962112" from="205.425003pt,2.759759pt" to="210.175003pt,2.759759pt" stroked="true" strokeweight=".475pt" strokecolor="#000000">
            <v:stroke dashstyle="solid"/>
            <w10:wrap type="none"/>
          </v:line>
        </w:pict>
      </w:r>
      <w:r>
        <w:rPr>
          <w:sz w:val="11"/>
        </w:rPr>
        <w:t>1.50</w:t>
      </w:r>
    </w:p>
    <w:p>
      <w:pPr>
        <w:pStyle w:val="BodyText"/>
        <w:spacing w:before="1"/>
        <w:rPr>
          <w:sz w:val="12"/>
        </w:rPr>
      </w:pPr>
    </w:p>
    <w:p>
      <w:pPr>
        <w:spacing w:before="0"/>
        <w:ind w:left="0" w:right="38" w:firstLine="0"/>
        <w:jc w:val="right"/>
        <w:rPr>
          <w:sz w:val="11"/>
        </w:rPr>
      </w:pPr>
      <w:r>
        <w:rPr/>
        <w:pict>
          <v:line style="position:absolute;mso-position-horizontal-relative:page;mso-position-vertical-relative:paragraph;z-index:15961600" from="205.425003pt,3.709772pt" to="210.175003pt,3.709772pt" stroked="true" strokeweight=".475pt" strokecolor="#000000">
            <v:stroke dashstyle="solid"/>
            <w10:wrap type="none"/>
          </v:line>
        </w:pict>
      </w:r>
      <w:r>
        <w:rPr>
          <w:sz w:val="11"/>
        </w:rPr>
        <w:t>1.25</w:t>
      </w:r>
    </w:p>
    <w:p>
      <w:pPr>
        <w:pStyle w:val="BodyText"/>
        <w:spacing w:before="5"/>
        <w:rPr>
          <w:sz w:val="15"/>
        </w:rPr>
      </w:pPr>
    </w:p>
    <w:p>
      <w:pPr>
        <w:spacing w:before="0"/>
        <w:ind w:left="0" w:right="38" w:firstLine="0"/>
        <w:jc w:val="right"/>
        <w:rPr>
          <w:sz w:val="11"/>
        </w:rPr>
      </w:pPr>
      <w:r>
        <w:rPr/>
        <w:pict>
          <v:line style="position:absolute;mso-position-horizontal-relative:page;mso-position-vertical-relative:paragraph;z-index:15961088" from="205.425003pt,2.759759pt" to="210.175003pt,2.759759pt" stroked="true" strokeweight=".475pt" strokecolor="#000000">
            <v:stroke dashstyle="solid"/>
            <w10:wrap type="none"/>
          </v:line>
        </w:pict>
      </w:r>
      <w:r>
        <w:rPr>
          <w:sz w:val="11"/>
        </w:rPr>
        <w:t>1.00</w:t>
      </w:r>
    </w:p>
    <w:p>
      <w:pPr>
        <w:pStyle w:val="BodyText"/>
        <w:spacing w:before="9"/>
        <w:rPr>
          <w:sz w:val="13"/>
        </w:rPr>
      </w:pPr>
    </w:p>
    <w:p>
      <w:pPr>
        <w:spacing w:before="0"/>
        <w:ind w:left="0" w:right="38" w:firstLine="0"/>
        <w:jc w:val="right"/>
        <w:rPr>
          <w:sz w:val="11"/>
        </w:rPr>
      </w:pPr>
      <w:r>
        <w:rPr/>
        <w:pict>
          <v:line style="position:absolute;mso-position-horizontal-relative:page;mso-position-vertical-relative:paragraph;z-index:15960576" from="205.425003pt,2.759759pt" to="210.175003pt,2.759759pt" stroked="true" strokeweight=".475pt" strokecolor="#000000">
            <v:stroke dashstyle="solid"/>
            <w10:wrap type="none"/>
          </v:line>
        </w:pict>
      </w:r>
      <w:r>
        <w:rPr>
          <w:sz w:val="11"/>
        </w:rPr>
        <w:t>0.75</w:t>
      </w:r>
    </w:p>
    <w:p>
      <w:pPr>
        <w:pStyle w:val="BodyText"/>
        <w:spacing w:before="9"/>
        <w:rPr>
          <w:sz w:val="13"/>
        </w:rPr>
      </w:pPr>
    </w:p>
    <w:p>
      <w:pPr>
        <w:spacing w:before="1"/>
        <w:ind w:left="0" w:right="38" w:firstLine="0"/>
        <w:jc w:val="right"/>
        <w:rPr>
          <w:sz w:val="11"/>
        </w:rPr>
      </w:pPr>
      <w:r>
        <w:rPr/>
        <w:pict>
          <v:line style="position:absolute;mso-position-horizontal-relative:page;mso-position-vertical-relative:paragraph;z-index:15960064" from="205.425003pt,2.80976pt" to="210.175003pt,2.80976pt" stroked="true" strokeweight=".475pt" strokecolor="#000000">
            <v:stroke dashstyle="solid"/>
            <w10:wrap type="none"/>
          </v:line>
        </w:pict>
      </w:r>
      <w:r>
        <w:rPr>
          <w:sz w:val="11"/>
        </w:rPr>
        <w:t>0.50</w:t>
      </w:r>
    </w:p>
    <w:p>
      <w:pPr>
        <w:pStyle w:val="BodyText"/>
        <w:spacing w:before="8"/>
        <w:rPr>
          <w:sz w:val="13"/>
        </w:rPr>
      </w:pPr>
    </w:p>
    <w:p>
      <w:pPr>
        <w:spacing w:line="117" w:lineRule="exact" w:before="1"/>
        <w:ind w:left="913" w:right="0" w:firstLine="0"/>
        <w:jc w:val="left"/>
        <w:rPr>
          <w:sz w:val="11"/>
        </w:rPr>
      </w:pPr>
      <w:r>
        <w:rPr/>
        <w:pict>
          <v:line style="position:absolute;mso-position-horizontal-relative:page;mso-position-vertical-relative:paragraph;z-index:15959552" from="205.425003pt,2.80976pt" to="210.175003pt,2.80976pt" stroked="true" strokeweight=".475pt" strokecolor="#000000">
            <v:stroke dashstyle="solid"/>
            <w10:wrap type="none"/>
          </v:line>
        </w:pict>
      </w:r>
      <w:r>
        <w:rPr>
          <w:w w:val="105"/>
          <w:sz w:val="11"/>
        </w:rPr>
        <w:t>0.25</w:t>
      </w:r>
    </w:p>
    <w:p>
      <w:pPr>
        <w:spacing w:line="163" w:lineRule="exact" w:before="0"/>
        <w:ind w:left="871" w:right="0" w:firstLine="0"/>
        <w:jc w:val="left"/>
        <w:rPr>
          <w:sz w:val="15"/>
        </w:rPr>
      </w:pPr>
      <w:r>
        <w:rPr>
          <w:w w:val="101"/>
          <w:sz w:val="15"/>
        </w:rPr>
        <w:t>+</w:t>
      </w:r>
    </w:p>
    <w:p>
      <w:pPr>
        <w:spacing w:before="4"/>
        <w:ind w:left="0" w:right="38" w:firstLine="0"/>
        <w:jc w:val="right"/>
        <w:rPr>
          <w:sz w:val="11"/>
        </w:rPr>
      </w:pPr>
      <w:r>
        <w:rPr>
          <w:spacing w:val="-6"/>
          <w:position w:val="-8"/>
          <w:sz w:val="15"/>
        </w:rPr>
        <w:t>_</w:t>
      </w:r>
      <w:r>
        <w:rPr>
          <w:spacing w:val="-6"/>
          <w:sz w:val="11"/>
        </w:rPr>
        <w:t>0.00</w:t>
      </w:r>
    </w:p>
    <w:p>
      <w:pPr>
        <w:spacing w:before="60"/>
        <w:ind w:left="0" w:right="38" w:firstLine="0"/>
        <w:jc w:val="right"/>
        <w:rPr>
          <w:sz w:val="11"/>
        </w:rPr>
      </w:pPr>
      <w:r>
        <w:rPr/>
        <w:pict>
          <v:line style="position:absolute;mso-position-horizontal-relative:page;mso-position-vertical-relative:paragraph;z-index:15959040" from="205.425003pt,5.759759pt" to="210.175003pt,5.759759pt" stroked="true" strokeweight=".475pt" strokecolor="#000000">
            <v:stroke dashstyle="solid"/>
            <w10:wrap type="none"/>
          </v:line>
        </w:pict>
      </w:r>
      <w:r>
        <w:rPr>
          <w:sz w:val="11"/>
        </w:rPr>
        <w:t>0.25</w:t>
      </w:r>
    </w:p>
    <w:p>
      <w:pPr>
        <w:pStyle w:val="BodyText"/>
        <w:spacing w:before="8"/>
        <w:rPr>
          <w:sz w:val="13"/>
        </w:rPr>
      </w:pPr>
    </w:p>
    <w:p>
      <w:pPr>
        <w:spacing w:line="113" w:lineRule="exact" w:before="1"/>
        <w:ind w:left="913" w:right="0" w:firstLine="0"/>
        <w:jc w:val="left"/>
        <w:rPr>
          <w:sz w:val="11"/>
        </w:rPr>
      </w:pPr>
      <w:r>
        <w:rPr>
          <w:w w:val="105"/>
          <w:sz w:val="11"/>
        </w:rPr>
        <w:t>0.50</w:t>
      </w:r>
    </w:p>
    <w:p>
      <w:pPr>
        <w:spacing w:line="113" w:lineRule="exact" w:before="0"/>
        <w:ind w:left="200" w:right="0" w:firstLine="0"/>
        <w:jc w:val="left"/>
        <w:rPr>
          <w:sz w:val="11"/>
        </w:rPr>
      </w:pPr>
      <w:r>
        <w:rPr>
          <w:w w:val="105"/>
          <w:sz w:val="11"/>
        </w:rPr>
        <w:t>June</w:t>
      </w:r>
    </w:p>
    <w:p>
      <w:pPr>
        <w:spacing w:before="25"/>
        <w:ind w:left="110" w:right="0" w:firstLine="0"/>
        <w:jc w:val="left"/>
        <w:rPr>
          <w:sz w:val="11"/>
        </w:rPr>
      </w:pPr>
      <w:r>
        <w:rPr>
          <w:w w:val="105"/>
          <w:sz w:val="11"/>
        </w:rPr>
        <w:t>98</w:t>
      </w:r>
    </w:p>
    <w:p>
      <w:pPr>
        <w:pStyle w:val="Heading4"/>
        <w:spacing w:before="7"/>
      </w:pPr>
      <w:r>
        <w:rPr/>
        <w:br w:type="column"/>
      </w:r>
      <w:r>
        <w:rPr/>
        <w:t>has largely disappeared according to the new series.</w:t>
      </w:r>
    </w:p>
    <w:p>
      <w:pPr>
        <w:pStyle w:val="BodyText"/>
        <w:spacing w:before="3"/>
        <w:rPr>
          <w:sz w:val="21"/>
        </w:rPr>
      </w:pPr>
    </w:p>
    <w:p>
      <w:pPr>
        <w:spacing w:line="242" w:lineRule="auto" w:before="0"/>
        <w:ind w:left="200" w:right="321" w:firstLine="0"/>
        <w:jc w:val="left"/>
        <w:rPr>
          <w:sz w:val="24"/>
        </w:rPr>
      </w:pPr>
      <w:r>
        <w:rPr>
          <w:sz w:val="24"/>
        </w:rPr>
        <w:t>Chart 3.3 compares earnings growth in the manufacturing and services sectors, based on the revised series. It suggests that after remaining flat during 1996, earnings growth in the manufacturing sector has risen steadily. This is similar to previous estimates. By contrast, service sector earnings growth on the new series rose sharply in 1996, before falling in 1997 and early 1998; previous estimates had suggested a steady rise in service sector earnings growth since mid 1995.</w:t>
      </w:r>
    </w:p>
    <w:p>
      <w:pPr>
        <w:pStyle w:val="BodyText"/>
        <w:spacing w:before="10"/>
        <w:rPr>
          <w:sz w:val="21"/>
        </w:rPr>
      </w:pPr>
    </w:p>
    <w:p>
      <w:pPr>
        <w:spacing w:line="242" w:lineRule="auto" w:before="0"/>
        <w:ind w:left="200" w:right="221" w:firstLine="0"/>
        <w:jc w:val="left"/>
        <w:rPr>
          <w:sz w:val="24"/>
        </w:rPr>
      </w:pPr>
      <w:r>
        <w:rPr>
          <w:sz w:val="24"/>
        </w:rPr>
        <w:t>Average earnings can be decomposed into estimates of regular and irregular pay. Chart 3.4 shows the behaviour</w:t>
      </w:r>
    </w:p>
    <w:p>
      <w:pPr>
        <w:spacing w:after="0" w:line="242" w:lineRule="auto"/>
        <w:jc w:val="left"/>
        <w:rPr>
          <w:sz w:val="24"/>
        </w:rPr>
        <w:sectPr>
          <w:type w:val="continuous"/>
          <w:pgSz w:w="11900" w:h="16840"/>
          <w:pgMar w:top="1220" w:bottom="280" w:left="620" w:right="520"/>
          <w:cols w:num="4" w:equalWidth="0">
            <w:col w:w="2210" w:space="69"/>
            <w:col w:w="419" w:space="39"/>
            <w:col w:w="1153" w:space="890"/>
            <w:col w:w="5980"/>
          </w:cols>
        </w:sectPr>
      </w:pPr>
    </w:p>
    <w:p>
      <w:pPr>
        <w:pStyle w:val="Heading7"/>
        <w:spacing w:line="192" w:lineRule="exact" w:before="0"/>
      </w:pPr>
      <w:r>
        <w:rPr>
          <w:color w:val="0093C1"/>
        </w:rPr>
        <w:t>Alternative measures of nominal earnings</w:t>
      </w:r>
    </w:p>
    <w:p>
      <w:pPr>
        <w:spacing w:before="10"/>
        <w:ind w:left="200" w:right="0" w:firstLine="0"/>
        <w:jc w:val="left"/>
        <w:rPr>
          <w:b/>
          <w:sz w:val="20"/>
        </w:rPr>
      </w:pPr>
      <w:r>
        <w:rPr>
          <w:b/>
          <w:color w:val="0093C1"/>
          <w:sz w:val="20"/>
        </w:rPr>
        <w:t>growth</w:t>
      </w:r>
    </w:p>
    <w:p>
      <w:pPr>
        <w:spacing w:before="138"/>
        <w:ind w:left="1863" w:right="0" w:firstLine="0"/>
        <w:jc w:val="left"/>
        <w:rPr>
          <w:sz w:val="11"/>
        </w:rPr>
      </w:pPr>
      <w:r>
        <w:rPr/>
        <w:pict>
          <v:line style="position:absolute;mso-position-horizontal-relative:page;mso-position-vertical-relative:paragraph;z-index:15948288" from="53.224999pt,14.409967pt" to="49.424999pt,14.409967pt" stroked="true" strokeweight=".475pt" strokecolor="#000000">
            <v:stroke dashstyle="solid"/>
            <w10:wrap type="none"/>
          </v:line>
        </w:pict>
      </w:r>
      <w:r>
        <w:rPr/>
        <w:pict>
          <v:line style="position:absolute;mso-position-horizontal-relative:page;mso-position-vertical-relative:paragraph;z-index:-21539328" from="207.125pt,14.409967pt" to="202.375pt,14.409967pt" stroked="true" strokeweight=".475pt" strokecolor="#000000">
            <v:stroke dashstyle="solid"/>
            <w10:wrap type="none"/>
          </v:line>
        </w:pict>
      </w:r>
      <w:r>
        <w:rPr>
          <w:w w:val="105"/>
          <w:sz w:val="11"/>
        </w:rPr>
        <w:t>Percentage changes on a year earlier</w:t>
      </w:r>
      <w:r>
        <w:rPr>
          <w:spacing w:val="11"/>
          <w:w w:val="105"/>
          <w:sz w:val="11"/>
        </w:rPr>
        <w:t> </w:t>
      </w:r>
      <w:r>
        <w:rPr>
          <w:w w:val="105"/>
          <w:position w:val="-7"/>
          <w:sz w:val="11"/>
        </w:rPr>
        <w:t>6.0</w:t>
      </w:r>
    </w:p>
    <w:p>
      <w:pPr>
        <w:spacing w:before="40"/>
        <w:ind w:left="0" w:right="72" w:firstLine="0"/>
        <w:jc w:val="right"/>
        <w:rPr>
          <w:sz w:val="11"/>
        </w:rPr>
      </w:pPr>
      <w:r>
        <w:rPr/>
        <w:pict>
          <v:group style="position:absolute;margin-left:49.424999pt;margin-top:1.434778pt;width:159.15pt;height:74.9pt;mso-position-horizontal-relative:page;mso-position-vertical-relative:paragraph;z-index:15937536" coordorigin="988,29" coordsize="3183,1498">
            <v:shape style="position:absolute;left:988;top:114;width:3150;height:1406" coordorigin="988,114" coordsize="3150,1406" path="m3572,1520l3572,1449m2964,1520l2964,1449m2337,1520l2337,1449m1121,1520l1121,1449m1729,1520l1729,1449m988,1520l4138,1520m1172,1520l1172,1477m1223,1520l1223,1477m1273,1520l1273,1477m1324,1520l1324,1477m1375,1520l1375,1477m1425,1520l1425,1477m1476,1520l1476,1477m1527,1520l1527,1477m1577,1520l1577,1477m1628,1520l1628,1477m1679,1520l1679,1477m1780,1520l1780,1477m1831,1520l1831,1477m1881,1520l1881,1477m1932,1520l1932,1477m1983,1520l1983,1477m2033,1520l2033,1477m2084,1520l2084,1477m2135,1520l2135,1477m2185,1520l2185,1477m2236,1520l2236,1477m2287,1520l2287,1477m2390,1520l2390,1477m2442,1520l2442,1477m2494,1520l2494,1477m2546,1520l2546,1477m2599,1520l2599,1477m2651,1520l2651,1477m2703,1520l2703,1477m2755,1520l2755,1477m2808,1520l2808,1477m2860,1520l2860,1477m2912,1520l2912,1477m3015,1520l3015,1477m3066,1520l3066,1477m3116,1520l3116,1477m3167,1520l3167,1477m3218,1520l3218,1477m3268,1520l3268,1477m3319,1520l3319,1477m3370,1520l3370,1477m3420,1520l3420,1477m3471,1520l3471,1477m3522,1520l3522,1477m3622,1520l3622,1477m3672,1520l3672,1477m3722,1520l3722,1477m3772,1520l3772,1477m3822,1520l3822,1477m3872,1520l3872,1477m3922,1520l3922,1477m3971,1520l3971,1477m1064,1368l988,1368m1064,1197l988,1197m1064,1007l988,1007m1064,836l988,836m1064,665l988,665m1064,475l988,475m1064,304l988,304m1064,114l988,114e" filled="false" stroked="true" strokeweight=".475pt" strokecolor="#000000">
              <v:path arrowok="t"/>
              <v:stroke dashstyle="solid"/>
            </v:shape>
            <v:shape style="position:absolute;left:1121;top:190;width:2755;height:893" coordorigin="1121,190" coordsize="2755,893" path="m1121,874l1178,836,1216,798,1273,836,1330,760,1368,836,1425,798,1482,874,1520,798,1577,950,1634,969,1672,874,1729,760,1786,665,1881,665,1938,874,1995,1007,2033,1045,2090,1007,2147,1007,2185,969,2242,969,2299,1045,2337,1083,2394,1083,2451,969,2489,950,2546,798,2603,684,2660,665,2698,627,2812,551,2850,475,2907,342,2964,266,3002,190,3059,190,3116,266,3154,342,3211,399,3268,361,3306,437,3420,513,3458,513,3515,589,3572,589,3610,684,3667,684,3724,437,3781,304,3819,228,3876,437e" filled="false" stroked="true" strokeweight=".95pt" strokecolor="#95459a">
              <v:path arrowok="t"/>
              <v:stroke dashstyle="solid"/>
            </v:shape>
            <v:shape style="position:absolute;left:2489;top:152;width:1482;height:646" coordorigin="2490,152" coordsize="1482,646" path="m2490,551l2547,684,2604,722,2661,798,2699,722,2756,627,2813,665,2851,684,2908,760,2965,722,3060,627,3117,589,3212,399,3269,304,3326,190,3364,266,3421,304,3459,361,3516,266,3573,247,3611,190,3668,266,3725,209,3782,209,3820,152,3934,190,3972,247e" filled="false" stroked="true" strokeweight=".95pt" strokecolor="#009483">
              <v:path arrowok="t"/>
              <v:stroke dashstyle="solid"/>
            </v:shape>
            <v:shape style="position:absolute;left:4047;top:114;width:95;height:893" coordorigin="4047,114" coordsize="95,893" path="m4142,1007l4047,1007m4142,836l4047,836m4142,665l4047,665m4142,475l4047,475m4142,304l4047,304m4142,114l4047,114e" filled="false" stroked="true" strokeweight=".475pt" strokecolor="#000000">
              <v:path arrowok="t"/>
              <v:stroke dashstyle="solid"/>
            </v:shape>
            <v:shape style="position:absolute;left:1121;top:38;width:2717;height:1254" coordorigin="1121,38" coordsize="2717,1254" path="m1121,969l1273,1102,1444,1121,1596,931,1748,893,1919,893,2071,855,2242,1292,2394,1045,2546,1064,2717,1197,2869,760,3040,741,3192,722,3344,152,3515,361,3667,323,3838,38e" filled="false" stroked="true" strokeweight=".95pt" strokecolor="#0099d8">
              <v:path arrowok="t"/>
              <v:stroke dashstyle="solid"/>
            </v:shape>
            <v:line style="position:absolute" from="4142,1368" to="4047,1368" stroked="true" strokeweight=".475pt" strokecolor="#000000">
              <v:stroke dashstyle="solid"/>
            </v:line>
            <v:shape style="position:absolute;left:1050;top:1368;width:3116;height:154" coordorigin="1050,1368" coordsize="3116,154" path="m4142,1368l4147,1420,4128,1436,4166,1449,4128,1468,4166,1484,4144,1493,4144,1521m1064,1368l1069,1411,1050,1426,1088,1439,1050,1458,1088,1474,1066,1484,1066,1512e" filled="false" stroked="true" strokeweight=".475pt" strokecolor="#000000">
              <v:path arrowok="t"/>
              <v:stroke dashstyle="solid"/>
            </v:shape>
            <v:shape style="position:absolute;left:2195;top:269;width:663;height:127" type="#_x0000_t202" filled="false" stroked="false">
              <v:textbox inset="0,0,0,0">
                <w:txbxContent>
                  <w:p>
                    <w:pPr>
                      <w:spacing w:line="125" w:lineRule="exact" w:before="0"/>
                      <w:ind w:left="0" w:right="0" w:firstLine="0"/>
                      <w:jc w:val="left"/>
                      <w:rPr>
                        <w:sz w:val="11"/>
                      </w:rPr>
                    </w:pPr>
                    <w:r>
                      <w:rPr>
                        <w:w w:val="105"/>
                        <w:sz w:val="11"/>
                      </w:rPr>
                      <w:t>Reward Index</w:t>
                    </w:r>
                  </w:p>
                </w:txbxContent>
              </v:textbox>
              <w10:wrap type="none"/>
            </v:shape>
            <v:shape style="position:absolute;left:1169;top:459;width:840;height:241" type="#_x0000_t202" filled="false" stroked="false">
              <v:textbox inset="0,0,0,0">
                <w:txbxContent>
                  <w:p>
                    <w:pPr>
                      <w:spacing w:line="216" w:lineRule="auto" w:before="9"/>
                      <w:ind w:left="28" w:right="-10" w:hanging="29"/>
                      <w:jc w:val="left"/>
                      <w:rPr>
                        <w:sz w:val="11"/>
                      </w:rPr>
                    </w:pPr>
                    <w:r>
                      <w:rPr>
                        <w:w w:val="105"/>
                        <w:sz w:val="11"/>
                      </w:rPr>
                      <w:t>Average Earnings Index (new)</w:t>
                    </w:r>
                  </w:p>
                </w:txbxContent>
              </v:textbox>
              <w10:wrap type="none"/>
            </v:shape>
            <v:shape style="position:absolute;left:2423;top:1162;width:1049;height:241" type="#_x0000_t202" filled="false" stroked="false">
              <v:textbox inset="0,0,0,0">
                <w:txbxContent>
                  <w:p>
                    <w:pPr>
                      <w:spacing w:line="216" w:lineRule="auto" w:before="9"/>
                      <w:ind w:left="0" w:right="-14" w:firstLine="0"/>
                      <w:jc w:val="left"/>
                      <w:rPr>
                        <w:sz w:val="11"/>
                      </w:rPr>
                    </w:pPr>
                    <w:r>
                      <w:rPr>
                        <w:w w:val="105"/>
                        <w:sz w:val="11"/>
                      </w:rPr>
                      <w:t>Wages and salaries (a) (National Accounts)</w:t>
                    </w:r>
                  </w:p>
                </w:txbxContent>
              </v:textbox>
              <w10:wrap type="none"/>
            </v:shape>
            <w10:wrap type="none"/>
          </v:group>
        </w:pict>
      </w:r>
      <w:r>
        <w:rPr>
          <w:spacing w:val="-1"/>
          <w:w w:val="105"/>
          <w:sz w:val="11"/>
        </w:rPr>
        <w:t>5.5</w:t>
      </w:r>
    </w:p>
    <w:p>
      <w:pPr>
        <w:spacing w:before="64"/>
        <w:ind w:left="0" w:right="72" w:firstLine="0"/>
        <w:jc w:val="right"/>
        <w:rPr>
          <w:sz w:val="11"/>
        </w:rPr>
      </w:pPr>
      <w:r>
        <w:rPr>
          <w:spacing w:val="-1"/>
          <w:w w:val="105"/>
          <w:sz w:val="11"/>
        </w:rPr>
        <w:t>5.0</w:t>
      </w:r>
    </w:p>
    <w:p>
      <w:pPr>
        <w:spacing w:before="44"/>
        <w:ind w:left="0" w:right="72" w:firstLine="0"/>
        <w:jc w:val="right"/>
        <w:rPr>
          <w:sz w:val="11"/>
        </w:rPr>
      </w:pPr>
      <w:r>
        <w:rPr>
          <w:spacing w:val="-1"/>
          <w:w w:val="105"/>
          <w:sz w:val="11"/>
        </w:rPr>
        <w:t>4.5</w:t>
      </w:r>
    </w:p>
    <w:p>
      <w:pPr>
        <w:spacing w:before="45"/>
        <w:ind w:left="0" w:right="72" w:firstLine="0"/>
        <w:jc w:val="right"/>
        <w:rPr>
          <w:sz w:val="11"/>
        </w:rPr>
      </w:pPr>
      <w:r>
        <w:rPr>
          <w:spacing w:val="-1"/>
          <w:w w:val="105"/>
          <w:sz w:val="11"/>
        </w:rPr>
        <w:t>4.0</w:t>
      </w:r>
    </w:p>
    <w:p>
      <w:pPr>
        <w:spacing w:before="64"/>
        <w:ind w:left="3589" w:right="0" w:firstLine="0"/>
        <w:jc w:val="left"/>
        <w:rPr>
          <w:sz w:val="11"/>
        </w:rPr>
      </w:pPr>
      <w:r>
        <w:rPr>
          <w:w w:val="105"/>
          <w:sz w:val="11"/>
        </w:rPr>
        <w:t>3.5</w:t>
      </w:r>
    </w:p>
    <w:p>
      <w:pPr>
        <w:spacing w:before="44"/>
        <w:ind w:left="3589" w:right="0" w:firstLine="0"/>
        <w:jc w:val="left"/>
        <w:rPr>
          <w:sz w:val="11"/>
        </w:rPr>
      </w:pPr>
      <w:r>
        <w:rPr>
          <w:w w:val="105"/>
          <w:sz w:val="11"/>
        </w:rPr>
        <w:t>3.0</w:t>
      </w:r>
    </w:p>
    <w:p>
      <w:pPr>
        <w:spacing w:before="64"/>
        <w:ind w:left="0" w:right="72" w:firstLine="0"/>
        <w:jc w:val="right"/>
        <w:rPr>
          <w:sz w:val="11"/>
        </w:rPr>
      </w:pPr>
      <w:r>
        <w:rPr/>
        <w:pict>
          <v:line style="position:absolute;mso-position-horizontal-relative:page;mso-position-vertical-relative:paragraph;z-index:15948800" from="207.125pt,6.909769pt" to="202.375pt,6.909769pt" stroked="true" strokeweight=".475pt" strokecolor="#000000">
            <v:stroke dashstyle="solid"/>
            <w10:wrap type="none"/>
          </v:line>
        </w:pict>
      </w:r>
      <w:r>
        <w:rPr>
          <w:spacing w:val="-1"/>
          <w:w w:val="105"/>
          <w:sz w:val="11"/>
        </w:rPr>
        <w:t>2.5</w:t>
      </w:r>
    </w:p>
    <w:p>
      <w:pPr>
        <w:spacing w:line="120" w:lineRule="exact" w:before="44"/>
        <w:ind w:left="0" w:right="72" w:firstLine="0"/>
        <w:jc w:val="right"/>
        <w:rPr>
          <w:sz w:val="11"/>
        </w:rPr>
      </w:pPr>
      <w:r>
        <w:rPr>
          <w:spacing w:val="-1"/>
          <w:w w:val="105"/>
          <w:sz w:val="11"/>
        </w:rPr>
        <w:t>2.0</w:t>
      </w:r>
    </w:p>
    <w:p>
      <w:pPr>
        <w:spacing w:line="120" w:lineRule="exact" w:before="0"/>
        <w:ind w:left="0" w:right="72" w:firstLine="0"/>
        <w:jc w:val="right"/>
        <w:rPr>
          <w:sz w:val="11"/>
        </w:rPr>
      </w:pPr>
      <w:r>
        <w:rPr>
          <w:spacing w:val="-1"/>
          <w:w w:val="105"/>
          <w:sz w:val="11"/>
        </w:rPr>
        <w:t>0.0</w:t>
      </w:r>
    </w:p>
    <w:p>
      <w:pPr>
        <w:tabs>
          <w:tab w:pos="1356" w:val="left" w:leader="none"/>
          <w:tab w:pos="1921" w:val="left" w:leader="none"/>
          <w:tab w:pos="2529" w:val="left" w:leader="none"/>
          <w:tab w:pos="3156" w:val="left" w:leader="none"/>
        </w:tabs>
        <w:spacing w:before="7"/>
        <w:ind w:left="705" w:right="0" w:firstLine="0"/>
        <w:jc w:val="left"/>
        <w:rPr>
          <w:sz w:val="11"/>
        </w:rPr>
      </w:pPr>
      <w:r>
        <w:rPr>
          <w:w w:val="105"/>
          <w:sz w:val="11"/>
        </w:rPr>
        <w:t>1994</w:t>
        <w:tab/>
        <w:t>95</w:t>
        <w:tab/>
        <w:t>96</w:t>
        <w:tab/>
        <w:t>97</w:t>
        <w:tab/>
        <w:t>98</w:t>
      </w:r>
    </w:p>
    <w:p>
      <w:pPr>
        <w:pStyle w:val="BodyText"/>
        <w:spacing w:before="5"/>
        <w:rPr>
          <w:sz w:val="12"/>
        </w:rPr>
      </w:pPr>
    </w:p>
    <w:p>
      <w:pPr>
        <w:spacing w:before="0"/>
        <w:ind w:left="1882" w:right="0" w:firstLine="0"/>
        <w:jc w:val="left"/>
        <w:rPr>
          <w:sz w:val="11"/>
        </w:rPr>
      </w:pPr>
      <w:r>
        <w:rPr/>
        <w:pict>
          <v:line style="position:absolute;mso-position-horizontal-relative:page;mso-position-vertical-relative:paragraph;z-index:15942656" from="53.224998pt,7.509758pt" to="48.474998pt,7.509758pt" stroked="true" strokeweight=".475pt" strokecolor="#000000">
            <v:stroke dashstyle="solid"/>
            <w10:wrap type="none"/>
          </v:line>
        </w:pict>
      </w:r>
      <w:r>
        <w:rPr/>
        <w:pict>
          <v:line style="position:absolute;mso-position-horizontal-relative:page;mso-position-vertical-relative:paragraph;z-index:-21540864" from="203.324997pt,7.509758pt" to="208.074997pt,7.509758pt" stroked="true" strokeweight=".475pt" strokecolor="#000000">
            <v:stroke dashstyle="solid"/>
            <w10:wrap type="none"/>
          </v:line>
        </w:pict>
      </w:r>
      <w:r>
        <w:rPr/>
        <w:pict>
          <v:group style="position:absolute;margin-left:57.025002pt;margin-top:10.834759pt;width:142.5pt;height:68.2pt;mso-position-horizontal-relative:page;mso-position-vertical-relative:paragraph;z-index:15950848" coordorigin="1141,217" coordsize="2850,1364">
            <v:rect style="position:absolute;left:1216;top:302;width:190;height:1273" filled="true" fillcolor="#b5e1e1" stroked="false">
              <v:fill type="solid"/>
            </v:rect>
            <v:rect style="position:absolute;left:1216;top:302;width:190;height:1273" filled="false" stroked="true" strokeweight=".475pt" strokecolor="#000000">
              <v:stroke dashstyle="solid"/>
            </v:rect>
            <v:rect style="position:absolute;left:1577;top:587;width:190;height:988" filled="true" fillcolor="#b5e1e1" stroked="false">
              <v:fill type="solid"/>
            </v:rect>
            <v:rect style="position:absolute;left:1577;top:587;width:190;height:988" filled="false" stroked="true" strokeweight=".475pt" strokecolor="#000000">
              <v:stroke dashstyle="solid"/>
            </v:rect>
            <v:rect style="position:absolute;left:1938;top:986;width:171;height:589" filled="true" fillcolor="#b5e1e1" stroked="false">
              <v:fill type="solid"/>
            </v:rect>
            <v:rect style="position:absolute;left:1938;top:986;width:171;height:589" filled="false" stroked="true" strokeweight=".475pt" strokecolor="#000000">
              <v:stroke dashstyle="solid"/>
            </v:rect>
            <v:rect style="position:absolute;left:2299;top:1309;width:171;height:266" filled="true" fillcolor="#b5e1e1" stroked="false">
              <v:fill type="solid"/>
            </v:rect>
            <v:rect style="position:absolute;left:2299;top:1309;width:171;height:266" filled="false" stroked="true" strokeweight=".475pt" strokecolor="#000000">
              <v:stroke dashstyle="solid"/>
            </v:rect>
            <v:rect style="position:absolute;left:2660;top:948;width:171;height:627" filled="true" fillcolor="#b5e1e1" stroked="false">
              <v:fill type="solid"/>
            </v:rect>
            <v:rect style="position:absolute;left:2660;top:948;width:171;height:627" filled="false" stroked="true" strokeweight=".475pt" strokecolor="#000000">
              <v:stroke dashstyle="solid"/>
            </v:rect>
            <v:rect style="position:absolute;left:3002;top:1024;width:171;height:551" filled="true" fillcolor="#b5e1e1" stroked="false">
              <v:fill type="solid"/>
            </v:rect>
            <v:rect style="position:absolute;left:3002;top:1024;width:171;height:551" filled="false" stroked="true" strokeweight=".475pt" strokecolor="#000000">
              <v:stroke dashstyle="solid"/>
            </v:rect>
            <v:rect style="position:absolute;left:3363;top:910;width:190;height:665" filled="true" fillcolor="#b5e1e1" stroked="false">
              <v:fill type="solid"/>
            </v:rect>
            <v:rect style="position:absolute;left:3363;top:910;width:190;height:665" filled="false" stroked="true" strokeweight=".475pt" strokecolor="#000000">
              <v:stroke dashstyle="solid"/>
            </v:rect>
            <v:rect style="position:absolute;left:3724;top:872;width:190;height:703" filled="true" fillcolor="#b5e1e1" stroked="false">
              <v:fill type="solid"/>
            </v:rect>
            <v:rect style="position:absolute;left:3724;top:872;width:190;height:703" filled="false" stroked="true" strokeweight=".475pt" strokecolor="#000000">
              <v:stroke dashstyle="solid"/>
            </v:rect>
            <v:shape style="position:absolute;left:1140;top:1556;width:2850;height:19" coordorigin="1141,1556" coordsize="2850,19" path="m1141,1575l3991,1575m1312,1575l1312,1556m1673,1575l1673,1556m2034,1575l2034,1556m2395,1575l2395,1556e" filled="false" stroked="true" strokeweight=".475pt" strokecolor="#000000">
              <v:path arrowok="t"/>
              <v:stroke dashstyle="solid"/>
            </v:shape>
            <v:shape style="position:absolute;left:3092;top:1565;width:732;height:2" coordorigin="3093,1566" coordsize="732,0" path="m3093,1566l3102,1566m3454,1566l3463,1566m3815,1566l3824,1566e" filled="false" stroked="true" strokeweight=".95pt" strokecolor="#000000">
              <v:path arrowok="t"/>
              <v:stroke dashstyle="solid"/>
            </v:shape>
            <v:line style="position:absolute" from="2737,1537" to="2737,1575" stroked="true" strokeweight=".475pt" strokecolor="#000000">
              <v:stroke dashstyle="solid"/>
            </v:line>
            <v:line style="position:absolute" from="1141,1575" to="3991,1575" stroked="true" strokeweight=".475pt" strokecolor="#000000">
              <v:stroke dashstyle="solid"/>
            </v:line>
            <v:shape style="position:absolute;left:1330;top:226;width:2489;height:798" coordorigin="1331,226" coordsize="2489,798" path="m1331,226l1673,511,2034,929,2395,1024,2756,1005,3098,948,3459,929,3820,739e" filled="false" stroked="true" strokeweight=".95pt" strokecolor="#522e91">
              <v:path arrowok="t"/>
              <v:stroke dashstyle="solid"/>
            </v:shape>
            <v:line style="position:absolute" from="2379,514" to="2379,1250" stroked="true" strokeweight=".475pt" strokecolor="#000000">
              <v:stroke dashstyle="solid"/>
            </v:line>
            <v:shape style="position:absolute;left:2355;top:1233;width:48;height:81" coordorigin="2355,1234" coordsize="48,81" path="m2403,1234l2355,1234,2362,1249,2366,1260,2370,1272,2376,1296,2378,1306,2379,1314,2381,1306,2383,1296,2389,1272,2396,1252,2403,1234xe" filled="true" fillcolor="#000000" stroked="false">
              <v:path arrowok="t"/>
              <v:fill type="solid"/>
            </v:shape>
            <v:shape style="position:absolute;left:3164;top:705;width:258;height:210" type="#_x0000_t75" stroked="false">
              <v:imagedata r:id="rId70" o:title=""/>
            </v:shape>
            <v:shape style="position:absolute;left:1739;top:362;width:1182;height:127" type="#_x0000_t202" filled="false" stroked="false">
              <v:textbox inset="0,0,0,0">
                <w:txbxContent>
                  <w:p>
                    <w:pPr>
                      <w:spacing w:line="125" w:lineRule="exact" w:before="0"/>
                      <w:ind w:left="0" w:right="0" w:firstLine="0"/>
                      <w:jc w:val="left"/>
                      <w:rPr>
                        <w:sz w:val="11"/>
                      </w:rPr>
                    </w:pPr>
                    <w:r>
                      <w:rPr>
                        <w:w w:val="105"/>
                        <w:sz w:val="11"/>
                      </w:rPr>
                      <w:t>New Earnings Survey (b)</w:t>
                    </w:r>
                  </w:p>
                </w:txbxContent>
              </v:textbox>
              <w10:wrap type="none"/>
            </v:shape>
            <v:shape style="position:absolute;left:3088;top:457;width:840;height:247" type="#_x0000_t202" filled="false" stroked="false">
              <v:textbox inset="0,0,0,0">
                <w:txbxContent>
                  <w:p>
                    <w:pPr>
                      <w:spacing w:line="228" w:lineRule="auto" w:before="4"/>
                      <w:ind w:left="53" w:right="-10" w:hanging="54"/>
                      <w:jc w:val="left"/>
                      <w:rPr>
                        <w:sz w:val="11"/>
                      </w:rPr>
                    </w:pPr>
                    <w:r>
                      <w:rPr>
                        <w:w w:val="105"/>
                        <w:sz w:val="11"/>
                      </w:rPr>
                      <w:t>Average Earnings Index (old) (c)</w:t>
                    </w:r>
                  </w:p>
                </w:txbxContent>
              </v:textbox>
              <w10:wrap type="none"/>
            </v:shape>
            <w10:wrap type="none"/>
          </v:group>
        </w:pict>
      </w:r>
      <w:r>
        <w:rPr>
          <w:w w:val="105"/>
          <w:sz w:val="11"/>
        </w:rPr>
        <w:t>Percentage changes on a year earlier </w:t>
      </w:r>
      <w:r>
        <w:rPr>
          <w:w w:val="105"/>
          <w:position w:val="-7"/>
          <w:sz w:val="11"/>
        </w:rPr>
        <w:t>9</w:t>
      </w:r>
    </w:p>
    <w:p>
      <w:pPr>
        <w:spacing w:before="22"/>
        <w:ind w:left="0" w:right="72" w:firstLine="0"/>
        <w:jc w:val="right"/>
        <w:rPr>
          <w:sz w:val="11"/>
        </w:rPr>
      </w:pPr>
      <w:r>
        <w:rPr/>
        <w:pict>
          <v:line style="position:absolute;mso-position-horizontal-relative:page;mso-position-vertical-relative:paragraph;z-index:15942144" from="53.224998pt,4.809764pt" to="48.474998pt,4.809764pt" stroked="true" strokeweight=".475pt" strokecolor="#000000">
            <v:stroke dashstyle="solid"/>
            <w10:wrap type="none"/>
          </v:line>
        </w:pict>
      </w:r>
      <w:r>
        <w:rPr/>
        <w:pict>
          <v:line style="position:absolute;mso-position-horizontal-relative:page;mso-position-vertical-relative:paragraph;z-index:15947264" from="203.324997pt,4.809764pt" to="208.074997pt,4.809764pt" stroked="true" strokeweight=".475pt" strokecolor="#000000">
            <v:stroke dashstyle="solid"/>
            <w10:wrap type="none"/>
          </v:line>
        </w:pict>
      </w:r>
      <w:r>
        <w:rPr>
          <w:w w:val="103"/>
          <w:sz w:val="11"/>
        </w:rPr>
        <w:t>8</w:t>
      </w:r>
    </w:p>
    <w:p>
      <w:pPr>
        <w:spacing w:before="25"/>
        <w:ind w:left="0" w:right="72" w:firstLine="0"/>
        <w:jc w:val="right"/>
        <w:rPr>
          <w:sz w:val="11"/>
        </w:rPr>
      </w:pPr>
      <w:r>
        <w:rPr/>
        <w:pict>
          <v:line style="position:absolute;mso-position-horizontal-relative:page;mso-position-vertical-relative:paragraph;z-index:15941632" from="53.224998pt,4.959758pt" to="48.474998pt,4.959758pt" stroked="true" strokeweight=".475pt" strokecolor="#000000">
            <v:stroke dashstyle="solid"/>
            <w10:wrap type="none"/>
          </v:line>
        </w:pict>
      </w:r>
      <w:r>
        <w:rPr/>
        <w:pict>
          <v:line style="position:absolute;mso-position-horizontal-relative:page;mso-position-vertical-relative:paragraph;z-index:15946752" from="203.324997pt,4.959758pt" to="208.074997pt,4.959758pt" stroked="true" strokeweight=".475pt" strokecolor="#000000">
            <v:stroke dashstyle="solid"/>
            <w10:wrap type="none"/>
          </v:line>
        </w:pict>
      </w:r>
      <w:r>
        <w:rPr>
          <w:w w:val="103"/>
          <w:sz w:val="11"/>
        </w:rPr>
        <w:t>7</w:t>
      </w:r>
    </w:p>
    <w:p>
      <w:pPr>
        <w:spacing w:before="45"/>
        <w:ind w:left="0" w:right="72" w:firstLine="0"/>
        <w:jc w:val="right"/>
        <w:rPr>
          <w:sz w:val="11"/>
        </w:rPr>
      </w:pPr>
      <w:r>
        <w:rPr/>
        <w:pict>
          <v:line style="position:absolute;mso-position-horizontal-relative:page;mso-position-vertical-relative:paragraph;z-index:15941120" from="53.224998pt,5.959771pt" to="48.474998pt,5.959771pt" stroked="true" strokeweight=".475pt" strokecolor="#000000">
            <v:stroke dashstyle="solid"/>
            <w10:wrap type="none"/>
          </v:line>
        </w:pict>
      </w:r>
      <w:r>
        <w:rPr/>
        <w:pict>
          <v:line style="position:absolute;mso-position-horizontal-relative:page;mso-position-vertical-relative:paragraph;z-index:15946240" from="203.324997pt,5.959771pt" to="208.074997pt,5.959771pt" stroked="true" strokeweight=".475pt" strokecolor="#000000">
            <v:stroke dashstyle="solid"/>
            <w10:wrap type="none"/>
          </v:line>
        </w:pict>
      </w:r>
      <w:r>
        <w:rPr>
          <w:w w:val="103"/>
          <w:sz w:val="11"/>
        </w:rPr>
        <w:t>6</w:t>
      </w:r>
    </w:p>
    <w:p>
      <w:pPr>
        <w:spacing w:before="25"/>
        <w:ind w:left="0" w:right="72" w:firstLine="0"/>
        <w:jc w:val="right"/>
        <w:rPr>
          <w:sz w:val="11"/>
        </w:rPr>
      </w:pPr>
      <w:r>
        <w:rPr/>
        <w:pict>
          <v:line style="position:absolute;mso-position-horizontal-relative:page;mso-position-vertical-relative:paragraph;z-index:15940608" from="53.224998pt,4.959764pt" to="48.474998pt,4.959764pt" stroked="true" strokeweight=".475pt" strokecolor="#000000">
            <v:stroke dashstyle="solid"/>
            <w10:wrap type="none"/>
          </v:line>
        </w:pict>
      </w:r>
      <w:r>
        <w:rPr/>
        <w:pict>
          <v:line style="position:absolute;mso-position-horizontal-relative:page;mso-position-vertical-relative:paragraph;z-index:15945728" from="203.324997pt,4.959764pt" to="208.074997pt,4.959764pt" stroked="true" strokeweight=".475pt" strokecolor="#000000">
            <v:stroke dashstyle="solid"/>
            <w10:wrap type="none"/>
          </v:line>
        </w:pict>
      </w:r>
      <w:r>
        <w:rPr>
          <w:w w:val="103"/>
          <w:sz w:val="11"/>
        </w:rPr>
        <w:t>5</w:t>
      </w:r>
    </w:p>
    <w:p>
      <w:pPr>
        <w:spacing w:before="26"/>
        <w:ind w:left="0" w:right="72" w:firstLine="0"/>
        <w:jc w:val="right"/>
        <w:rPr>
          <w:sz w:val="11"/>
        </w:rPr>
      </w:pPr>
      <w:r>
        <w:rPr/>
        <w:pict>
          <v:line style="position:absolute;mso-position-horizontal-relative:page;mso-position-vertical-relative:paragraph;z-index:15940096" from="53.224998pt,5.009758pt" to="48.474998pt,5.009758pt" stroked="true" strokeweight=".475pt" strokecolor="#000000">
            <v:stroke dashstyle="solid"/>
            <w10:wrap type="none"/>
          </v:line>
        </w:pict>
      </w:r>
      <w:r>
        <w:rPr/>
        <w:pict>
          <v:line style="position:absolute;mso-position-horizontal-relative:page;mso-position-vertical-relative:paragraph;z-index:15945216" from="203.324997pt,5.009758pt" to="208.074997pt,5.009758pt" stroked="true" strokeweight=".475pt" strokecolor="#000000">
            <v:stroke dashstyle="solid"/>
            <w10:wrap type="none"/>
          </v:line>
        </w:pict>
      </w:r>
      <w:r>
        <w:rPr>
          <w:w w:val="103"/>
          <w:sz w:val="11"/>
        </w:rPr>
        <w:t>4</w:t>
      </w:r>
    </w:p>
    <w:p>
      <w:pPr>
        <w:spacing w:before="44"/>
        <w:ind w:left="0" w:right="72" w:firstLine="0"/>
        <w:jc w:val="right"/>
        <w:rPr>
          <w:sz w:val="11"/>
        </w:rPr>
      </w:pPr>
      <w:r>
        <w:rPr/>
        <w:pict>
          <v:line style="position:absolute;mso-position-horizontal-relative:page;mso-position-vertical-relative:paragraph;z-index:15939584" from="53.224998pt,5.90977pt" to="48.474998pt,5.90977pt" stroked="true" strokeweight=".475pt" strokecolor="#000000">
            <v:stroke dashstyle="solid"/>
            <w10:wrap type="none"/>
          </v:line>
        </w:pict>
      </w:r>
      <w:r>
        <w:rPr/>
        <w:pict>
          <v:line style="position:absolute;mso-position-horizontal-relative:page;mso-position-vertical-relative:paragraph;z-index:15944704" from="203.324997pt,5.90977pt" to="208.074997pt,5.90977pt" stroked="true" strokeweight=".475pt" strokecolor="#000000">
            <v:stroke dashstyle="solid"/>
            <w10:wrap type="none"/>
          </v:line>
        </w:pict>
      </w:r>
      <w:r>
        <w:rPr>
          <w:w w:val="103"/>
          <w:sz w:val="11"/>
        </w:rPr>
        <w:t>3</w:t>
      </w:r>
    </w:p>
    <w:p>
      <w:pPr>
        <w:spacing w:before="26"/>
        <w:ind w:left="0" w:right="72" w:firstLine="0"/>
        <w:jc w:val="right"/>
        <w:rPr>
          <w:sz w:val="11"/>
        </w:rPr>
      </w:pPr>
      <w:r>
        <w:rPr/>
        <w:pict>
          <v:line style="position:absolute;mso-position-horizontal-relative:page;mso-position-vertical-relative:paragraph;z-index:15939072" from="53.224998pt,5.009765pt" to="48.474998pt,5.009765pt" stroked="true" strokeweight=".475pt" strokecolor="#000000">
            <v:stroke dashstyle="solid"/>
            <w10:wrap type="none"/>
          </v:line>
        </w:pict>
      </w:r>
      <w:r>
        <w:rPr/>
        <w:pict>
          <v:line style="position:absolute;mso-position-horizontal-relative:page;mso-position-vertical-relative:paragraph;z-index:15944192" from="203.324997pt,5.009765pt" to="208.074997pt,5.009765pt" stroked="true" strokeweight=".475pt" strokecolor="#000000">
            <v:stroke dashstyle="solid"/>
            <w10:wrap type="none"/>
          </v:line>
        </w:pict>
      </w:r>
      <w:r>
        <w:rPr>
          <w:w w:val="103"/>
          <w:sz w:val="11"/>
        </w:rPr>
        <w:t>2</w:t>
      </w:r>
    </w:p>
    <w:p>
      <w:pPr>
        <w:spacing w:before="25"/>
        <w:ind w:left="0" w:right="72" w:firstLine="0"/>
        <w:jc w:val="right"/>
        <w:rPr>
          <w:sz w:val="11"/>
        </w:rPr>
      </w:pPr>
      <w:r>
        <w:rPr/>
        <w:pict>
          <v:line style="position:absolute;mso-position-horizontal-relative:page;mso-position-vertical-relative:paragraph;z-index:15938560" from="53.224998pt,5.909766pt" to="48.474998pt,5.909766pt" stroked="true" strokeweight=".475pt" strokecolor="#000000">
            <v:stroke dashstyle="solid"/>
            <w10:wrap type="none"/>
          </v:line>
        </w:pict>
      </w:r>
      <w:r>
        <w:rPr/>
        <w:pict>
          <v:line style="position:absolute;mso-position-horizontal-relative:page;mso-position-vertical-relative:paragraph;z-index:15943680" from="203.324997pt,5.909766pt" to="208.074997pt,5.909766pt" stroked="true" strokeweight=".475pt" strokecolor="#000000">
            <v:stroke dashstyle="solid"/>
            <w10:wrap type="none"/>
          </v:line>
        </w:pict>
      </w:r>
      <w:r>
        <w:rPr>
          <w:w w:val="103"/>
          <w:sz w:val="11"/>
        </w:rPr>
        <w:t>1</w:t>
      </w:r>
    </w:p>
    <w:p>
      <w:pPr>
        <w:spacing w:line="120" w:lineRule="exact" w:before="45"/>
        <w:ind w:left="0" w:right="72" w:firstLine="0"/>
        <w:jc w:val="right"/>
        <w:rPr>
          <w:sz w:val="11"/>
        </w:rPr>
      </w:pPr>
      <w:r>
        <w:rPr/>
        <w:pict>
          <v:line style="position:absolute;mso-position-horizontal-relative:page;mso-position-vertical-relative:paragraph;z-index:15938048" from="53.224998pt,5.959763pt" to="48.474998pt,5.959763pt" stroked="true" strokeweight=".475pt" strokecolor="#000000">
            <v:stroke dashstyle="solid"/>
            <w10:wrap type="none"/>
          </v:line>
        </w:pict>
      </w:r>
      <w:r>
        <w:rPr/>
        <w:pict>
          <v:line style="position:absolute;mso-position-horizontal-relative:page;mso-position-vertical-relative:paragraph;z-index:15943168" from="203.324997pt,5.959763pt" to="208.074997pt,5.959763pt" stroked="true" strokeweight=".475pt" strokecolor="#000000">
            <v:stroke dashstyle="solid"/>
            <w10:wrap type="none"/>
          </v:line>
        </w:pict>
      </w:r>
      <w:r>
        <w:rPr>
          <w:w w:val="103"/>
          <w:sz w:val="11"/>
        </w:rPr>
        <w:t>0</w:t>
      </w:r>
    </w:p>
    <w:p>
      <w:pPr>
        <w:tabs>
          <w:tab w:pos="1346" w:val="left" w:leader="none"/>
          <w:tab w:pos="1688" w:val="left" w:leader="none"/>
          <w:tab w:pos="2049" w:val="left" w:leader="none"/>
          <w:tab w:pos="2411" w:val="left" w:leader="none"/>
          <w:tab w:pos="2772" w:val="left" w:leader="none"/>
          <w:tab w:pos="3133" w:val="left" w:leader="none"/>
        </w:tabs>
        <w:spacing w:line="120" w:lineRule="exact" w:before="0"/>
        <w:ind w:left="586" w:right="0" w:firstLine="0"/>
        <w:jc w:val="left"/>
        <w:rPr>
          <w:sz w:val="11"/>
        </w:rPr>
      </w:pPr>
      <w:r>
        <w:rPr>
          <w:w w:val="105"/>
          <w:sz w:val="11"/>
        </w:rPr>
        <w:t>1991    </w:t>
      </w:r>
      <w:r>
        <w:rPr>
          <w:spacing w:val="23"/>
          <w:w w:val="105"/>
          <w:sz w:val="11"/>
        </w:rPr>
        <w:t> </w:t>
      </w:r>
      <w:r>
        <w:rPr>
          <w:w w:val="105"/>
          <w:sz w:val="11"/>
        </w:rPr>
        <w:t>92</w:t>
        <w:tab/>
        <w:t>93</w:t>
        <w:tab/>
        <w:t>94</w:t>
        <w:tab/>
        <w:t>95</w:t>
        <w:tab/>
        <w:t>96</w:t>
        <w:tab/>
        <w:t>97</w:t>
        <w:tab/>
        <w:t>98</w:t>
      </w:r>
    </w:p>
    <w:p>
      <w:pPr>
        <w:spacing w:before="91"/>
        <w:ind w:left="185" w:right="0" w:firstLine="0"/>
        <w:jc w:val="left"/>
        <w:rPr>
          <w:sz w:val="12"/>
        </w:rPr>
      </w:pPr>
      <w:r>
        <w:rPr>
          <w:sz w:val="12"/>
        </w:rPr>
        <w:t>Sources: ONS, Bank of England and the Reward Group.</w:t>
      </w:r>
    </w:p>
    <w:p>
      <w:pPr>
        <w:pStyle w:val="BodyText"/>
        <w:spacing w:before="1"/>
        <w:rPr>
          <w:sz w:val="10"/>
        </w:rPr>
      </w:pPr>
    </w:p>
    <w:p>
      <w:pPr>
        <w:pStyle w:val="ListParagraph"/>
        <w:numPr>
          <w:ilvl w:val="0"/>
          <w:numId w:val="17"/>
        </w:numPr>
        <w:tabs>
          <w:tab w:pos="426" w:val="left" w:leader="none"/>
        </w:tabs>
        <w:spacing w:line="208" w:lineRule="auto" w:before="0" w:after="0"/>
        <w:ind w:left="425" w:right="302" w:hanging="240"/>
        <w:jc w:val="left"/>
        <w:rPr>
          <w:sz w:val="12"/>
        </w:rPr>
      </w:pPr>
      <w:r>
        <w:rPr>
          <w:sz w:val="12"/>
        </w:rPr>
        <w:t>Calculated by dividing wages and salaries by total employees </w:t>
      </w:r>
      <w:r>
        <w:rPr>
          <w:spacing w:val="-8"/>
          <w:sz w:val="12"/>
        </w:rPr>
        <w:t>in </w:t>
      </w:r>
      <w:r>
        <w:rPr>
          <w:sz w:val="12"/>
        </w:rPr>
        <w:t>employment.</w:t>
      </w:r>
    </w:p>
    <w:p>
      <w:pPr>
        <w:pStyle w:val="ListParagraph"/>
        <w:numPr>
          <w:ilvl w:val="0"/>
          <w:numId w:val="17"/>
        </w:numPr>
        <w:tabs>
          <w:tab w:pos="426" w:val="left" w:leader="none"/>
        </w:tabs>
        <w:spacing w:line="208" w:lineRule="auto" w:before="0" w:after="0"/>
        <w:ind w:left="425" w:right="219" w:hanging="240"/>
        <w:jc w:val="left"/>
        <w:rPr>
          <w:sz w:val="12"/>
        </w:rPr>
      </w:pPr>
      <w:r>
        <w:rPr>
          <w:sz w:val="12"/>
        </w:rPr>
        <w:t>Average gross weekly earnings of all employees, based on </w:t>
      </w:r>
      <w:r>
        <w:rPr>
          <w:spacing w:val="-3"/>
          <w:sz w:val="12"/>
        </w:rPr>
        <w:t>annual </w:t>
      </w:r>
      <w:r>
        <w:rPr>
          <w:sz w:val="12"/>
        </w:rPr>
        <w:t>survey data undertaken in April of each year.</w:t>
      </w:r>
    </w:p>
    <w:p>
      <w:pPr>
        <w:pStyle w:val="ListParagraph"/>
        <w:numPr>
          <w:ilvl w:val="0"/>
          <w:numId w:val="17"/>
        </w:numPr>
        <w:tabs>
          <w:tab w:pos="426" w:val="left" w:leader="none"/>
        </w:tabs>
        <w:spacing w:line="123" w:lineRule="exact" w:before="0" w:after="0"/>
        <w:ind w:left="425" w:right="0" w:hanging="241"/>
        <w:jc w:val="left"/>
        <w:rPr>
          <w:sz w:val="12"/>
        </w:rPr>
      </w:pPr>
      <w:r>
        <w:rPr>
          <w:sz w:val="12"/>
        </w:rPr>
        <w:t>Seasonally adjusted twelve-month rate.</w:t>
      </w:r>
    </w:p>
    <w:p>
      <w:pPr>
        <w:pStyle w:val="Heading4"/>
        <w:spacing w:line="242" w:lineRule="auto" w:before="3"/>
        <w:ind w:left="185" w:right="287"/>
      </w:pPr>
      <w:r>
        <w:rPr/>
        <w:br w:type="column"/>
      </w:r>
      <w:r>
        <w:rPr/>
        <w:t>of estimated regular pay growth and the contribution made by irregular components, including bonuses, in the past 18 months. According to the new earnings figures, regular pay growth fell sharply during 1997, but rose in early 1998. Bonus contributions have been volatile.</w:t>
      </w:r>
    </w:p>
    <w:p>
      <w:pPr>
        <w:spacing w:line="242" w:lineRule="auto" w:before="6"/>
        <w:ind w:left="185" w:right="35" w:firstLine="0"/>
        <w:jc w:val="left"/>
        <w:rPr>
          <w:sz w:val="24"/>
        </w:rPr>
      </w:pPr>
      <w:r>
        <w:rPr>
          <w:sz w:val="24"/>
        </w:rPr>
        <w:t>With the notable exception of May, when reported bonus payments were around 90% higher than a year before, bonus growth has been sporadic and often slower than regular pay growth.</w:t>
      </w:r>
    </w:p>
    <w:p>
      <w:pPr>
        <w:pStyle w:val="BodyText"/>
        <w:spacing w:before="3"/>
        <w:rPr>
          <w:sz w:val="21"/>
        </w:rPr>
      </w:pPr>
    </w:p>
    <w:p>
      <w:pPr>
        <w:spacing w:line="242" w:lineRule="auto" w:before="0"/>
        <w:ind w:left="185" w:right="355" w:firstLine="0"/>
        <w:jc w:val="left"/>
        <w:rPr>
          <w:sz w:val="24"/>
        </w:rPr>
      </w:pPr>
      <w:r>
        <w:rPr>
          <w:sz w:val="24"/>
        </w:rPr>
        <w:t>Chart 3.5 contrasts the revised numbers with other measures of earnings growth. Data based on the National Accounts suggest that wages and salaries per employee grew by more than 5% in 1998 Q2, and that earnings growth increased steadily during 1996–98. </w:t>
      </w:r>
      <w:r>
        <w:rPr>
          <w:spacing w:val="-6"/>
          <w:sz w:val="24"/>
        </w:rPr>
        <w:t>But </w:t>
      </w:r>
      <w:r>
        <w:rPr>
          <w:sz w:val="24"/>
        </w:rPr>
        <w:t>wage and salary data are derived mainly from annual Inland Revenue P</w:t>
      </w:r>
      <w:r>
        <w:rPr>
          <w:sz w:val="20"/>
        </w:rPr>
        <w:t>AYE </w:t>
      </w:r>
      <w:r>
        <w:rPr>
          <w:sz w:val="24"/>
        </w:rPr>
        <w:t>figures, with the quarterly profile interpolated from the </w:t>
      </w:r>
      <w:r>
        <w:rPr>
          <w:spacing w:val="-3"/>
          <w:sz w:val="24"/>
        </w:rPr>
        <w:t>Workforce </w:t>
      </w:r>
      <w:r>
        <w:rPr>
          <w:sz w:val="24"/>
        </w:rPr>
        <w:t>survey and the AEI. </w:t>
      </w:r>
      <w:r>
        <w:rPr>
          <w:spacing w:val="-5"/>
          <w:sz w:val="24"/>
        </w:rPr>
        <w:t>Wages </w:t>
      </w:r>
      <w:r>
        <w:rPr>
          <w:sz w:val="24"/>
        </w:rPr>
        <w:t>and salaries could, therefore, be subject</w:t>
      </w:r>
      <w:r>
        <w:rPr>
          <w:spacing w:val="6"/>
          <w:sz w:val="24"/>
        </w:rPr>
        <w:t> </w:t>
      </w:r>
      <w:r>
        <w:rPr>
          <w:sz w:val="24"/>
        </w:rPr>
        <w:t>to</w:t>
      </w:r>
    </w:p>
    <w:p>
      <w:pPr>
        <w:spacing w:after="0" w:line="242" w:lineRule="auto"/>
        <w:jc w:val="left"/>
        <w:rPr>
          <w:sz w:val="24"/>
        </w:rPr>
        <w:sectPr>
          <w:type w:val="continuous"/>
          <w:pgSz w:w="11900" w:h="16840"/>
          <w:pgMar w:top="1220" w:bottom="280" w:left="620" w:right="520"/>
          <w:cols w:num="2" w:equalWidth="0">
            <w:col w:w="3807" w:space="988"/>
            <w:col w:w="5965"/>
          </w:cols>
        </w:sectPr>
      </w:pPr>
    </w:p>
    <w:p>
      <w:pPr>
        <w:pStyle w:val="BodyText"/>
        <w:rPr>
          <w:sz w:val="20"/>
        </w:rPr>
      </w:pPr>
    </w:p>
    <w:p>
      <w:pPr>
        <w:spacing w:after="0"/>
        <w:rPr>
          <w:sz w:val="20"/>
        </w:rPr>
        <w:sectPr>
          <w:pgSz w:w="11900" w:h="16840"/>
          <w:pgMar w:header="586" w:footer="597" w:top="780" w:bottom="780" w:left="620" w:right="52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6"/>
        </w:rPr>
      </w:pPr>
    </w:p>
    <w:p>
      <w:pPr>
        <w:pStyle w:val="Heading7"/>
        <w:spacing w:before="0"/>
        <w:ind w:left="190"/>
      </w:pPr>
      <w:r>
        <w:rPr>
          <w:color w:val="0093C1"/>
        </w:rPr>
        <w:t>Chart 3.6</w:t>
      </w:r>
    </w:p>
    <w:p>
      <w:pPr>
        <w:spacing w:before="10"/>
        <w:ind w:left="190" w:right="0" w:firstLine="0"/>
        <w:jc w:val="left"/>
        <w:rPr>
          <w:b/>
          <w:sz w:val="20"/>
        </w:rPr>
      </w:pPr>
      <w:r>
        <w:rPr>
          <w:b/>
          <w:color w:val="0093C1"/>
          <w:sz w:val="20"/>
        </w:rPr>
        <w:t>Wage settlements by sector</w:t>
      </w:r>
    </w:p>
    <w:p>
      <w:pPr>
        <w:spacing w:before="195"/>
        <w:ind w:left="277" w:right="0" w:firstLine="0"/>
        <w:jc w:val="left"/>
        <w:rPr>
          <w:sz w:val="12"/>
        </w:rPr>
      </w:pPr>
      <w:r>
        <w:rPr>
          <w:sz w:val="12"/>
        </w:rPr>
        <w:t>Twelve-month employment-weighted mean</w:t>
      </w:r>
    </w:p>
    <w:p>
      <w:pPr>
        <w:pStyle w:val="BodyText"/>
        <w:spacing w:line="20" w:lineRule="exact"/>
        <w:ind w:left="277"/>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spacing w:before="1"/>
        <w:rPr>
          <w:sz w:val="26"/>
        </w:rPr>
      </w:pPr>
      <w:r>
        <w:rPr/>
        <w:pict>
          <v:shape style="position:absolute;margin-left:45.104pt;margin-top:17.200001pt;width:5pt;height:.1pt;mso-position-horizontal-relative:page;mso-position-vertical-relative:paragraph;z-index:-15493632;mso-wrap-distance-left:0;mso-wrap-distance-right:0" coordorigin="902,344" coordsize="100,0" path="m1002,344l902,344e" filled="false" stroked="true" strokeweight=".5pt" strokecolor="#000000">
            <v:path arrowok="t"/>
            <v:stroke dashstyle="solid"/>
            <w10:wrap type="topAndBottom"/>
          </v:shape>
        </w:pict>
      </w:r>
      <w:r>
        <w:rPr/>
        <w:pict>
          <v:shape style="position:absolute;margin-left:45.104pt;margin-top:34.200001pt;width:5pt;height:.1pt;mso-position-horizontal-relative:page;mso-position-vertical-relative:paragraph;z-index:-15493120;mso-wrap-distance-left:0;mso-wrap-distance-right:0" coordorigin="902,684" coordsize="100,0" path="m1002,684l902,684e" filled="false" stroked="true" strokeweight=".5pt" strokecolor="#000000">
            <v:path arrowok="t"/>
            <v:stroke dashstyle="solid"/>
            <w10:wrap type="topAndBottom"/>
          </v:shape>
        </w:pict>
      </w:r>
      <w:r>
        <w:rPr/>
        <w:pict>
          <v:shape style="position:absolute;margin-left:45.104pt;margin-top:50.200001pt;width:5pt;height:.1pt;mso-position-horizontal-relative:page;mso-position-vertical-relative:paragraph;z-index:-15492608;mso-wrap-distance-left:0;mso-wrap-distance-right:0" coordorigin="902,1004" coordsize="100,0" path="m1002,1004l902,1004e" filled="false" stroked="true" strokeweight=".5pt" strokecolor="#000000">
            <v:path arrowok="t"/>
            <v:stroke dashstyle="solid"/>
            <w10:wrap type="topAndBottom"/>
          </v:shape>
        </w:pict>
      </w:r>
      <w:r>
        <w:rPr/>
        <w:pict>
          <v:shape style="position:absolute;margin-left:45.104pt;margin-top:67.199997pt;width:5pt;height:.1pt;mso-position-horizontal-relative:page;mso-position-vertical-relative:paragraph;z-index:-15492096;mso-wrap-distance-left:0;mso-wrap-distance-right:0" coordorigin="902,1344" coordsize="100,0" path="m1002,1344l902,1344e" filled="false" stroked="true" strokeweight=".5pt" strokecolor="#000000">
            <v:path arrowok="t"/>
            <v:stroke dashstyle="solid"/>
            <w10:wrap type="topAndBottom"/>
          </v:shape>
        </w:pict>
      </w:r>
      <w:r>
        <w:rPr/>
        <w:pict>
          <v:shape style="position:absolute;margin-left:45.104pt;margin-top:84.199997pt;width:5pt;height:.1pt;mso-position-horizontal-relative:page;mso-position-vertical-relative:paragraph;z-index:-15491584;mso-wrap-distance-left:0;mso-wrap-distance-right:0" coordorigin="902,1684" coordsize="100,0" path="m1002,1684l902,1684e" filled="false" stroked="true" strokeweight=".5pt" strokecolor="#000000">
            <v:path arrowok="t"/>
            <v:stroke dashstyle="solid"/>
            <w10:wrap type="topAndBottom"/>
          </v:shape>
        </w:pict>
      </w:r>
      <w:r>
        <w:rPr/>
        <w:pict>
          <v:shape style="position:absolute;margin-left:45.104pt;margin-top:101.199997pt;width:5pt;height:.1pt;mso-position-horizontal-relative:page;mso-position-vertical-relative:paragraph;z-index:-15491072;mso-wrap-distance-left:0;mso-wrap-distance-right:0" coordorigin="902,2024" coordsize="100,0" path="m1002,2024l902,2024e" filled="false" stroked="true" strokeweight=".5pt" strokecolor="#000000">
            <v:path arrowok="t"/>
            <v:stroke dashstyle="solid"/>
            <w10:wrap type="topAndBottom"/>
          </v:shape>
        </w:pict>
      </w:r>
      <w:r>
        <w:rPr/>
        <w:pict>
          <v:shape style="position:absolute;margin-left:45.104pt;margin-top:117.199997pt;width:5pt;height:.1pt;mso-position-horizontal-relative:page;mso-position-vertical-relative:paragraph;z-index:-15490560;mso-wrap-distance-left:0;mso-wrap-distance-right:0" coordorigin="902,2344" coordsize="100,0" path="m1002,2344l902,2344e" filled="false" stroked="true" strokeweight=".5pt" strokecolor="#000000">
            <v:path arrowok="t"/>
            <v:stroke dashstyle="solid"/>
            <w10:wrap type="topAndBottom"/>
          </v:shape>
        </w:pict>
      </w:r>
      <w:r>
        <w:rPr/>
        <w:pict>
          <v:shape style="position:absolute;margin-left:45.104pt;margin-top:134.199997pt;width:5pt;height:.1pt;mso-position-horizontal-relative:page;mso-position-vertical-relative:paragraph;z-index:-15490048;mso-wrap-distance-left:0;mso-wrap-distance-right:0" coordorigin="902,2684" coordsize="100,0" path="m1002,2684l902,2684e" filled="false" stroked="true" strokeweight=".5pt" strokecolor="#000000">
            <v:path arrowok="t"/>
            <v:stroke dashstyle="solid"/>
            <w10:wrap type="topAndBottom"/>
          </v:shape>
        </w:pict>
      </w:r>
    </w:p>
    <w:p>
      <w:pPr>
        <w:pStyle w:val="BodyText"/>
        <w:spacing w:before="9"/>
        <w:rPr>
          <w:sz w:val="22"/>
        </w:rPr>
      </w:pPr>
    </w:p>
    <w:p>
      <w:pPr>
        <w:pStyle w:val="BodyText"/>
        <w:rPr>
          <w:sz w:val="21"/>
        </w:rPr>
      </w:pPr>
    </w:p>
    <w:p>
      <w:pPr>
        <w:pStyle w:val="BodyText"/>
        <w:spacing w:before="9"/>
        <w:rPr>
          <w:sz w:val="22"/>
        </w:rPr>
      </w:pPr>
    </w:p>
    <w:p>
      <w:pPr>
        <w:pStyle w:val="BodyText"/>
        <w:spacing w:before="9"/>
        <w:rPr>
          <w:sz w:val="22"/>
        </w:rPr>
      </w:pPr>
    </w:p>
    <w:p>
      <w:pPr>
        <w:pStyle w:val="BodyText"/>
        <w:spacing w:before="9"/>
        <w:rPr>
          <w:sz w:val="22"/>
        </w:rPr>
      </w:pPr>
    </w:p>
    <w:p>
      <w:pPr>
        <w:pStyle w:val="BodyText"/>
        <w:rPr>
          <w:sz w:val="21"/>
        </w:rPr>
      </w:pPr>
    </w:p>
    <w:p>
      <w:pPr>
        <w:pStyle w:val="BodyText"/>
        <w:spacing w:before="9"/>
        <w:rPr>
          <w:sz w:val="22"/>
        </w:rPr>
      </w:pP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9"/>
        <w:rPr>
          <w:sz w:val="15"/>
        </w:rPr>
      </w:pPr>
    </w:p>
    <w:p>
      <w:pPr>
        <w:spacing w:line="119" w:lineRule="exact" w:before="0"/>
        <w:ind w:left="190" w:right="0" w:firstLine="0"/>
        <w:jc w:val="left"/>
        <w:rPr>
          <w:sz w:val="12"/>
        </w:rPr>
      </w:pPr>
      <w:r>
        <w:rPr>
          <w:sz w:val="12"/>
        </w:rPr>
        <w:t>Per cent</w:t>
      </w:r>
    </w:p>
    <w:p>
      <w:pPr>
        <w:spacing w:line="119" w:lineRule="exact" w:before="0"/>
        <w:ind w:left="634" w:right="0" w:firstLine="0"/>
        <w:jc w:val="left"/>
        <w:rPr>
          <w:sz w:val="12"/>
        </w:rPr>
      </w:pPr>
      <w:r>
        <w:rPr/>
        <w:pict>
          <v:line style="position:absolute;mso-position-horizontal-relative:page;mso-position-vertical-relative:paragraph;z-index:15974912" from="213.604004pt,2.151855pt" to="208.604004pt,2.151855pt" stroked="true" strokeweight=".5pt" strokecolor="#000000">
            <v:stroke dashstyle="solid"/>
            <w10:wrap type="none"/>
          </v:line>
        </w:pict>
      </w:r>
      <w:r>
        <w:rPr>
          <w:sz w:val="12"/>
        </w:rPr>
        <w:t>4.25</w:t>
      </w:r>
    </w:p>
    <w:p>
      <w:pPr>
        <w:pStyle w:val="BodyText"/>
        <w:spacing w:before="10"/>
        <w:rPr>
          <w:sz w:val="15"/>
        </w:rPr>
      </w:pPr>
    </w:p>
    <w:p>
      <w:pPr>
        <w:spacing w:before="0"/>
        <w:ind w:left="0" w:right="38" w:firstLine="0"/>
        <w:jc w:val="right"/>
        <w:rPr>
          <w:sz w:val="12"/>
        </w:rPr>
      </w:pPr>
      <w:r>
        <w:rPr/>
        <w:pict>
          <v:group style="position:absolute;margin-left:53.75pt;margin-top:-3.398438pt;width:151pt;height:129pt;mso-position-horizontal-relative:page;mso-position-vertical-relative:paragraph;z-index:15970304" coordorigin="1075,-68" coordsize="3020,2580">
            <v:shape style="position:absolute;left:1085;top:-58;width:3000;height:2520" coordorigin="1085,-58" coordsize="3000,2520" path="m1085,2462l1145,2402,1185,2282,1245,2202,1305,2182,1365,1942,1425,1882,1485,1862,1525,1842,1585,1702,1645,1662,1705,1642,1765,1442,1825,1422,1865,1302,1925,1242,1985,1202,2045,1202,2105,1182,2225,1182,2265,1102,2325,1082,2385,1082,2445,1062,2505,1022,2565,942,2605,922,2665,922,2725,902,2905,902,2945,942,3005,942,3065,962,3125,842,3185,882,3245,862,3285,842,3345,542,3405,562,3525,522,3585,522,3625,362,3685,322,3745,262,3805,242,3865,102,3925,82,3965,-18,4025,2,4085,-58e" filled="false" stroked="true" strokeweight="1pt" strokecolor="#0066a5">
              <v:path arrowok="t"/>
              <v:stroke dashstyle="solid"/>
            </v:shape>
            <v:shape style="position:absolute;left:1085;top:1022;width:3000;height:1480" coordorigin="1085,1022" coordsize="3000,1480" path="m1085,2502l1185,2502,1245,2282,1305,2262,1365,2102,1425,2042,1485,2042,1525,2022,1705,2022,1765,1982,1825,1962,1865,1882,1925,1802,1985,1762,2045,1662,2105,1642,2165,1562,2385,1562,2445,1602,2505,1602,2565,1542,2665,1542,2725,1522,2845,1562,3065,1562,3125,1362,3185,1362,3245,1342,3285,1342,3345,1382,3405,1402,3465,1382,3745,1382,3805,1142,3925,1142,3965,1102,4085,1022e" filled="false" stroked="true" strokeweight="1pt" strokecolor="#95459a">
              <v:path arrowok="t"/>
              <v:stroke dashstyle="solid"/>
            </v:shape>
            <v:shape style="position:absolute;left:1085;top:462;width:3000;height:2040" coordorigin="1085,462" coordsize="3000,2040" path="m1085,2502l1145,2462,1185,2362,1245,2242,1305,2222,1365,2002,1425,1962,1485,1942,1525,1942,1585,1842,1645,1842,1705,1822,1765,1662,1825,1642,1865,1562,1925,1482,1985,1442,2045,1382,2165,1342,2225,1342,2265,1282,2385,1282,2445,1322,2505,1282,2565,1202,2605,1202,2725,1162,2785,1182,2905,1182,2945,1222,3065,1222,3125,1082,3185,1102,3245,1102,3285,1082,3345,902,3405,922,3525,882,3585,882,3625,802,3685,782,3745,742,3805,622,3865,562,3925,542,3965,482,4025,462,4085,482e" filled="false" stroked="true" strokeweight="1pt" strokecolor="#ed1b2d">
              <v:path arrowok="t"/>
              <v:stroke dashstyle="solid"/>
            </v:shape>
            <v:shape style="position:absolute;left:3284;top:225;width:360;height:133" type="#_x0000_t202" filled="false" stroked="false">
              <v:textbox inset="0,0,0,0">
                <w:txbxContent>
                  <w:p>
                    <w:pPr>
                      <w:spacing w:line="133" w:lineRule="exact" w:before="0"/>
                      <w:ind w:left="0" w:right="0" w:firstLine="0"/>
                      <w:jc w:val="left"/>
                      <w:rPr>
                        <w:sz w:val="12"/>
                      </w:rPr>
                    </w:pPr>
                    <w:r>
                      <w:rPr>
                        <w:sz w:val="12"/>
                      </w:rPr>
                      <w:t>Private</w:t>
                    </w:r>
                  </w:p>
                </w:txbxContent>
              </v:textbox>
              <w10:wrap type="none"/>
            </v:shape>
            <v:shape style="position:absolute;left:2154;top:1340;width:820;height:133" type="#_x0000_t202" filled="false" stroked="false">
              <v:textbox inset="0,0,0,0">
                <w:txbxContent>
                  <w:p>
                    <w:pPr>
                      <w:spacing w:line="133" w:lineRule="exact" w:before="0"/>
                      <w:ind w:left="0" w:right="0" w:firstLine="0"/>
                      <w:jc w:val="left"/>
                      <w:rPr>
                        <w:sz w:val="12"/>
                      </w:rPr>
                    </w:pPr>
                    <w:r>
                      <w:rPr>
                        <w:sz w:val="12"/>
                      </w:rPr>
                      <w:t>Whole-economy</w:t>
                    </w:r>
                  </w:p>
                </w:txbxContent>
              </v:textbox>
              <w10:wrap type="none"/>
            </v:shape>
            <v:shape style="position:absolute;left:3079;top:1530;width:327;height:133" type="#_x0000_t202" filled="false" stroked="false">
              <v:textbox inset="0,0,0,0">
                <w:txbxContent>
                  <w:p>
                    <w:pPr>
                      <w:spacing w:line="133" w:lineRule="exact" w:before="0"/>
                      <w:ind w:left="0" w:right="0" w:firstLine="0"/>
                      <w:jc w:val="left"/>
                      <w:rPr>
                        <w:sz w:val="12"/>
                      </w:rPr>
                    </w:pPr>
                    <w:r>
                      <w:rPr>
                        <w:sz w:val="12"/>
                      </w:rPr>
                      <w:t>Public</w:t>
                    </w:r>
                  </w:p>
                </w:txbxContent>
              </v:textbox>
              <w10:wrap type="none"/>
            </v:shape>
            <w10:wrap type="none"/>
          </v:group>
        </w:pict>
      </w:r>
      <w:r>
        <w:rPr/>
        <w:pict>
          <v:line style="position:absolute;mso-position-horizontal-relative:page;mso-position-vertical-relative:paragraph;z-index:15974400" from="213.604004pt,4.101563pt" to="208.604004pt,4.101563pt" stroked="true" strokeweight=".5pt" strokecolor="#000000">
            <v:stroke dashstyle="solid"/>
            <w10:wrap type="none"/>
          </v:line>
        </w:pict>
      </w:r>
      <w:r>
        <w:rPr>
          <w:sz w:val="12"/>
        </w:rPr>
        <w:t>4.00</w:t>
      </w:r>
    </w:p>
    <w:p>
      <w:pPr>
        <w:pStyle w:val="BodyText"/>
        <w:spacing w:before="6"/>
        <w:rPr>
          <w:sz w:val="17"/>
        </w:rPr>
      </w:pPr>
    </w:p>
    <w:p>
      <w:pPr>
        <w:spacing w:before="0"/>
        <w:ind w:left="0" w:right="38" w:firstLine="0"/>
        <w:jc w:val="right"/>
        <w:rPr>
          <w:sz w:val="12"/>
        </w:rPr>
      </w:pPr>
      <w:r>
        <w:rPr/>
        <w:pict>
          <v:line style="position:absolute;mso-position-horizontal-relative:page;mso-position-vertical-relative:paragraph;z-index:15973888" from="213.604004pt,4.101563pt" to="208.604004pt,4.101563pt" stroked="true" strokeweight=".5pt" strokecolor="#000000">
            <v:stroke dashstyle="solid"/>
            <w10:wrap type="none"/>
          </v:line>
        </w:pict>
      </w:r>
      <w:r>
        <w:rPr>
          <w:sz w:val="12"/>
        </w:rPr>
        <w:t>3.75</w:t>
      </w:r>
    </w:p>
    <w:p>
      <w:pPr>
        <w:pStyle w:val="BodyText"/>
        <w:spacing w:before="7"/>
        <w:rPr>
          <w:sz w:val="17"/>
        </w:rPr>
      </w:pPr>
    </w:p>
    <w:p>
      <w:pPr>
        <w:spacing w:before="0"/>
        <w:ind w:left="0" w:right="38" w:firstLine="0"/>
        <w:jc w:val="right"/>
        <w:rPr>
          <w:sz w:val="12"/>
        </w:rPr>
      </w:pPr>
      <w:r>
        <w:rPr/>
        <w:pict>
          <v:line style="position:absolute;mso-position-horizontal-relative:page;mso-position-vertical-relative:paragraph;z-index:15973376" from="213.604004pt,3.101563pt" to="208.604004pt,3.101563pt" stroked="true" strokeweight=".5pt" strokecolor="#000000">
            <v:stroke dashstyle="solid"/>
            <w10:wrap type="none"/>
          </v:line>
        </w:pict>
      </w:r>
      <w:r>
        <w:rPr>
          <w:sz w:val="12"/>
        </w:rPr>
        <w:t>3.50</w:t>
      </w:r>
    </w:p>
    <w:p>
      <w:pPr>
        <w:pStyle w:val="BodyText"/>
        <w:spacing w:before="6"/>
        <w:rPr>
          <w:sz w:val="17"/>
        </w:rPr>
      </w:pPr>
    </w:p>
    <w:p>
      <w:pPr>
        <w:spacing w:before="0"/>
        <w:ind w:left="0" w:right="38" w:firstLine="0"/>
        <w:jc w:val="right"/>
        <w:rPr>
          <w:sz w:val="12"/>
        </w:rPr>
      </w:pPr>
      <w:r>
        <w:rPr/>
        <w:pict>
          <v:line style="position:absolute;mso-position-horizontal-relative:page;mso-position-vertical-relative:paragraph;z-index:15972864" from="213.604004pt,3.101563pt" to="208.604004pt,3.101563pt" stroked="true" strokeweight=".5pt" strokecolor="#000000">
            <v:stroke dashstyle="solid"/>
            <w10:wrap type="none"/>
          </v:line>
        </w:pict>
      </w:r>
      <w:r>
        <w:rPr>
          <w:sz w:val="12"/>
        </w:rPr>
        <w:t>3.25</w:t>
      </w:r>
    </w:p>
    <w:p>
      <w:pPr>
        <w:pStyle w:val="BodyText"/>
        <w:spacing w:before="10"/>
        <w:rPr>
          <w:sz w:val="15"/>
        </w:rPr>
      </w:pPr>
    </w:p>
    <w:p>
      <w:pPr>
        <w:spacing w:before="0"/>
        <w:ind w:left="0" w:right="38" w:firstLine="0"/>
        <w:jc w:val="right"/>
        <w:rPr>
          <w:sz w:val="12"/>
        </w:rPr>
      </w:pPr>
      <w:r>
        <w:rPr/>
        <w:pict>
          <v:line style="position:absolute;mso-position-horizontal-relative:page;mso-position-vertical-relative:paragraph;z-index:15972352" from="213.604004pt,4.101563pt" to="208.604004pt,4.101563pt" stroked="true" strokeweight=".5pt" strokecolor="#000000">
            <v:stroke dashstyle="solid"/>
            <w10:wrap type="none"/>
          </v:line>
        </w:pict>
      </w:r>
      <w:r>
        <w:rPr>
          <w:sz w:val="12"/>
        </w:rPr>
        <w:t>3.00</w:t>
      </w:r>
    </w:p>
    <w:p>
      <w:pPr>
        <w:pStyle w:val="BodyText"/>
        <w:spacing w:before="6"/>
        <w:rPr>
          <w:sz w:val="17"/>
        </w:rPr>
      </w:pPr>
    </w:p>
    <w:p>
      <w:pPr>
        <w:spacing w:before="0"/>
        <w:ind w:left="0" w:right="38" w:firstLine="0"/>
        <w:jc w:val="right"/>
        <w:rPr>
          <w:sz w:val="12"/>
        </w:rPr>
      </w:pPr>
      <w:r>
        <w:rPr/>
        <w:pict>
          <v:line style="position:absolute;mso-position-horizontal-relative:page;mso-position-vertical-relative:paragraph;z-index:15971840" from="213.604004pt,4.101563pt" to="208.604004pt,4.101563pt" stroked="true" strokeweight=".5pt" strokecolor="#000000">
            <v:stroke dashstyle="solid"/>
            <w10:wrap type="none"/>
          </v:line>
        </w:pict>
      </w:r>
      <w:r>
        <w:rPr>
          <w:sz w:val="12"/>
        </w:rPr>
        <w:t>2.75</w:t>
      </w:r>
    </w:p>
    <w:p>
      <w:pPr>
        <w:pStyle w:val="BodyText"/>
        <w:spacing w:before="7"/>
        <w:rPr>
          <w:sz w:val="17"/>
        </w:rPr>
      </w:pPr>
    </w:p>
    <w:p>
      <w:pPr>
        <w:spacing w:before="0"/>
        <w:ind w:left="0" w:right="38" w:firstLine="0"/>
        <w:jc w:val="right"/>
        <w:rPr>
          <w:sz w:val="12"/>
        </w:rPr>
      </w:pPr>
      <w:r>
        <w:rPr/>
        <w:pict>
          <v:line style="position:absolute;mso-position-horizontal-relative:page;mso-position-vertical-relative:paragraph;z-index:15971328" from="213.604004pt,3.101563pt" to="208.604004pt,3.101563pt" stroked="true" strokeweight=".5pt" strokecolor="#000000">
            <v:stroke dashstyle="solid"/>
            <w10:wrap type="none"/>
          </v:line>
        </w:pict>
      </w:r>
      <w:r>
        <w:rPr>
          <w:sz w:val="12"/>
        </w:rPr>
        <w:t>2.50</w:t>
      </w:r>
    </w:p>
    <w:p>
      <w:pPr>
        <w:pStyle w:val="BodyText"/>
        <w:spacing w:before="9"/>
        <w:rPr>
          <w:sz w:val="15"/>
        </w:rPr>
      </w:pPr>
    </w:p>
    <w:p>
      <w:pPr>
        <w:spacing w:before="0"/>
        <w:ind w:left="0" w:right="38" w:firstLine="0"/>
        <w:jc w:val="right"/>
        <w:rPr>
          <w:sz w:val="12"/>
        </w:rPr>
      </w:pPr>
      <w:r>
        <w:rPr/>
        <w:pict>
          <v:line style="position:absolute;mso-position-horizontal-relative:page;mso-position-vertical-relative:paragraph;z-index:15970816" from="213.604004pt,4.101563pt" to="208.604004pt,4.101563pt" stroked="true" strokeweight=".5pt" strokecolor="#000000">
            <v:stroke dashstyle="solid"/>
            <w10:wrap type="none"/>
          </v:line>
        </w:pict>
      </w:r>
      <w:r>
        <w:rPr>
          <w:sz w:val="12"/>
        </w:rPr>
        <w:t>2.25</w:t>
      </w:r>
    </w:p>
    <w:p>
      <w:pPr>
        <w:pStyle w:val="BodyText"/>
        <w:spacing w:before="7"/>
        <w:rPr>
          <w:sz w:val="17"/>
        </w:rPr>
      </w:pPr>
    </w:p>
    <w:p>
      <w:pPr>
        <w:spacing w:before="0"/>
        <w:ind w:left="0" w:right="38" w:firstLine="0"/>
        <w:jc w:val="right"/>
        <w:rPr>
          <w:sz w:val="12"/>
        </w:rPr>
      </w:pPr>
      <w:r>
        <w:rPr/>
        <w:pict>
          <v:group style="position:absolute;margin-left:45.104pt;margin-top:3.768563pt;width:169.85pt;height:7.6pt;mso-position-horizontal-relative:page;mso-position-vertical-relative:paragraph;z-index:15968256" coordorigin="902,75" coordsize="3397,152">
            <v:shape style="position:absolute;left:902;top:82;width:3370;height:140" coordorigin="902,82" coordsize="3370,140" path="m1002,82l902,82m956,222l4210,222m1085,222l1085,182m1140,222l1140,182m1195,222l1195,182m1250,222l1250,182m1305,222l1305,182m1360,222l1360,182m1415,222l1415,182m1470,222l1470,182m1525,222l1525,182m1585,222l1585,182m1645,222l1645,182m1701,222l1701,182m1757,222l1757,182m1813,222l1813,182m1869,222l1869,182m1925,222l1925,182m1981,222l1981,182m2037,222l2037,182m2093,222l2093,182m2149,222l2149,182m2205,222l2205,182m2265,222l2265,182m2325,222l2325,182m2381,222l2381,182m2437,222l2437,182m2493,222l2493,182m2549,222l2549,182m2605,222l2605,182m2661,222l2661,182m2717,222l2717,182m2773,222l2773,182m2829,222l2829,182m2885,222l2885,182m2945,222l2945,182m3005,222l3005,182m3061,222l3061,182m3117,222l3117,182m3173,222l3173,182m3229,222l3229,182m3285,222l3285,182m3341,222l3341,182m3397,222l3397,182m3453,222l3453,182m3509,222l3509,182m3565,222l3565,182m3625,222l3625,182m3685,222l3685,182m3742,222l3742,182m3799,222l3799,182m3856,222l3856,182m3914,222l3914,182m3971,222l3971,182m4028,222l4028,182m4085,222l4085,182m1585,222l1585,122m2265,222l2265,122m2945,222l2945,122m3625,222l3625,122m4272,82l4172,82m4272,222l4172,222m1002,222l902,222e" filled="false" stroked="true" strokeweight=".5pt" strokecolor="#000000">
              <v:path arrowok="t"/>
              <v:stroke dashstyle="solid"/>
            </v:shape>
            <v:shape style="position:absolute;left:985;top:80;width:3308;height:142" coordorigin="986,80" coordsize="3308,142" path="m4274,82l4274,115,4254,131,4294,145,4254,165,4294,181,4270,199,4268,222m1006,80l1006,113,986,129,1026,143,986,163,1026,180,1003,197,1002,220e" filled="false" stroked="true" strokeweight=".5pt" strokecolor="#000000">
              <v:path arrowok="t"/>
              <v:stroke dashstyle="solid"/>
            </v:shape>
            <w10:wrap type="none"/>
          </v:group>
        </w:pict>
      </w:r>
      <w:r>
        <w:rPr>
          <w:sz w:val="12"/>
        </w:rPr>
        <w:t>2.00</w:t>
      </w:r>
    </w:p>
    <w:p>
      <w:pPr>
        <w:pStyle w:val="Heading4"/>
        <w:spacing w:line="242" w:lineRule="auto" w:before="227"/>
        <w:ind w:left="190" w:right="299"/>
      </w:pPr>
      <w:r>
        <w:rPr/>
        <w:br w:type="column"/>
      </w:r>
      <w:r>
        <w:rPr/>
        <w:t>revision if more data on P</w:t>
      </w:r>
      <w:r>
        <w:rPr>
          <w:sz w:val="20"/>
        </w:rPr>
        <w:t>AYE </w:t>
      </w:r>
      <w:r>
        <w:rPr/>
        <w:t>receipts become available during the financial year, and when revised </w:t>
      </w:r>
      <w:r>
        <w:rPr>
          <w:spacing w:val="-3"/>
        </w:rPr>
        <w:t>Workforce </w:t>
      </w:r>
      <w:r>
        <w:rPr/>
        <w:t>jobs data are released in December. And since the quarterly profile of the National Accounts partly reflects movements in the AEI, it is possible that the two series could come to look more similar. But earnings based on the Reward Index,</w:t>
      </w:r>
      <w:r>
        <w:rPr>
          <w:position w:val="5"/>
          <w:sz w:val="16"/>
        </w:rPr>
        <w:t>(1) </w:t>
      </w:r>
      <w:r>
        <w:rPr/>
        <w:t>a survey of 778 companies </w:t>
      </w:r>
      <w:r>
        <w:rPr>
          <w:spacing w:val="-3"/>
        </w:rPr>
        <w:t>covering </w:t>
      </w:r>
      <w:r>
        <w:rPr/>
        <w:t>some 860,000 employees, accord with the profile currently implied by the National Accounts data.  A third indicator—the New Earnings Survey (NES)— suggests that gross weekly earnings for all workers rose to 4.4% in April 1998, compared with 3.9% in</w:t>
      </w:r>
    </w:p>
    <w:p>
      <w:pPr>
        <w:spacing w:line="242" w:lineRule="auto" w:before="15"/>
        <w:ind w:left="190" w:right="308" w:firstLine="0"/>
        <w:jc w:val="left"/>
        <w:rPr>
          <w:sz w:val="24"/>
        </w:rPr>
      </w:pPr>
      <w:r>
        <w:rPr>
          <w:sz w:val="24"/>
        </w:rPr>
        <w:t>April 1995. The NES measure bears a closer resemblance to the previous profile of average earnings growth. So it is difficult to reconcile the revised AEI profile with other estimates of nominal wage growth.</w:t>
      </w:r>
    </w:p>
    <w:p>
      <w:pPr>
        <w:pStyle w:val="BodyText"/>
        <w:spacing w:before="9"/>
        <w:rPr>
          <w:sz w:val="24"/>
        </w:rPr>
      </w:pPr>
    </w:p>
    <w:p>
      <w:pPr>
        <w:spacing w:line="242" w:lineRule="auto" w:before="0"/>
        <w:ind w:left="190" w:right="594" w:firstLine="0"/>
        <w:jc w:val="left"/>
        <w:rPr>
          <w:sz w:val="24"/>
        </w:rPr>
      </w:pPr>
      <w:r>
        <w:rPr>
          <w:sz w:val="24"/>
        </w:rPr>
        <w:t>The Bank’s estimate of the twelve-month employment-weighted mean of wage settlements was 3.7% in September, compared with 3.4% in November 1997. Private and public wage settlements</w:t>
      </w:r>
    </w:p>
    <w:p>
      <w:pPr>
        <w:spacing w:line="242" w:lineRule="auto" w:before="5"/>
        <w:ind w:left="190" w:right="163" w:firstLine="0"/>
        <w:jc w:val="left"/>
        <w:rPr>
          <w:sz w:val="24"/>
        </w:rPr>
      </w:pPr>
      <w:r>
        <w:rPr>
          <w:sz w:val="24"/>
        </w:rPr>
        <w:t>have changed little in recent months, and were 4.1% and 3.3% respectively in September. But settlements have increased markedly over the past 18 months, as</w:t>
      </w:r>
    </w:p>
    <w:p>
      <w:pPr>
        <w:spacing w:line="280" w:lineRule="exact" w:before="4"/>
        <w:ind w:left="190" w:right="308" w:firstLine="0"/>
        <w:jc w:val="left"/>
        <w:rPr>
          <w:sz w:val="24"/>
        </w:rPr>
      </w:pPr>
      <w:r>
        <w:rPr>
          <w:sz w:val="24"/>
        </w:rPr>
        <w:t>Chart 3.6 shows. As noted above, regular pay growth slowed during this period, according to the new AEI series. The growth of average earnings, however, should be linked to settlements, as well as to other factors such as regular overtime payments. So for earnings to have</w:t>
      </w:r>
    </w:p>
    <w:p>
      <w:pPr>
        <w:spacing w:after="0" w:line="280" w:lineRule="exact"/>
        <w:jc w:val="left"/>
        <w:rPr>
          <w:sz w:val="24"/>
        </w:rPr>
        <w:sectPr>
          <w:type w:val="continuous"/>
          <w:pgSz w:w="11900" w:h="16840"/>
          <w:pgMar w:top="1220" w:bottom="280" w:left="620" w:right="520"/>
          <w:cols w:num="3" w:equalWidth="0">
            <w:col w:w="2546" w:space="501"/>
            <w:col w:w="885" w:space="878"/>
            <w:col w:w="5950"/>
          </w:cols>
        </w:sectPr>
      </w:pPr>
    </w:p>
    <w:p>
      <w:pPr>
        <w:spacing w:before="4"/>
        <w:ind w:left="0" w:right="0" w:firstLine="0"/>
        <w:jc w:val="right"/>
        <w:rPr>
          <w:sz w:val="12"/>
        </w:rPr>
      </w:pPr>
      <w:r>
        <w:rPr>
          <w:sz w:val="12"/>
        </w:rPr>
        <w:t>1994</w:t>
      </w:r>
    </w:p>
    <w:p>
      <w:pPr>
        <w:tabs>
          <w:tab w:pos="1134" w:val="left" w:leader="none"/>
          <w:tab w:pos="1819" w:val="left" w:leader="none"/>
          <w:tab w:pos="2424" w:val="left" w:leader="none"/>
        </w:tabs>
        <w:spacing w:before="4"/>
        <w:ind w:left="449" w:right="0" w:firstLine="0"/>
        <w:jc w:val="left"/>
        <w:rPr>
          <w:sz w:val="12"/>
        </w:rPr>
      </w:pPr>
      <w:r>
        <w:rPr/>
        <w:br w:type="column"/>
      </w:r>
      <w:r>
        <w:rPr>
          <w:sz w:val="12"/>
        </w:rPr>
        <w:t>95</w:t>
        <w:tab/>
        <w:t>96</w:t>
        <w:tab/>
        <w:t>97</w:t>
        <w:tab/>
      </w:r>
      <w:r>
        <w:rPr>
          <w:spacing w:val="-10"/>
          <w:sz w:val="12"/>
        </w:rPr>
        <w:t>98</w:t>
      </w:r>
    </w:p>
    <w:p>
      <w:pPr>
        <w:spacing w:line="63" w:lineRule="exact" w:before="0"/>
        <w:ind w:left="312" w:right="0" w:firstLine="0"/>
        <w:jc w:val="left"/>
        <w:rPr>
          <w:sz w:val="12"/>
        </w:rPr>
      </w:pPr>
      <w:r>
        <w:rPr/>
        <w:br w:type="column"/>
      </w:r>
      <w:r>
        <w:rPr>
          <w:sz w:val="12"/>
        </w:rPr>
        <w:t>0.00</w:t>
      </w:r>
    </w:p>
    <w:p>
      <w:pPr>
        <w:pStyle w:val="Heading4"/>
        <w:spacing w:line="223" w:lineRule="exact"/>
        <w:ind w:left="504"/>
      </w:pPr>
      <w:r>
        <w:rPr/>
        <w:br w:type="column"/>
      </w:r>
      <w:r>
        <w:rPr/>
        <w:t>slowed, the contribution from overtime and the residual</w:t>
      </w:r>
    </w:p>
    <w:p>
      <w:pPr>
        <w:spacing w:after="0" w:line="223" w:lineRule="exact"/>
        <w:sectPr>
          <w:type w:val="continuous"/>
          <w:pgSz w:w="11900" w:h="16840"/>
          <w:pgMar w:top="1220" w:bottom="280" w:left="620" w:right="520"/>
          <w:cols w:num="4" w:equalWidth="0">
            <w:col w:w="745" w:space="40"/>
            <w:col w:w="2545" w:space="39"/>
            <w:col w:w="563" w:space="563"/>
            <w:col w:w="6265"/>
          </w:cols>
        </w:sectPr>
      </w:pPr>
    </w:p>
    <w:p>
      <w:pPr>
        <w:spacing w:line="133" w:lineRule="exact" w:before="0"/>
        <w:ind w:left="204" w:right="0" w:firstLine="0"/>
        <w:jc w:val="left"/>
        <w:rPr>
          <w:sz w:val="12"/>
        </w:rPr>
      </w:pPr>
      <w:r>
        <w:rPr>
          <w:sz w:val="12"/>
        </w:rPr>
        <w:t>Source: Bank of England.</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3"/>
        <w:rPr>
          <w:sz w:val="17"/>
        </w:rPr>
      </w:pPr>
    </w:p>
    <w:p>
      <w:pPr>
        <w:pStyle w:val="Heading7"/>
        <w:spacing w:before="1"/>
        <w:ind w:left="190"/>
      </w:pPr>
      <w:r>
        <w:rPr>
          <w:color w:val="0093C1"/>
        </w:rPr>
        <w:t>Table 3.B</w:t>
      </w:r>
    </w:p>
    <w:p>
      <w:pPr>
        <w:spacing w:before="10"/>
        <w:ind w:left="190" w:right="0" w:firstLine="0"/>
        <w:jc w:val="left"/>
        <w:rPr>
          <w:sz w:val="12"/>
        </w:rPr>
      </w:pPr>
      <w:r>
        <w:rPr>
          <w:b/>
          <w:color w:val="0093C1"/>
          <w:sz w:val="20"/>
        </w:rPr>
        <w:t>Barclays Basix Survey of inflation expectations</w:t>
      </w:r>
      <w:r>
        <w:rPr>
          <w:position w:val="4"/>
          <w:sz w:val="12"/>
        </w:rPr>
        <w:t>(a)</w:t>
      </w:r>
    </w:p>
    <w:p>
      <w:pPr>
        <w:spacing w:before="59"/>
        <w:ind w:left="190" w:right="0" w:firstLine="0"/>
        <w:jc w:val="left"/>
        <w:rPr>
          <w:sz w:val="14"/>
        </w:rPr>
      </w:pPr>
      <w:r>
        <w:rPr>
          <w:sz w:val="14"/>
        </w:rPr>
        <w:t>Percentage increases in prices</w:t>
      </w:r>
    </w:p>
    <w:p>
      <w:pPr>
        <w:spacing w:before="120"/>
        <w:ind w:left="190" w:right="0" w:firstLine="0"/>
        <w:jc w:val="left"/>
        <w:rPr>
          <w:b/>
          <w:sz w:val="14"/>
        </w:rPr>
      </w:pPr>
      <w:r>
        <w:rPr>
          <w:b/>
          <w:sz w:val="14"/>
        </w:rPr>
        <w:t>Twelve-month RPI inflation two years ahead</w:t>
      </w:r>
    </w:p>
    <w:p>
      <w:pPr>
        <w:tabs>
          <w:tab w:pos="3749" w:val="left" w:leader="none"/>
        </w:tabs>
        <w:spacing w:before="119"/>
        <w:ind w:left="2150" w:right="0" w:firstLine="0"/>
        <w:jc w:val="left"/>
        <w:rPr>
          <w:sz w:val="14"/>
        </w:rPr>
      </w:pPr>
      <w:r>
        <w:rPr>
          <w:sz w:val="14"/>
          <w:u w:val="single"/>
        </w:rPr>
        <w:t>1998</w:t>
        <w:tab/>
      </w: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46"/>
        <w:gridCol w:w="864"/>
        <w:gridCol w:w="655"/>
        <w:gridCol w:w="505"/>
      </w:tblGrid>
      <w:tr>
        <w:trPr>
          <w:trHeight w:val="217" w:hRule="atLeast"/>
        </w:trPr>
        <w:tc>
          <w:tcPr>
            <w:tcW w:w="1646" w:type="dxa"/>
          </w:tcPr>
          <w:p>
            <w:pPr>
              <w:pStyle w:val="TableParagraph"/>
              <w:rPr>
                <w:sz w:val="14"/>
              </w:rPr>
            </w:pPr>
          </w:p>
        </w:tc>
        <w:tc>
          <w:tcPr>
            <w:tcW w:w="864" w:type="dxa"/>
          </w:tcPr>
          <w:p>
            <w:pPr>
              <w:pStyle w:val="TableParagraph"/>
              <w:spacing w:line="155" w:lineRule="exact"/>
              <w:ind w:left="364"/>
              <w:rPr>
                <w:sz w:val="14"/>
              </w:rPr>
            </w:pPr>
            <w:r>
              <w:rPr>
                <w:sz w:val="14"/>
                <w:u w:val="single"/>
              </w:rPr>
              <w:t>Q1 </w:t>
            </w:r>
          </w:p>
        </w:tc>
        <w:tc>
          <w:tcPr>
            <w:tcW w:w="655" w:type="dxa"/>
          </w:tcPr>
          <w:p>
            <w:pPr>
              <w:pStyle w:val="TableParagraph"/>
              <w:spacing w:line="155" w:lineRule="exact"/>
              <w:ind w:left="189"/>
              <w:rPr>
                <w:sz w:val="14"/>
              </w:rPr>
            </w:pPr>
            <w:r>
              <w:rPr>
                <w:sz w:val="14"/>
                <w:u w:val="single"/>
              </w:rPr>
              <w:t>Q2 </w:t>
            </w:r>
          </w:p>
        </w:tc>
        <w:tc>
          <w:tcPr>
            <w:tcW w:w="505" w:type="dxa"/>
          </w:tcPr>
          <w:p>
            <w:pPr>
              <w:pStyle w:val="TableParagraph"/>
              <w:spacing w:line="155" w:lineRule="exact"/>
              <w:ind w:left="214"/>
              <w:rPr>
                <w:sz w:val="14"/>
              </w:rPr>
            </w:pPr>
            <w:r>
              <w:rPr>
                <w:sz w:val="14"/>
                <w:u w:val="single"/>
              </w:rPr>
              <w:t>Q3 </w:t>
            </w:r>
          </w:p>
        </w:tc>
      </w:tr>
      <w:tr>
        <w:trPr>
          <w:trHeight w:val="210" w:hRule="atLeast"/>
        </w:trPr>
        <w:tc>
          <w:tcPr>
            <w:tcW w:w="1646" w:type="dxa"/>
          </w:tcPr>
          <w:p>
            <w:pPr>
              <w:pStyle w:val="TableParagraph"/>
              <w:spacing w:line="133" w:lineRule="exact" w:before="56"/>
              <w:ind w:left="50"/>
              <w:rPr>
                <w:sz w:val="14"/>
              </w:rPr>
            </w:pPr>
            <w:r>
              <w:rPr>
                <w:sz w:val="14"/>
              </w:rPr>
              <w:t>Academic economists</w:t>
            </w:r>
          </w:p>
        </w:tc>
        <w:tc>
          <w:tcPr>
            <w:tcW w:w="864" w:type="dxa"/>
          </w:tcPr>
          <w:p>
            <w:pPr>
              <w:pStyle w:val="TableParagraph"/>
              <w:spacing w:line="133" w:lineRule="exact" w:before="56"/>
              <w:ind w:left="394"/>
              <w:rPr>
                <w:sz w:val="14"/>
              </w:rPr>
            </w:pPr>
            <w:r>
              <w:rPr>
                <w:sz w:val="14"/>
              </w:rPr>
              <w:t>3.1</w:t>
            </w:r>
          </w:p>
        </w:tc>
        <w:tc>
          <w:tcPr>
            <w:tcW w:w="655" w:type="dxa"/>
          </w:tcPr>
          <w:p>
            <w:pPr>
              <w:pStyle w:val="TableParagraph"/>
              <w:spacing w:line="133" w:lineRule="exact" w:before="56"/>
              <w:ind w:left="200"/>
              <w:rPr>
                <w:sz w:val="14"/>
              </w:rPr>
            </w:pPr>
            <w:r>
              <w:rPr>
                <w:sz w:val="14"/>
              </w:rPr>
              <w:t>3.1</w:t>
            </w:r>
          </w:p>
        </w:tc>
        <w:tc>
          <w:tcPr>
            <w:tcW w:w="505" w:type="dxa"/>
          </w:tcPr>
          <w:p>
            <w:pPr>
              <w:pStyle w:val="TableParagraph"/>
              <w:spacing w:line="133" w:lineRule="exact" w:before="56"/>
              <w:ind w:left="215"/>
              <w:rPr>
                <w:sz w:val="14"/>
              </w:rPr>
            </w:pPr>
            <w:r>
              <w:rPr>
                <w:sz w:val="14"/>
              </w:rPr>
              <w:t>3.0</w:t>
            </w:r>
          </w:p>
        </w:tc>
      </w:tr>
      <w:tr>
        <w:trPr>
          <w:trHeight w:val="140" w:hRule="atLeast"/>
        </w:trPr>
        <w:tc>
          <w:tcPr>
            <w:tcW w:w="1646" w:type="dxa"/>
          </w:tcPr>
          <w:p>
            <w:pPr>
              <w:pStyle w:val="TableParagraph"/>
              <w:spacing w:line="120" w:lineRule="exact"/>
              <w:ind w:left="50"/>
              <w:rPr>
                <w:sz w:val="14"/>
              </w:rPr>
            </w:pPr>
            <w:r>
              <w:rPr>
                <w:sz w:val="14"/>
              </w:rPr>
              <w:t>Business economists</w:t>
            </w:r>
          </w:p>
        </w:tc>
        <w:tc>
          <w:tcPr>
            <w:tcW w:w="864" w:type="dxa"/>
          </w:tcPr>
          <w:p>
            <w:pPr>
              <w:pStyle w:val="TableParagraph"/>
              <w:spacing w:line="120" w:lineRule="exact"/>
              <w:ind w:left="394"/>
              <w:rPr>
                <w:sz w:val="14"/>
              </w:rPr>
            </w:pPr>
            <w:r>
              <w:rPr>
                <w:sz w:val="14"/>
              </w:rPr>
              <w:t>2.9</w:t>
            </w:r>
          </w:p>
        </w:tc>
        <w:tc>
          <w:tcPr>
            <w:tcW w:w="655" w:type="dxa"/>
          </w:tcPr>
          <w:p>
            <w:pPr>
              <w:pStyle w:val="TableParagraph"/>
              <w:spacing w:line="120" w:lineRule="exact"/>
              <w:ind w:left="200"/>
              <w:rPr>
                <w:sz w:val="14"/>
              </w:rPr>
            </w:pPr>
            <w:r>
              <w:rPr>
                <w:sz w:val="14"/>
              </w:rPr>
              <w:t>2.9</w:t>
            </w:r>
          </w:p>
        </w:tc>
        <w:tc>
          <w:tcPr>
            <w:tcW w:w="505" w:type="dxa"/>
          </w:tcPr>
          <w:p>
            <w:pPr>
              <w:pStyle w:val="TableParagraph"/>
              <w:spacing w:line="120" w:lineRule="exact"/>
              <w:ind w:left="215"/>
              <w:rPr>
                <w:sz w:val="14"/>
              </w:rPr>
            </w:pPr>
            <w:r>
              <w:rPr>
                <w:sz w:val="14"/>
              </w:rPr>
              <w:t>2.4</w:t>
            </w:r>
          </w:p>
        </w:tc>
      </w:tr>
      <w:tr>
        <w:trPr>
          <w:trHeight w:val="140" w:hRule="atLeast"/>
        </w:trPr>
        <w:tc>
          <w:tcPr>
            <w:tcW w:w="1646" w:type="dxa"/>
          </w:tcPr>
          <w:p>
            <w:pPr>
              <w:pStyle w:val="TableParagraph"/>
              <w:spacing w:line="120" w:lineRule="exact"/>
              <w:ind w:left="50"/>
              <w:rPr>
                <w:sz w:val="14"/>
              </w:rPr>
            </w:pPr>
            <w:r>
              <w:rPr>
                <w:sz w:val="14"/>
              </w:rPr>
              <w:t>Finance directors</w:t>
            </w:r>
          </w:p>
        </w:tc>
        <w:tc>
          <w:tcPr>
            <w:tcW w:w="864" w:type="dxa"/>
          </w:tcPr>
          <w:p>
            <w:pPr>
              <w:pStyle w:val="TableParagraph"/>
              <w:spacing w:line="120" w:lineRule="exact"/>
              <w:ind w:left="394"/>
              <w:rPr>
                <w:sz w:val="14"/>
              </w:rPr>
            </w:pPr>
            <w:r>
              <w:rPr>
                <w:sz w:val="14"/>
              </w:rPr>
              <w:t>3.3</w:t>
            </w:r>
          </w:p>
        </w:tc>
        <w:tc>
          <w:tcPr>
            <w:tcW w:w="655" w:type="dxa"/>
          </w:tcPr>
          <w:p>
            <w:pPr>
              <w:pStyle w:val="TableParagraph"/>
              <w:spacing w:line="120" w:lineRule="exact"/>
              <w:ind w:left="200"/>
              <w:rPr>
                <w:sz w:val="14"/>
              </w:rPr>
            </w:pPr>
            <w:r>
              <w:rPr>
                <w:sz w:val="14"/>
              </w:rPr>
              <w:t>3.2</w:t>
            </w:r>
          </w:p>
        </w:tc>
        <w:tc>
          <w:tcPr>
            <w:tcW w:w="505" w:type="dxa"/>
          </w:tcPr>
          <w:p>
            <w:pPr>
              <w:pStyle w:val="TableParagraph"/>
              <w:spacing w:line="120" w:lineRule="exact"/>
              <w:ind w:left="215"/>
              <w:rPr>
                <w:sz w:val="14"/>
              </w:rPr>
            </w:pPr>
            <w:r>
              <w:rPr>
                <w:sz w:val="14"/>
              </w:rPr>
              <w:t>2.9</w:t>
            </w:r>
          </w:p>
        </w:tc>
      </w:tr>
      <w:tr>
        <w:trPr>
          <w:trHeight w:val="140" w:hRule="atLeast"/>
        </w:trPr>
        <w:tc>
          <w:tcPr>
            <w:tcW w:w="1646" w:type="dxa"/>
          </w:tcPr>
          <w:p>
            <w:pPr>
              <w:pStyle w:val="TableParagraph"/>
              <w:spacing w:line="120" w:lineRule="exact"/>
              <w:ind w:left="50"/>
              <w:rPr>
                <w:sz w:val="14"/>
              </w:rPr>
            </w:pPr>
            <w:r>
              <w:rPr>
                <w:sz w:val="14"/>
              </w:rPr>
              <w:t>Investment analysts</w:t>
            </w:r>
          </w:p>
        </w:tc>
        <w:tc>
          <w:tcPr>
            <w:tcW w:w="864" w:type="dxa"/>
          </w:tcPr>
          <w:p>
            <w:pPr>
              <w:pStyle w:val="TableParagraph"/>
              <w:spacing w:line="120" w:lineRule="exact"/>
              <w:ind w:left="394"/>
              <w:rPr>
                <w:sz w:val="14"/>
              </w:rPr>
            </w:pPr>
            <w:r>
              <w:rPr>
                <w:sz w:val="14"/>
              </w:rPr>
              <w:t>3.3</w:t>
            </w:r>
          </w:p>
        </w:tc>
        <w:tc>
          <w:tcPr>
            <w:tcW w:w="655" w:type="dxa"/>
          </w:tcPr>
          <w:p>
            <w:pPr>
              <w:pStyle w:val="TableParagraph"/>
              <w:spacing w:line="120" w:lineRule="exact"/>
              <w:ind w:left="200"/>
              <w:rPr>
                <w:sz w:val="14"/>
              </w:rPr>
            </w:pPr>
            <w:r>
              <w:rPr>
                <w:sz w:val="14"/>
              </w:rPr>
              <w:t>3.3</w:t>
            </w:r>
          </w:p>
        </w:tc>
        <w:tc>
          <w:tcPr>
            <w:tcW w:w="505" w:type="dxa"/>
          </w:tcPr>
          <w:p>
            <w:pPr>
              <w:pStyle w:val="TableParagraph"/>
              <w:spacing w:line="120" w:lineRule="exact"/>
              <w:ind w:left="215"/>
              <w:rPr>
                <w:sz w:val="14"/>
              </w:rPr>
            </w:pPr>
            <w:r>
              <w:rPr>
                <w:sz w:val="14"/>
              </w:rPr>
              <w:t>3.1</w:t>
            </w:r>
          </w:p>
        </w:tc>
      </w:tr>
      <w:tr>
        <w:trPr>
          <w:trHeight w:val="140" w:hRule="atLeast"/>
        </w:trPr>
        <w:tc>
          <w:tcPr>
            <w:tcW w:w="1646" w:type="dxa"/>
          </w:tcPr>
          <w:p>
            <w:pPr>
              <w:pStyle w:val="TableParagraph"/>
              <w:spacing w:line="120" w:lineRule="exact"/>
              <w:ind w:left="50"/>
              <w:rPr>
                <w:sz w:val="14"/>
              </w:rPr>
            </w:pPr>
            <w:r>
              <w:rPr>
                <w:sz w:val="14"/>
              </w:rPr>
              <w:t>Trade unions</w:t>
            </w:r>
          </w:p>
        </w:tc>
        <w:tc>
          <w:tcPr>
            <w:tcW w:w="864" w:type="dxa"/>
          </w:tcPr>
          <w:p>
            <w:pPr>
              <w:pStyle w:val="TableParagraph"/>
              <w:spacing w:line="120" w:lineRule="exact"/>
              <w:ind w:left="394"/>
              <w:rPr>
                <w:sz w:val="14"/>
              </w:rPr>
            </w:pPr>
            <w:r>
              <w:rPr>
                <w:sz w:val="14"/>
              </w:rPr>
              <w:t>3.9</w:t>
            </w:r>
          </w:p>
        </w:tc>
        <w:tc>
          <w:tcPr>
            <w:tcW w:w="655" w:type="dxa"/>
          </w:tcPr>
          <w:p>
            <w:pPr>
              <w:pStyle w:val="TableParagraph"/>
              <w:spacing w:line="120" w:lineRule="exact"/>
              <w:ind w:left="200"/>
              <w:rPr>
                <w:sz w:val="14"/>
              </w:rPr>
            </w:pPr>
            <w:r>
              <w:rPr>
                <w:sz w:val="14"/>
              </w:rPr>
              <w:t>3.8</w:t>
            </w:r>
          </w:p>
        </w:tc>
        <w:tc>
          <w:tcPr>
            <w:tcW w:w="505" w:type="dxa"/>
          </w:tcPr>
          <w:p>
            <w:pPr>
              <w:pStyle w:val="TableParagraph"/>
              <w:spacing w:line="120" w:lineRule="exact"/>
              <w:ind w:left="215"/>
              <w:rPr>
                <w:sz w:val="14"/>
              </w:rPr>
            </w:pPr>
            <w:r>
              <w:rPr>
                <w:sz w:val="14"/>
              </w:rPr>
              <w:t>3.6</w:t>
            </w:r>
          </w:p>
        </w:tc>
      </w:tr>
      <w:tr>
        <w:trPr>
          <w:trHeight w:val="212" w:hRule="atLeast"/>
        </w:trPr>
        <w:tc>
          <w:tcPr>
            <w:tcW w:w="1646" w:type="dxa"/>
          </w:tcPr>
          <w:p>
            <w:pPr>
              <w:pStyle w:val="TableParagraph"/>
              <w:spacing w:line="148" w:lineRule="exact"/>
              <w:ind w:left="50"/>
              <w:rPr>
                <w:sz w:val="14"/>
              </w:rPr>
            </w:pPr>
            <w:r>
              <w:rPr>
                <w:sz w:val="14"/>
              </w:rPr>
              <w:t>General public</w:t>
            </w:r>
          </w:p>
        </w:tc>
        <w:tc>
          <w:tcPr>
            <w:tcW w:w="864" w:type="dxa"/>
          </w:tcPr>
          <w:p>
            <w:pPr>
              <w:pStyle w:val="TableParagraph"/>
              <w:spacing w:line="148" w:lineRule="exact"/>
              <w:ind w:left="393"/>
              <w:rPr>
                <w:sz w:val="14"/>
              </w:rPr>
            </w:pPr>
            <w:r>
              <w:rPr>
                <w:sz w:val="14"/>
              </w:rPr>
              <w:t>5.1</w:t>
            </w:r>
          </w:p>
        </w:tc>
        <w:tc>
          <w:tcPr>
            <w:tcW w:w="655" w:type="dxa"/>
          </w:tcPr>
          <w:p>
            <w:pPr>
              <w:pStyle w:val="TableParagraph"/>
              <w:spacing w:line="148" w:lineRule="exact"/>
              <w:ind w:left="200"/>
              <w:rPr>
                <w:sz w:val="14"/>
              </w:rPr>
            </w:pPr>
            <w:r>
              <w:rPr>
                <w:sz w:val="14"/>
              </w:rPr>
              <w:t>5.1</w:t>
            </w:r>
          </w:p>
        </w:tc>
        <w:tc>
          <w:tcPr>
            <w:tcW w:w="505" w:type="dxa"/>
          </w:tcPr>
          <w:p>
            <w:pPr>
              <w:pStyle w:val="TableParagraph"/>
              <w:spacing w:line="148" w:lineRule="exact"/>
              <w:ind w:left="215"/>
              <w:rPr>
                <w:sz w:val="14"/>
              </w:rPr>
            </w:pPr>
            <w:r>
              <w:rPr>
                <w:sz w:val="14"/>
              </w:rPr>
              <w:t>5.1</w:t>
            </w:r>
          </w:p>
        </w:tc>
      </w:tr>
      <w:tr>
        <w:trPr>
          <w:trHeight w:val="197" w:hRule="atLeast"/>
        </w:trPr>
        <w:tc>
          <w:tcPr>
            <w:tcW w:w="1646" w:type="dxa"/>
          </w:tcPr>
          <w:p>
            <w:pPr>
              <w:pStyle w:val="TableParagraph"/>
              <w:spacing w:line="118" w:lineRule="exact" w:before="59"/>
              <w:ind w:left="50"/>
              <w:rPr>
                <w:sz w:val="12"/>
              </w:rPr>
            </w:pPr>
            <w:r>
              <w:rPr>
                <w:sz w:val="12"/>
              </w:rPr>
              <w:t>Source: Barclays Bank.</w:t>
            </w:r>
          </w:p>
        </w:tc>
        <w:tc>
          <w:tcPr>
            <w:tcW w:w="864" w:type="dxa"/>
          </w:tcPr>
          <w:p>
            <w:pPr>
              <w:pStyle w:val="TableParagraph"/>
              <w:rPr>
                <w:sz w:val="12"/>
              </w:rPr>
            </w:pPr>
          </w:p>
        </w:tc>
        <w:tc>
          <w:tcPr>
            <w:tcW w:w="655" w:type="dxa"/>
          </w:tcPr>
          <w:p>
            <w:pPr>
              <w:pStyle w:val="TableParagraph"/>
              <w:rPr>
                <w:sz w:val="12"/>
              </w:rPr>
            </w:pPr>
          </w:p>
        </w:tc>
        <w:tc>
          <w:tcPr>
            <w:tcW w:w="505" w:type="dxa"/>
          </w:tcPr>
          <w:p>
            <w:pPr>
              <w:pStyle w:val="TableParagraph"/>
              <w:rPr>
                <w:sz w:val="12"/>
              </w:rPr>
            </w:pPr>
          </w:p>
        </w:tc>
      </w:tr>
    </w:tbl>
    <w:p>
      <w:pPr>
        <w:pStyle w:val="ListParagraph"/>
        <w:numPr>
          <w:ilvl w:val="0"/>
          <w:numId w:val="18"/>
        </w:numPr>
        <w:tabs>
          <w:tab w:pos="430" w:val="left" w:leader="none"/>
        </w:tabs>
        <w:spacing w:line="208" w:lineRule="auto" w:before="121" w:after="0"/>
        <w:ind w:left="430" w:right="560" w:hanging="240"/>
        <w:jc w:val="left"/>
        <w:rPr>
          <w:sz w:val="12"/>
        </w:rPr>
      </w:pPr>
      <w:r>
        <w:rPr>
          <w:sz w:val="12"/>
        </w:rPr>
        <w:t>Figures refer to RPI inflation, except for General public, for which </w:t>
      </w:r>
      <w:r>
        <w:rPr>
          <w:spacing w:val="-6"/>
          <w:sz w:val="12"/>
        </w:rPr>
        <w:t>the </w:t>
      </w:r>
      <w:r>
        <w:rPr>
          <w:sz w:val="12"/>
        </w:rPr>
        <w:t>measure of inflation is not specified.</w:t>
      </w:r>
    </w:p>
    <w:p>
      <w:pPr>
        <w:pStyle w:val="Heading4"/>
        <w:spacing w:line="242" w:lineRule="auto" w:before="57"/>
        <w:ind w:left="195" w:right="295"/>
      </w:pPr>
      <w:r>
        <w:rPr/>
        <w:br w:type="column"/>
      </w:r>
      <w:r>
        <w:rPr/>
        <w:t>elements of wage drift must also </w:t>
      </w:r>
      <w:r>
        <w:rPr>
          <w:spacing w:val="-3"/>
        </w:rPr>
        <w:t>have </w:t>
      </w:r>
      <w:r>
        <w:rPr/>
        <w:t>fallen.  This would seem implausible during a period when the </w:t>
      </w:r>
      <w:r>
        <w:rPr>
          <w:spacing w:val="-3"/>
        </w:rPr>
        <w:t>labour </w:t>
      </w:r>
      <w:r>
        <w:rPr/>
        <w:t>market was</w:t>
      </w:r>
      <w:r>
        <w:rPr>
          <w:spacing w:val="-1"/>
        </w:rPr>
        <w:t> </w:t>
      </w:r>
      <w:r>
        <w:rPr/>
        <w:t>tightening.</w:t>
      </w:r>
    </w:p>
    <w:p>
      <w:pPr>
        <w:pStyle w:val="BodyText"/>
        <w:spacing w:before="8"/>
        <w:rPr>
          <w:sz w:val="24"/>
        </w:rPr>
      </w:pPr>
    </w:p>
    <w:p>
      <w:pPr>
        <w:spacing w:line="242" w:lineRule="auto" w:before="0"/>
        <w:ind w:left="195" w:right="288" w:firstLine="0"/>
        <w:jc w:val="left"/>
        <w:rPr>
          <w:sz w:val="24"/>
        </w:rPr>
      </w:pPr>
      <w:r>
        <w:rPr>
          <w:spacing w:val="-6"/>
          <w:sz w:val="24"/>
        </w:rPr>
        <w:t>Wage </w:t>
      </w:r>
      <w:r>
        <w:rPr>
          <w:sz w:val="24"/>
        </w:rPr>
        <w:t>settlements between employers and employees are negotiated in nominal terms. But in bargaining over wages, employees and employers focus on real wages, and so form expectations about future inflation. Lower inflation expectations will tend to result in lower rates of increase in nominal wages. But inflation expectations are difficult to measure directly, and so it is hard to draw conclusions about the path of expected real earnings growth. Survey-based measures of inflation one and </w:t>
      </w:r>
      <w:r>
        <w:rPr>
          <w:spacing w:val="-7"/>
          <w:sz w:val="24"/>
        </w:rPr>
        <w:t>two </w:t>
      </w:r>
      <w:r>
        <w:rPr>
          <w:sz w:val="24"/>
        </w:rPr>
        <w:t>years ahead </w:t>
      </w:r>
      <w:r>
        <w:rPr>
          <w:spacing w:val="-3"/>
          <w:sz w:val="24"/>
        </w:rPr>
        <w:t>have </w:t>
      </w:r>
      <w:r>
        <w:rPr>
          <w:sz w:val="24"/>
        </w:rPr>
        <w:t>fallen slightly during the course of the year (see </w:t>
      </w:r>
      <w:r>
        <w:rPr>
          <w:spacing w:val="-4"/>
          <w:sz w:val="24"/>
        </w:rPr>
        <w:t>Table </w:t>
      </w:r>
      <w:r>
        <w:rPr>
          <w:sz w:val="24"/>
        </w:rPr>
        <w:t>3.B).  In judging the path of expected real earnings, the MPC has assumed that in forming</w:t>
      </w:r>
    </w:p>
    <w:p>
      <w:pPr>
        <w:pStyle w:val="BodyText"/>
        <w:spacing w:before="2"/>
        <w:rPr>
          <w:sz w:val="12"/>
        </w:rPr>
      </w:pPr>
      <w:r>
        <w:rPr/>
        <w:pict>
          <v:shape style="position:absolute;margin-left:279pt;margin-top:9.085393pt;width:276.75pt;height:.1pt;mso-position-horizontal-relative:page;mso-position-vertical-relative:paragraph;z-index:-15489536;mso-wrap-distance-left:0;mso-wrap-distance-right:0" coordorigin="5580,182" coordsize="5535,0" path="m5580,182l11115,182e" filled="false" stroked="true" strokeweight=".125pt" strokecolor="#000000">
            <v:path arrowok="t"/>
            <v:stroke dashstyle="solid"/>
            <w10:wrap type="topAndBottom"/>
          </v:shape>
        </w:pict>
      </w:r>
    </w:p>
    <w:p>
      <w:pPr>
        <w:pStyle w:val="ListParagraph"/>
        <w:numPr>
          <w:ilvl w:val="1"/>
          <w:numId w:val="18"/>
        </w:numPr>
        <w:tabs>
          <w:tab w:pos="431" w:val="left" w:leader="none"/>
        </w:tabs>
        <w:spacing w:line="208" w:lineRule="auto" w:before="11" w:after="0"/>
        <w:ind w:left="430" w:right="1329" w:hanging="240"/>
        <w:jc w:val="left"/>
        <w:rPr>
          <w:sz w:val="16"/>
        </w:rPr>
      </w:pPr>
      <w:r>
        <w:rPr>
          <w:sz w:val="16"/>
        </w:rPr>
        <w:t>The Reward Index is based on regional surveys of small and medium-sized firms, and attempts to represent standard industrial classifications. The results are compiled on a three-month</w:t>
      </w:r>
    </w:p>
    <w:p>
      <w:pPr>
        <w:spacing w:line="208" w:lineRule="auto" w:before="0"/>
        <w:ind w:left="430" w:right="801" w:firstLine="0"/>
        <w:jc w:val="left"/>
        <w:rPr>
          <w:sz w:val="16"/>
        </w:rPr>
      </w:pPr>
      <w:r>
        <w:rPr>
          <w:sz w:val="16"/>
        </w:rPr>
        <w:t>moving-average basis. The index is divided into three employee groups: management and supervisors, clerical staff, and operative workers; and the measure of total pay includes irregular components such as bonuses and shift allowances. No adjustments are made to make the sample more representative of the overall population.</w:t>
      </w:r>
    </w:p>
    <w:p>
      <w:pPr>
        <w:spacing w:after="0" w:line="208" w:lineRule="auto"/>
        <w:jc w:val="left"/>
        <w:rPr>
          <w:sz w:val="16"/>
        </w:rPr>
        <w:sectPr>
          <w:type w:val="continuous"/>
          <w:pgSz w:w="11900" w:h="16840"/>
          <w:pgMar w:top="1220" w:bottom="280" w:left="620" w:right="520"/>
          <w:cols w:num="2" w:equalWidth="0">
            <w:col w:w="4368" w:space="436"/>
            <w:col w:w="5956"/>
          </w:cols>
        </w:sectPr>
      </w:pPr>
    </w:p>
    <w:p>
      <w:pPr>
        <w:pStyle w:val="BodyText"/>
        <w:rPr>
          <w:sz w:val="20"/>
        </w:rPr>
      </w:pPr>
    </w:p>
    <w:p>
      <w:pPr>
        <w:pStyle w:val="Heading4"/>
        <w:spacing w:line="242" w:lineRule="auto" w:before="207"/>
        <w:ind w:left="4965" w:right="569"/>
      </w:pPr>
      <w:bookmarkStart w:name="Unemployment and employment" w:id="54"/>
      <w:bookmarkEnd w:id="54"/>
      <w:r>
        <w:rPr/>
      </w:r>
      <w:bookmarkStart w:name="_bookmark18" w:id="55"/>
      <w:bookmarkEnd w:id="55"/>
      <w:r>
        <w:rPr/>
      </w:r>
      <w:r>
        <w:rPr/>
        <w:t>expectations, households and firms take into account past outturns of inflation, as well as the trend in actual inflation.</w:t>
      </w:r>
    </w:p>
    <w:p>
      <w:pPr>
        <w:pStyle w:val="BodyText"/>
        <w:rPr>
          <w:sz w:val="19"/>
        </w:rPr>
      </w:pPr>
    </w:p>
    <w:p>
      <w:pPr>
        <w:pStyle w:val="ListParagraph"/>
        <w:numPr>
          <w:ilvl w:val="1"/>
          <w:numId w:val="19"/>
        </w:numPr>
        <w:tabs>
          <w:tab w:pos="6341" w:val="left" w:leader="none"/>
          <w:tab w:pos="6343" w:val="left" w:leader="none"/>
          <w:tab w:pos="10464" w:val="left" w:leader="none"/>
        </w:tabs>
        <w:spacing w:line="240" w:lineRule="auto" w:before="88" w:after="0"/>
        <w:ind w:left="6342" w:right="0" w:hanging="1378"/>
        <w:jc w:val="left"/>
        <w:rPr>
          <w:b/>
          <w:sz w:val="28"/>
        </w:rPr>
      </w:pPr>
      <w:r>
        <w:rPr>
          <w:b/>
          <w:color w:val="009483"/>
          <w:sz w:val="28"/>
          <w:u w:val="thick" w:color="0093C1"/>
        </w:rPr>
        <w:t>Unemployment and employment</w:t>
        <w:tab/>
      </w:r>
    </w:p>
    <w:p>
      <w:pPr>
        <w:pStyle w:val="BodyText"/>
        <w:spacing w:before="1"/>
        <w:rPr>
          <w:b/>
          <w:sz w:val="15"/>
        </w:rPr>
      </w:pPr>
    </w:p>
    <w:p>
      <w:pPr>
        <w:spacing w:after="0"/>
        <w:rPr>
          <w:sz w:val="15"/>
        </w:rPr>
        <w:sectPr>
          <w:pgSz w:w="11900" w:h="16840"/>
          <w:pgMar w:header="586" w:footer="617" w:top="780" w:bottom="800" w:left="620" w:right="520"/>
        </w:sect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spacing w:before="2"/>
        <w:rPr>
          <w:b/>
          <w:sz w:val="21"/>
        </w:rPr>
      </w:pPr>
    </w:p>
    <w:p>
      <w:pPr>
        <w:pStyle w:val="Heading7"/>
        <w:spacing w:line="249" w:lineRule="auto" w:before="0"/>
        <w:ind w:left="175" w:right="21"/>
      </w:pPr>
      <w:r>
        <w:rPr>
          <w:color w:val="0093C1"/>
        </w:rPr>
        <w:t>Chart 3.7 Unemployment rates</w:t>
      </w:r>
    </w:p>
    <w:p>
      <w:pPr>
        <w:pStyle w:val="BodyText"/>
        <w:rPr>
          <w:b/>
          <w:sz w:val="12"/>
        </w:rPr>
      </w:pPr>
      <w:r>
        <w:rPr/>
        <w:br w:type="column"/>
      </w:r>
      <w:r>
        <w:rPr>
          <w:b/>
          <w:sz w:val="12"/>
        </w:rPr>
      </w: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spacing w:before="5"/>
        <w:rPr>
          <w:b/>
          <w:sz w:val="13"/>
        </w:rPr>
      </w:pPr>
    </w:p>
    <w:p>
      <w:pPr>
        <w:spacing w:line="116" w:lineRule="exact" w:before="0"/>
        <w:ind w:left="175" w:right="0" w:firstLine="0"/>
        <w:jc w:val="left"/>
        <w:rPr>
          <w:sz w:val="12"/>
        </w:rPr>
      </w:pPr>
      <w:r>
        <w:rPr>
          <w:sz w:val="12"/>
        </w:rPr>
        <w:t>Per cent</w:t>
      </w:r>
    </w:p>
    <w:p>
      <w:pPr>
        <w:spacing w:line="116" w:lineRule="exact" w:before="0"/>
        <w:ind w:left="577" w:right="0" w:firstLine="0"/>
        <w:jc w:val="left"/>
        <w:rPr>
          <w:sz w:val="12"/>
        </w:rPr>
      </w:pPr>
      <w:r>
        <w:rPr/>
        <w:pict>
          <v:group style="position:absolute;margin-left:44.779999pt;margin-top:2.971763pt;width:168pt;height:137.15pt;mso-position-horizontal-relative:page;mso-position-vertical-relative:paragraph;z-index:15977984" coordorigin="896,59" coordsize="3360,2743">
            <v:shape style="position:absolute;left:895;top:2066;width:100;height:680" coordorigin="896,2066" coordsize="100,680" path="m996,2746l896,2746m996,2406l896,2406m996,2066l896,2066e" filled="false" stroked="true" strokeweight=".5pt" strokecolor="#000000">
              <v:path arrowok="t"/>
              <v:stroke dashstyle="solid"/>
            </v:shape>
            <v:shape style="position:absolute;left:1055;top:1926;width:3020;height:740" coordorigin="1056,1926" coordsize="3020,740" path="m1056,1986l1076,2006,1096,2006,1116,2026,1136,2026,1136,2046,1156,2046,1176,2066,1196,2066,1216,2086,1236,2086,1256,2106,1276,2106,1296,2086,1356,2086,1376,2066,1416,2066,1416,2046,1456,2046,1476,2026,1496,2046,1576,2046,1596,2066,1696,2066,1696,2106,1756,2166,1776,2206,1856,2286,1876,2326,1876,2346,1916,2386,1936,2386,2076,2526,2096,2526,2116,2546,2196,2546,2216,2526,2316,2526,2416,2326,2436,2266,2456,2246,2456,2186,2536,2026,2556,2026,2576,2006,2596,2006,2596,1986,2636,1986,2656,1966,2676,1966,2696,1946,2716,1946,2736,1926,2776,1966,2796,2006,2856,2006,2896,1966,2916,1966,2916,1986,2936,2006,2956,2046,2976,2046,2996,2066,3016,2066,3036,2106,3056,2126,3056,2146,3096,2186,3116,2186,3136,2226,3176,2266,3216,2266,3256,2346,3296,2386,3456,2386,3476,2366,3496,2366,3516,2386,3536,2386,3556,2406,3576,2366,3596,2366,3636,2406,3636,2426,3656,2426,3676,2406,3716,2446,3736,2586,3756,2546,3776,2566,3776,2586,3796,2586,3816,2546,3836,2526,3856,2546,3876,2606,3976,2606,3996,2626,4016,2666,4036,2646,4056,2646,4076,2606e" filled="false" stroked="true" strokeweight="1pt" strokecolor="#df6f1d">
              <v:path arrowok="t"/>
              <v:stroke dashstyle="solid"/>
            </v:shape>
            <v:shape style="position:absolute;left:895;top:66;width:100;height:1680" coordorigin="896,66" coordsize="100,1680" path="m996,1746l896,1746m996,1406l896,1406m996,1066l896,1066m996,726l896,726m996,406l896,406m996,66l896,66e" filled="false" stroked="true" strokeweight=".5pt" strokecolor="#000000">
              <v:path arrowok="t"/>
              <v:stroke dashstyle="solid"/>
            </v:shape>
            <v:shape style="position:absolute;left:1055;top:146;width:3020;height:1860" coordorigin="1056,146" coordsize="3020,1860" path="m1056,146l1116,206,1136,206,1136,226,1156,246,1176,246,1256,326,1416,326,1416,346,1496,346,1536,386,1556,386,1556,406,1576,406,1616,446,1636,446,1656,466,1671,491,1691,521,1696,546,1736,666,1756,706,1836,946,1856,986,1876,1046,1891,1106,1911,1166,1931,1206,1936,1246,1956,1286,1976,1346,2016,1426,2031,1466,2036,1506,2056,1546,2076,1606,2116,1686,2136,1686,2156,1706,2176,1706,2176,1726,2196,1726,2216,1746,2236,1746,2256,1766,2276,1766,2296,1786,2316,1786,2316,1806,2356,1726,2376,1666,2456,1506,2456,1466,2476,1406,2596,1166,2596,1126,2736,846,2736,806,2796,746,2816,706,2836,686,2916,526,2916,546,2976,606,3016,606,3056,646,3076,686,3136,746,3176,826,3216,866,3276,1046,3336,1106,3356,1106,3376,1126,3396,1166,3416,1166,3436,1186,3456,1166,3476,1206,3496,1206,3496,1286,3516,1246,3556,1286,3596,1286,3616,1306,3636,1346,3636,1366,3656,1386,3676,1386,3696,1406,3736,1486,3776,1606,3776,1646,3796,1666,3816,1666,3836,1646,3856,1706,3876,1786,3896,1846,3916,1866,3916,1886,3956,1926,3976,1906,3996,1946,4016,1966,4036,2006,4056,2006,4076,1966e" filled="false" stroked="true" strokeweight="1pt" strokecolor="#f7a08b">
              <v:path arrowok="t"/>
              <v:stroke dashstyle="solid"/>
            </v:shape>
            <v:shape style="position:absolute;left:1055;top:326;width:3020;height:2220" coordorigin="1056,326" coordsize="3020,2220" path="m1056,566l1076,526,1116,526,1136,466,1156,466,1176,426,1196,506,1216,466,1236,466,1256,426,1276,426,1276,466,1296,466,1316,426,1376,426,1396,406,1416,406,1436,326,1456,366,1476,366,1496,326,1536,326,1556,366,1556,406,1576,406,1596,426,1616,466,1636,526,1656,566,1676,586,1696,666,1696,706,1736,826,1756,866,1776,926,1796,1006,1816,1026,1836,1126,1856,1166,1876,1226,1876,1266,1896,1346,1916,1366,1936,1426,1956,1506,1976,1526,1996,1566,2016,1626,2016,1706,2036,1766,2056,1846,2076,1866,2096,1946,2116,1966,2136,2006,2156,2026,2176,2066,2176,2106,2196,2106,2216,2126,2256,2206,2296,2206,2316,2246,2316,2206,2356,2206,2396,2126,2456,1946,2456,1866,2476,1766,2496,1626,2516,1526,2536,1466,2556,1366,2576,1306,2596,1266,2596,1206,2636,1126,2656,1106,2676,1026,2696,966,2716,966,2736,906,2736,866,2756,866,2776,826,2796,806,2816,766,2836,706,2856,666,2876,566,2916,566,2916,586,2956,586,2976,626,3016,626,3056,706,3056,726,3076,806,3096,766,3116,806,3136,826,3176,906,3196,926,3196,966,3216,1006,3236,1026,3256,1106,3276,1126,3296,1206,3316,1266,3336,1346,3356,1366,3376,1366,3396,1406,3416,1406,3436,1426,3456,1426,3476,1466,3496,1466,3516,1506,3536,1506,3556,1526,3576,1526,3596,1566,3616,1566,3636,1606,3636,1626,3656,1666,3676,1746,3696,1846,3716,1906,3736,1946,3756,2026,3776,2066,3776,2126,3816,2206,3836,2266,3876,2346,3896,2366,3916,2406,3916,2446,3936,2446,3956,2466,4036,2466,4076,2546e" filled="false" stroked="true" strokeweight="1pt" strokecolor="#952e40">
              <v:path arrowok="t"/>
              <v:stroke dashstyle="solid"/>
            </v:shape>
            <v:shape style="position:absolute;left:4155;top:66;width:100;height:2680" coordorigin="4156,66" coordsize="100,2680" path="m4256,2746l4156,2746m4256,2406l4156,2406m4256,2066l4156,2066m4256,1746l4156,1746m4256,1406l4156,1406m4256,1066l4156,1066m4256,726l4156,726m4256,406l4156,406m4256,66l4156,66e" filled="false" stroked="true" strokeweight=".5pt" strokecolor="#000000">
              <v:path arrowok="t"/>
              <v:stroke dashstyle="solid"/>
            </v:shape>
            <v:shape style="position:absolute;left:1115;top:59;width:1350;height:133" type="#_x0000_t202" filled="false" stroked="false">
              <v:textbox inset="0,0,0,0">
                <w:txbxContent>
                  <w:p>
                    <w:pPr>
                      <w:spacing w:line="133" w:lineRule="exact" w:before="0"/>
                      <w:ind w:left="0" w:right="0" w:firstLine="0"/>
                      <w:jc w:val="left"/>
                      <w:rPr>
                        <w:sz w:val="12"/>
                      </w:rPr>
                    </w:pPr>
                    <w:r>
                      <w:rPr>
                        <w:sz w:val="12"/>
                      </w:rPr>
                      <w:t>LFS unemployment rate (a)</w:t>
                    </w:r>
                  </w:p>
                </w:txbxContent>
              </v:textbox>
              <w10:wrap type="none"/>
            </v:shape>
            <v:shape style="position:absolute;left:2498;top:1696;width:757;height:133" type="#_x0000_t202" filled="false" stroked="false">
              <v:textbox inset="0,0,0,0">
                <w:txbxContent>
                  <w:p>
                    <w:pPr>
                      <w:spacing w:line="133" w:lineRule="exact" w:before="0"/>
                      <w:ind w:left="0" w:right="0" w:firstLine="0"/>
                      <w:jc w:val="left"/>
                      <w:rPr>
                        <w:sz w:val="12"/>
                      </w:rPr>
                    </w:pPr>
                    <w:r>
                      <w:rPr>
                        <w:sz w:val="12"/>
                      </w:rPr>
                      <w:t>Claimant count</w:t>
                    </w:r>
                  </w:p>
                </w:txbxContent>
              </v:textbox>
              <w10:wrap type="none"/>
            </v:shape>
            <v:shape style="position:absolute;left:1625;top:2549;width:1180;height:253" type="#_x0000_t202" filled="false" stroked="false">
              <v:textbox inset="0,0,0,0">
                <w:txbxContent>
                  <w:p>
                    <w:pPr>
                      <w:spacing w:line="208" w:lineRule="auto" w:before="9"/>
                      <w:ind w:left="60" w:right="0" w:hanging="60"/>
                      <w:jc w:val="left"/>
                      <w:rPr>
                        <w:sz w:val="12"/>
                      </w:rPr>
                    </w:pPr>
                    <w:r>
                      <w:rPr>
                        <w:sz w:val="12"/>
                      </w:rPr>
                      <w:t>Short-term LFS unemployment rate (b)</w:t>
                    </w:r>
                  </w:p>
                </w:txbxContent>
              </v:textbox>
              <w10:wrap type="none"/>
            </v:shape>
            <w10:wrap type="none"/>
          </v:group>
        </w:pict>
      </w:r>
      <w:r>
        <w:rPr>
          <w:sz w:val="12"/>
        </w:rPr>
        <w:t>12</w:t>
      </w:r>
    </w:p>
    <w:p>
      <w:pPr>
        <w:pStyle w:val="BodyText"/>
        <w:spacing w:before="7"/>
        <w:rPr>
          <w:sz w:val="17"/>
        </w:rPr>
      </w:pPr>
    </w:p>
    <w:p>
      <w:pPr>
        <w:spacing w:before="0"/>
        <w:ind w:left="577" w:right="0" w:firstLine="0"/>
        <w:jc w:val="left"/>
        <w:rPr>
          <w:sz w:val="12"/>
        </w:rPr>
      </w:pPr>
      <w:r>
        <w:rPr>
          <w:sz w:val="12"/>
        </w:rPr>
        <w:t>11</w:t>
      </w:r>
    </w:p>
    <w:p>
      <w:pPr>
        <w:pStyle w:val="BodyText"/>
        <w:spacing w:before="9"/>
        <w:rPr>
          <w:sz w:val="15"/>
        </w:rPr>
      </w:pPr>
    </w:p>
    <w:p>
      <w:pPr>
        <w:spacing w:before="1"/>
        <w:ind w:left="577" w:right="0" w:firstLine="0"/>
        <w:jc w:val="left"/>
        <w:rPr>
          <w:sz w:val="12"/>
        </w:rPr>
      </w:pPr>
      <w:r>
        <w:rPr>
          <w:sz w:val="12"/>
        </w:rPr>
        <w:t>10</w:t>
      </w:r>
    </w:p>
    <w:p>
      <w:pPr>
        <w:pStyle w:val="BodyText"/>
        <w:spacing w:before="6"/>
        <w:rPr>
          <w:sz w:val="17"/>
        </w:rPr>
      </w:pPr>
    </w:p>
    <w:p>
      <w:pPr>
        <w:spacing w:before="0"/>
        <w:ind w:left="637" w:right="0" w:firstLine="0"/>
        <w:jc w:val="left"/>
        <w:rPr>
          <w:sz w:val="12"/>
        </w:rPr>
      </w:pPr>
      <w:r>
        <w:rPr>
          <w:sz w:val="12"/>
        </w:rPr>
        <w:t>9</w:t>
      </w:r>
    </w:p>
    <w:p>
      <w:pPr>
        <w:pStyle w:val="BodyText"/>
        <w:spacing w:before="6"/>
        <w:rPr>
          <w:sz w:val="17"/>
        </w:rPr>
      </w:pPr>
    </w:p>
    <w:p>
      <w:pPr>
        <w:spacing w:before="1"/>
        <w:ind w:left="637" w:right="0" w:firstLine="0"/>
        <w:jc w:val="left"/>
        <w:rPr>
          <w:sz w:val="12"/>
        </w:rPr>
      </w:pPr>
      <w:r>
        <w:rPr>
          <w:sz w:val="12"/>
        </w:rPr>
        <w:t>8</w:t>
      </w:r>
    </w:p>
    <w:p>
      <w:pPr>
        <w:pStyle w:val="BodyText"/>
        <w:spacing w:before="9"/>
        <w:rPr>
          <w:sz w:val="15"/>
        </w:rPr>
      </w:pPr>
    </w:p>
    <w:p>
      <w:pPr>
        <w:spacing w:before="0"/>
        <w:ind w:left="637" w:right="0" w:firstLine="0"/>
        <w:jc w:val="left"/>
        <w:rPr>
          <w:sz w:val="12"/>
        </w:rPr>
      </w:pPr>
      <w:r>
        <w:rPr>
          <w:sz w:val="12"/>
        </w:rPr>
        <w:t>7</w:t>
      </w:r>
    </w:p>
    <w:p>
      <w:pPr>
        <w:pStyle w:val="BodyText"/>
        <w:spacing w:before="6"/>
        <w:rPr>
          <w:sz w:val="17"/>
        </w:rPr>
      </w:pPr>
    </w:p>
    <w:p>
      <w:pPr>
        <w:spacing w:before="1"/>
        <w:ind w:left="637" w:right="0" w:firstLine="0"/>
        <w:jc w:val="left"/>
        <w:rPr>
          <w:sz w:val="12"/>
        </w:rPr>
      </w:pPr>
      <w:r>
        <w:rPr>
          <w:sz w:val="12"/>
        </w:rPr>
        <w:t>6</w:t>
      </w:r>
    </w:p>
    <w:p>
      <w:pPr>
        <w:pStyle w:val="BodyText"/>
        <w:spacing w:before="6"/>
        <w:rPr>
          <w:sz w:val="17"/>
        </w:rPr>
      </w:pPr>
    </w:p>
    <w:p>
      <w:pPr>
        <w:spacing w:before="0"/>
        <w:ind w:left="637" w:right="0" w:firstLine="0"/>
        <w:jc w:val="left"/>
        <w:rPr>
          <w:sz w:val="12"/>
        </w:rPr>
      </w:pPr>
      <w:r>
        <w:rPr>
          <w:sz w:val="12"/>
        </w:rPr>
        <w:t>5</w:t>
      </w:r>
    </w:p>
    <w:p>
      <w:pPr>
        <w:pStyle w:val="BodyText"/>
        <w:spacing w:before="10"/>
        <w:rPr>
          <w:sz w:val="15"/>
        </w:rPr>
      </w:pPr>
    </w:p>
    <w:p>
      <w:pPr>
        <w:spacing w:before="0"/>
        <w:ind w:left="637" w:right="0" w:firstLine="0"/>
        <w:jc w:val="left"/>
        <w:rPr>
          <w:sz w:val="12"/>
        </w:rPr>
      </w:pPr>
      <w:r>
        <w:rPr>
          <w:sz w:val="12"/>
        </w:rPr>
        <w:t>4</w:t>
      </w:r>
    </w:p>
    <w:p>
      <w:pPr>
        <w:pStyle w:val="BodyText"/>
        <w:spacing w:before="6"/>
        <w:rPr>
          <w:sz w:val="17"/>
        </w:rPr>
      </w:pPr>
    </w:p>
    <w:p>
      <w:pPr>
        <w:spacing w:before="0"/>
        <w:ind w:left="637" w:right="0" w:firstLine="0"/>
        <w:jc w:val="left"/>
        <w:rPr>
          <w:sz w:val="12"/>
        </w:rPr>
      </w:pPr>
      <w:r>
        <w:rPr/>
        <w:pict>
          <v:group style="position:absolute;margin-left:44.779999pt;margin-top:4.153563pt;width:169.35pt;height:8.550pt;mso-position-horizontal-relative:page;mso-position-vertical-relative:paragraph;z-index:15975936" coordorigin="896,83" coordsize="3387,171">
            <v:shape style="position:absolute;left:895;top:88;width:3360;height:160" coordorigin="896,89" coordsize="3360,160" path="m3316,249l3316,149m3516,249l3516,149m3936,249l3936,149m3736,249l3736,149m2876,249l2876,149m2676,249l2676,149m2456,249l2456,149m976,249l4056,249m1096,249l1096,209m1136,249l1136,209m1196,249l1196,209m1256,249l1256,209m1306,249l1306,209m1356,249l1356,209m1416,249l1416,209m1456,249l1456,209m1506,249l1506,209m1556,249l1556,209m1616,249l1616,209m1676,249l1676,209m1726,249l1726,209m1776,249l1776,209m1836,249l1836,209m1876,249l1876,209m1936,249l1936,209m1996,249l1996,209m2036,249l2036,209m2096,249l2096,209m2146,249l2146,209m2196,249l2196,209m2256,249l2256,209m2303,249l2303,209m2353,249l2353,209m2403,249l2403,209m2511,249l2511,209m2566,249l2566,209m2621,249l2621,209m2726,249l2726,209m2776,249l2776,209m2826,249l2826,209m2936,249l2936,209m2986,249l2986,209m3036,249l3036,209m3096,249l3096,209m3156,249l3156,209m3206,249l3206,209m3256,249l3256,209m3366,249l3366,209m3416,249l3416,209m3466,249l3466,209m3571,249l3571,209m3626,249l3626,209m3681,249l3681,209m3786,249l3786,209m3836,249l3836,209m3886,249l3886,209m3996,249l3996,209m4056,249l4056,209m1196,249l1196,149m1416,249l1416,149m1616,249l1616,149m1836,249l1836,149m2036,249l2036,149m2256,249l2256,149m3096,249l3096,149m996,249l896,249m4256,249l4029,249m4256,89l4156,89e" filled="false" stroked="true" strokeweight=".5pt" strokecolor="#000000">
              <v:path arrowok="t"/>
              <v:stroke dashstyle="solid"/>
            </v:shape>
            <v:shape style="position:absolute;left:4236;top:88;width:40;height:160" coordorigin="4237,89" coordsize="40,160" path="m4257,89l4257,132,4237,148,4277,162,4237,182,4277,199,4254,209,4253,249e" filled="false" stroked="true" strokeweight=".5pt" strokecolor="#000000">
              <v:path arrowok="t"/>
              <v:stroke dashstyle="solid"/>
            </v:shape>
            <v:line style="position:absolute" from="996,89" to="896,89" stroked="true" strokeweight=".5pt" strokecolor="#000000">
              <v:stroke dashstyle="solid"/>
            </v:line>
            <v:shape style="position:absolute;left:978;top:88;width:40;height:160" coordorigin="978,88" coordsize="40,160" path="m998,88l998,131,978,148,1018,161,978,181,1018,198,995,208,994,248e" filled="false" stroked="true" strokeweight=".5pt" strokecolor="#000000">
              <v:path arrowok="t"/>
              <v:stroke dashstyle="solid"/>
            </v:shape>
            <w10:wrap type="none"/>
          </v:group>
        </w:pict>
      </w:r>
      <w:r>
        <w:rPr>
          <w:sz w:val="12"/>
        </w:rPr>
        <w:t>3</w:t>
      </w:r>
    </w:p>
    <w:p>
      <w:pPr>
        <w:spacing w:line="85" w:lineRule="exact" w:before="22"/>
        <w:ind w:left="637" w:right="0" w:firstLine="0"/>
        <w:jc w:val="left"/>
        <w:rPr>
          <w:sz w:val="12"/>
        </w:rPr>
      </w:pPr>
      <w:r>
        <w:rPr>
          <w:sz w:val="12"/>
        </w:rPr>
        <w:t>0</w:t>
      </w:r>
    </w:p>
    <w:p>
      <w:pPr>
        <w:pStyle w:val="Heading4"/>
        <w:spacing w:line="242" w:lineRule="auto" w:before="90"/>
        <w:ind w:left="175" w:right="303"/>
      </w:pPr>
      <w:r>
        <w:rPr/>
        <w:br w:type="column"/>
      </w:r>
      <w:r>
        <w:rPr/>
        <w:t>Inflationary pressure in the labour market depends on </w:t>
      </w:r>
      <w:r>
        <w:rPr>
          <w:spacing w:val="-6"/>
        </w:rPr>
        <w:t>the </w:t>
      </w:r>
      <w:r>
        <w:rPr/>
        <w:t>degree of labour market tightness, as well as its rate of change.  </w:t>
      </w:r>
      <w:r>
        <w:rPr>
          <w:spacing w:val="-4"/>
        </w:rPr>
        <w:t>Various </w:t>
      </w:r>
      <w:r>
        <w:rPr/>
        <w:t>measures of unemployment showed that the jobs market remained tight during the third quarter. But it may no longer be continuing to tighten— LFS unemployment rose by 9,000 in the three months to August. </w:t>
      </w:r>
      <w:r>
        <w:rPr>
          <w:spacing w:val="-4"/>
        </w:rPr>
        <w:t>However, </w:t>
      </w:r>
      <w:r>
        <w:rPr/>
        <w:t>the resulting unemployment rate fell to 6.3%, from 6.4% in the three months to</w:t>
      </w:r>
      <w:r>
        <w:rPr>
          <w:spacing w:val="-9"/>
        </w:rPr>
        <w:t> </w:t>
      </w:r>
      <w:r>
        <w:rPr/>
        <w:t>February.</w:t>
      </w:r>
    </w:p>
    <w:p>
      <w:pPr>
        <w:spacing w:line="242" w:lineRule="auto" w:before="10"/>
        <w:ind w:left="175" w:right="440" w:firstLine="0"/>
        <w:jc w:val="left"/>
        <w:rPr>
          <w:sz w:val="24"/>
        </w:rPr>
      </w:pPr>
      <w:r>
        <w:rPr>
          <w:sz w:val="24"/>
        </w:rPr>
        <w:t>Unemployment based on the claimant count fell by 11,900 in September, after falling by 16,500 in August, reducing the claimant unemployment rate to 4.6%, its lowest level since 1980. And the short-term LFS unemployment rate remains low—though it increased slightly to 4.4% in August from 4.3% in July. The short-term rate may be a more relevant measure of the</w:t>
      </w:r>
    </w:p>
    <w:p>
      <w:pPr>
        <w:spacing w:line="242" w:lineRule="auto" w:before="9"/>
        <w:ind w:left="175" w:right="309" w:firstLine="0"/>
        <w:jc w:val="left"/>
        <w:rPr>
          <w:sz w:val="24"/>
        </w:rPr>
      </w:pPr>
      <w:r>
        <w:rPr>
          <w:sz w:val="24"/>
        </w:rPr>
        <w:t>degree of labour market tightness, because it emphasises the role of workers who have been unemployed for less than a year. Such workers are often more likely to possess the up-to-date skills and experience that employers are seeking and are therefore better placed to</w:t>
      </w:r>
    </w:p>
    <w:p>
      <w:pPr>
        <w:spacing w:after="0" w:line="242" w:lineRule="auto"/>
        <w:jc w:val="left"/>
        <w:rPr>
          <w:sz w:val="24"/>
        </w:rPr>
        <w:sectPr>
          <w:type w:val="continuous"/>
          <w:pgSz w:w="11900" w:h="16840"/>
          <w:pgMar w:top="1220" w:bottom="280" w:left="620" w:right="520"/>
          <w:cols w:num="3" w:equalWidth="0">
            <w:col w:w="1999" w:space="1076"/>
            <w:col w:w="738" w:space="977"/>
            <w:col w:w="5970"/>
          </w:cols>
        </w:sectPr>
      </w:pPr>
    </w:p>
    <w:p>
      <w:pPr>
        <w:tabs>
          <w:tab w:pos="835" w:val="left" w:leader="none"/>
          <w:tab w:pos="1250" w:val="left" w:leader="none"/>
          <w:tab w:pos="1665" w:val="left" w:leader="none"/>
          <w:tab w:pos="2085" w:val="left" w:leader="none"/>
          <w:tab w:pos="2515" w:val="left" w:leader="none"/>
          <w:tab w:pos="2930" w:val="left" w:leader="none"/>
          <w:tab w:pos="3342" w:val="left" w:leader="none"/>
        </w:tabs>
        <w:spacing w:before="41"/>
        <w:ind w:left="338" w:right="0" w:firstLine="0"/>
        <w:jc w:val="left"/>
        <w:rPr>
          <w:sz w:val="12"/>
        </w:rPr>
      </w:pPr>
      <w:r>
        <w:rPr>
          <w:sz w:val="12"/>
        </w:rPr>
        <w:t>1984</w:t>
        <w:tab/>
        <w:t>86</w:t>
        <w:tab/>
        <w:t>88</w:t>
        <w:tab/>
        <w:t>90</w:t>
        <w:tab/>
        <w:t>92</w:t>
        <w:tab/>
        <w:t>94</w:t>
        <w:tab/>
        <w:t>96</w:t>
        <w:tab/>
        <w:t>98</w:t>
      </w:r>
    </w:p>
    <w:p>
      <w:pPr>
        <w:spacing w:before="61"/>
        <w:ind w:left="165" w:right="0" w:firstLine="0"/>
        <w:jc w:val="left"/>
        <w:rPr>
          <w:sz w:val="12"/>
        </w:rPr>
      </w:pPr>
      <w:r>
        <w:rPr>
          <w:sz w:val="12"/>
        </w:rPr>
        <w:t>Sources: ONS and Bank of England.</w:t>
      </w:r>
    </w:p>
    <w:p>
      <w:pPr>
        <w:pStyle w:val="ListParagraph"/>
        <w:numPr>
          <w:ilvl w:val="0"/>
          <w:numId w:val="20"/>
        </w:numPr>
        <w:tabs>
          <w:tab w:pos="406" w:val="left" w:leader="none"/>
        </w:tabs>
        <w:spacing w:line="129" w:lineRule="exact" w:before="102" w:after="0"/>
        <w:ind w:left="405" w:right="0" w:hanging="241"/>
        <w:jc w:val="left"/>
        <w:rPr>
          <w:sz w:val="12"/>
        </w:rPr>
      </w:pPr>
      <w:r>
        <w:rPr>
          <w:sz w:val="12"/>
        </w:rPr>
        <w:t>LFS unemployment measures started in 1984.</w:t>
      </w:r>
    </w:p>
    <w:p>
      <w:pPr>
        <w:pStyle w:val="ListParagraph"/>
        <w:numPr>
          <w:ilvl w:val="0"/>
          <w:numId w:val="20"/>
        </w:numPr>
        <w:tabs>
          <w:tab w:pos="406" w:val="left" w:leader="none"/>
        </w:tabs>
        <w:spacing w:line="208" w:lineRule="auto" w:before="5" w:after="0"/>
        <w:ind w:left="405" w:right="38" w:hanging="240"/>
        <w:jc w:val="left"/>
        <w:rPr>
          <w:sz w:val="12"/>
        </w:rPr>
      </w:pPr>
      <w:r>
        <w:rPr>
          <w:sz w:val="12"/>
        </w:rPr>
        <w:t>Short-term unemployment refers to those employed for less than a </w:t>
      </w:r>
      <w:r>
        <w:rPr>
          <w:spacing w:val="-5"/>
          <w:sz w:val="12"/>
        </w:rPr>
        <w:t>year </w:t>
      </w:r>
      <w:r>
        <w:rPr>
          <w:sz w:val="12"/>
        </w:rPr>
        <w:t>(seasonally adjusted estimate).</w:t>
      </w:r>
    </w:p>
    <w:p>
      <w:pPr>
        <w:pStyle w:val="Heading4"/>
        <w:spacing w:line="242" w:lineRule="auto"/>
        <w:ind w:left="165" w:right="382"/>
      </w:pPr>
      <w:r>
        <w:rPr/>
        <w:br w:type="column"/>
      </w:r>
      <w:r>
        <w:rPr/>
        <w:t>take up vacancies. As Chart 3.7 shows, all three measures of unemployment have been falling steadily since the start of 1993.</w:t>
      </w:r>
    </w:p>
    <w:p>
      <w:pPr>
        <w:pStyle w:val="BodyText"/>
        <w:spacing w:before="9"/>
        <w:rPr>
          <w:sz w:val="23"/>
        </w:rPr>
      </w:pPr>
    </w:p>
    <w:p>
      <w:pPr>
        <w:spacing w:line="242" w:lineRule="auto" w:before="0"/>
        <w:ind w:left="165" w:right="322" w:firstLine="0"/>
        <w:jc w:val="left"/>
        <w:rPr>
          <w:sz w:val="24"/>
        </w:rPr>
      </w:pPr>
      <w:r>
        <w:rPr>
          <w:sz w:val="24"/>
        </w:rPr>
        <w:t>Evidence of continued labour market tightness based on recent employment data is ambiguous. Employment, as measured by the LFS, rose by 122,000 in the three months to August—a rise of 0.5%. By contrast, the </w:t>
      </w:r>
      <w:r>
        <w:rPr>
          <w:spacing w:val="-3"/>
          <w:sz w:val="24"/>
        </w:rPr>
        <w:t>Workforce </w:t>
      </w:r>
      <w:r>
        <w:rPr>
          <w:sz w:val="24"/>
        </w:rPr>
        <w:t>jobs survey suggested that the number of jobs fell by 124,000 between March and June.  Both measures showed falls in the number of self-employed jobs and employment in government-supported training programmes. The difference between the two measures is accounted for by different estimates of the number of employee jobs. The </w:t>
      </w:r>
      <w:r>
        <w:rPr>
          <w:spacing w:val="-3"/>
          <w:sz w:val="24"/>
        </w:rPr>
        <w:t>Workforce </w:t>
      </w:r>
      <w:r>
        <w:rPr>
          <w:sz w:val="24"/>
        </w:rPr>
        <w:t>jobs measure is based </w:t>
      </w:r>
      <w:r>
        <w:rPr>
          <w:spacing w:val="-8"/>
          <w:sz w:val="24"/>
        </w:rPr>
        <w:t>on </w:t>
      </w:r>
      <w:r>
        <w:rPr>
          <w:sz w:val="24"/>
        </w:rPr>
        <w:t>a survey of firms taken on a specific date, and measures the number of employee jobs.</w:t>
      </w:r>
      <w:r>
        <w:rPr>
          <w:position w:val="5"/>
          <w:sz w:val="16"/>
        </w:rPr>
        <w:t>(1) </w:t>
      </w:r>
      <w:r>
        <w:rPr>
          <w:sz w:val="24"/>
        </w:rPr>
        <w:t>The LFS measure, by contrast, is gathered on a continuous basis and measures directly the number of people in work. The </w:t>
      </w:r>
      <w:r>
        <w:rPr>
          <w:spacing w:val="-3"/>
          <w:sz w:val="24"/>
        </w:rPr>
        <w:t>Workforce </w:t>
      </w:r>
      <w:r>
        <w:rPr>
          <w:sz w:val="24"/>
        </w:rPr>
        <w:t>measure is subject to much greater sampling variance than its LFS counterpart, and has shown stronger increases than LFS-based measures in recent quarters.</w:t>
      </w:r>
    </w:p>
    <w:p>
      <w:pPr>
        <w:pStyle w:val="BodyText"/>
        <w:spacing w:before="8"/>
      </w:pPr>
      <w:r>
        <w:rPr/>
        <w:pict>
          <v:shape style="position:absolute;margin-left:278.75pt;margin-top:12.805733pt;width:278.5pt;height:.1pt;mso-position-horizontal-relative:page;mso-position-vertical-relative:paragraph;z-index:-15481856;mso-wrap-distance-left:0;mso-wrap-distance-right:0" coordorigin="5575,256" coordsize="5570,0" path="m5575,256l11145,256e" filled="false" stroked="true" strokeweight=".125pt" strokecolor="#000000">
            <v:path arrowok="t"/>
            <v:stroke dashstyle="solid"/>
            <w10:wrap type="topAndBottom"/>
          </v:shape>
        </w:pict>
      </w:r>
    </w:p>
    <w:p>
      <w:pPr>
        <w:pStyle w:val="ListParagraph"/>
        <w:numPr>
          <w:ilvl w:val="1"/>
          <w:numId w:val="20"/>
        </w:numPr>
        <w:tabs>
          <w:tab w:pos="426" w:val="left" w:leader="none"/>
        </w:tabs>
        <w:spacing w:line="208" w:lineRule="auto" w:before="1" w:after="0"/>
        <w:ind w:left="439" w:right="845" w:hanging="240"/>
        <w:jc w:val="left"/>
        <w:rPr>
          <w:sz w:val="16"/>
        </w:rPr>
      </w:pPr>
      <w:r>
        <w:rPr>
          <w:sz w:val="16"/>
        </w:rPr>
        <w:t>The Workforce jobs estimates will be revised later this year to reflect revisions to the Annual Employment Survey (AES) data. AES data </w:t>
      </w:r>
      <w:r>
        <w:rPr>
          <w:spacing w:val="-5"/>
          <w:sz w:val="16"/>
        </w:rPr>
        <w:t>have </w:t>
      </w:r>
      <w:r>
        <w:rPr>
          <w:sz w:val="16"/>
        </w:rPr>
        <w:t>been revised for 1995 and 1996; this is expected to add more than 300,000 jobs to the Workforce jobs series.</w:t>
      </w:r>
    </w:p>
    <w:p>
      <w:pPr>
        <w:spacing w:after="0" w:line="208" w:lineRule="auto"/>
        <w:jc w:val="left"/>
        <w:rPr>
          <w:sz w:val="16"/>
        </w:rPr>
        <w:sectPr>
          <w:type w:val="continuous"/>
          <w:pgSz w:w="11900" w:h="16840"/>
          <w:pgMar w:top="1220" w:bottom="280" w:left="620" w:right="520"/>
          <w:cols w:num="2" w:equalWidth="0">
            <w:col w:w="3865" w:space="935"/>
            <w:col w:w="5960"/>
          </w:cols>
        </w:sectPr>
      </w:pPr>
    </w:p>
    <w:p>
      <w:pPr>
        <w:pStyle w:val="BodyText"/>
        <w:rPr>
          <w:sz w:val="20"/>
        </w:rPr>
      </w:pPr>
    </w:p>
    <w:p>
      <w:pPr>
        <w:spacing w:after="0"/>
        <w:rPr>
          <w:sz w:val="20"/>
        </w:rPr>
        <w:sectPr>
          <w:pgSz w:w="11900" w:h="16840"/>
          <w:pgMar w:header="586" w:footer="597" w:top="780" w:bottom="780" w:left="620" w:right="520"/>
        </w:sectPr>
      </w:pPr>
    </w:p>
    <w:p>
      <w:pPr>
        <w:pStyle w:val="BodyText"/>
        <w:spacing w:before="3"/>
        <w:rPr>
          <w:sz w:val="22"/>
        </w:rPr>
      </w:pPr>
    </w:p>
    <w:p>
      <w:pPr>
        <w:pStyle w:val="Heading7"/>
        <w:spacing w:before="0"/>
        <w:ind w:left="205"/>
      </w:pPr>
      <w:r>
        <w:rPr>
          <w:color w:val="0093C1"/>
        </w:rPr>
        <w:t>Chart 3.8</w:t>
      </w:r>
    </w:p>
    <w:p>
      <w:pPr>
        <w:spacing w:before="10"/>
        <w:ind w:left="205" w:right="0" w:firstLine="0"/>
        <w:jc w:val="left"/>
        <w:rPr>
          <w:b/>
          <w:sz w:val="20"/>
        </w:rPr>
      </w:pPr>
      <w:r>
        <w:rPr>
          <w:b/>
          <w:color w:val="0093C1"/>
          <w:sz w:val="20"/>
        </w:rPr>
        <w:t>The extent of non-employment</w:t>
      </w:r>
    </w:p>
    <w:p>
      <w:pPr>
        <w:spacing w:line="118" w:lineRule="exact" w:before="149"/>
        <w:ind w:left="355" w:right="0" w:firstLine="0"/>
        <w:jc w:val="left"/>
        <w:rPr>
          <w:b/>
          <w:sz w:val="12"/>
        </w:rPr>
      </w:pPr>
      <w:r>
        <w:rPr>
          <w:b/>
          <w:sz w:val="12"/>
        </w:rPr>
        <w:t>Economic activity rates</w:t>
      </w:r>
    </w:p>
    <w:p>
      <w:pPr>
        <w:pStyle w:val="Heading4"/>
        <w:spacing w:line="242" w:lineRule="auto" w:before="207"/>
        <w:ind w:left="205" w:right="361"/>
      </w:pPr>
      <w:r>
        <w:rPr/>
        <w:br w:type="column"/>
      </w:r>
      <w:r>
        <w:rPr/>
        <w:t>A further gauge of the degree of labour market tightness is the extent of non-employment. This includes people of working age, such as discouraged workers, who are</w:t>
      </w:r>
    </w:p>
    <w:p>
      <w:pPr>
        <w:spacing w:after="0" w:line="242" w:lineRule="auto"/>
        <w:sectPr>
          <w:type w:val="continuous"/>
          <w:pgSz w:w="11900" w:h="16840"/>
          <w:pgMar w:top="1220" w:bottom="280" w:left="620" w:right="520"/>
          <w:cols w:num="2" w:equalWidth="0">
            <w:col w:w="2863" w:space="1906"/>
            <w:col w:w="5991"/>
          </w:cols>
        </w:sectPr>
      </w:pPr>
    </w:p>
    <w:p>
      <w:pPr>
        <w:spacing w:line="119" w:lineRule="exact" w:before="18"/>
        <w:ind w:left="215" w:right="0" w:firstLine="0"/>
        <w:jc w:val="left"/>
        <w:rPr>
          <w:sz w:val="12"/>
        </w:rPr>
      </w:pPr>
      <w:r>
        <w:rPr/>
        <w:pict>
          <v:line style="position:absolute;mso-position-horizontal-relative:page;mso-position-vertical-relative:paragraph;z-index:15980544" from="54.279999pt,5.002173pt" to="50.279999pt,5.002173pt" stroked="true" strokeweight=".5pt" strokecolor="#000000">
            <v:stroke dashstyle="solid"/>
            <w10:wrap type="none"/>
          </v:line>
        </w:pict>
      </w:r>
      <w:r>
        <w:rPr>
          <w:sz w:val="12"/>
        </w:rPr>
        <w:t>76</w:t>
      </w:r>
    </w:p>
    <w:p>
      <w:pPr>
        <w:spacing w:line="106" w:lineRule="exact" w:before="0"/>
        <w:ind w:left="675" w:right="0" w:firstLine="0"/>
        <w:jc w:val="left"/>
        <w:rPr>
          <w:sz w:val="12"/>
        </w:rPr>
      </w:pPr>
      <w:r>
        <w:rPr>
          <w:sz w:val="12"/>
        </w:rPr>
        <w:t>Employment</w:t>
      </w:r>
    </w:p>
    <w:p>
      <w:pPr>
        <w:spacing w:line="61" w:lineRule="exact" w:before="0"/>
        <w:ind w:left="215" w:right="0" w:firstLine="0"/>
        <w:jc w:val="left"/>
        <w:rPr>
          <w:sz w:val="12"/>
        </w:rPr>
      </w:pPr>
      <w:r>
        <w:rPr/>
        <w:br w:type="column"/>
      </w:r>
      <w:r>
        <w:rPr>
          <w:sz w:val="12"/>
        </w:rPr>
        <w:t>Per cent of population of working a</w:t>
      </w:r>
      <w:r>
        <w:rPr>
          <w:sz w:val="12"/>
          <w:u w:val="single"/>
        </w:rPr>
        <w:t>ge</w:t>
      </w:r>
    </w:p>
    <w:p>
      <w:pPr>
        <w:spacing w:line="116" w:lineRule="exact" w:before="0"/>
        <w:ind w:left="2192" w:right="0" w:firstLine="0"/>
        <w:jc w:val="left"/>
        <w:rPr>
          <w:sz w:val="12"/>
        </w:rPr>
      </w:pPr>
      <w:r>
        <w:rPr>
          <w:sz w:val="12"/>
        </w:rPr>
        <w:t>35</w:t>
      </w:r>
    </w:p>
    <w:p>
      <w:pPr>
        <w:pStyle w:val="Heading4"/>
        <w:spacing w:line="239" w:lineRule="exact" w:before="4"/>
        <w:ind w:left="215"/>
      </w:pPr>
      <w:r>
        <w:rPr/>
        <w:br w:type="column"/>
      </w:r>
      <w:r>
        <w:rPr/>
        <w:t>neither employed nor actively seeking employment, but</w:t>
      </w:r>
    </w:p>
    <w:p>
      <w:pPr>
        <w:spacing w:after="0" w:line="239" w:lineRule="exact"/>
        <w:sectPr>
          <w:type w:val="continuous"/>
          <w:pgSz w:w="11900" w:h="16840"/>
          <w:pgMar w:top="1220" w:bottom="280" w:left="620" w:right="520"/>
          <w:cols w:num="3" w:equalWidth="0">
            <w:col w:w="1336" w:space="317"/>
            <w:col w:w="2353" w:space="753"/>
            <w:col w:w="6001"/>
          </w:cols>
        </w:sectPr>
      </w:pPr>
    </w:p>
    <w:p>
      <w:pPr>
        <w:tabs>
          <w:tab w:pos="2255" w:val="left" w:leader="none"/>
        </w:tabs>
        <w:spacing w:line="124" w:lineRule="exact" w:before="0"/>
        <w:ind w:left="705" w:right="0" w:firstLine="0"/>
        <w:jc w:val="left"/>
        <w:rPr>
          <w:sz w:val="12"/>
        </w:rPr>
      </w:pPr>
      <w:r>
        <w:rPr/>
        <w:pict>
          <v:group style="position:absolute;margin-left:50.279999pt;margin-top:.354788pt;width:165pt;height:59pt;mso-position-horizontal-relative:page;mso-position-vertical-relative:paragraph;z-index:-21508608" coordorigin="1006,7" coordsize="3300,1180">
            <v:shape style="position:absolute;left:1005;top:237;width:3300;height:740" coordorigin="1006,237" coordsize="3300,740" path="m1086,977l1006,977m1086,617l1006,617m1086,237l1006,237m4206,977l4306,977m4206,617l4306,617m4206,237l4306,237e" filled="false" stroked="true" strokeweight=".5pt" strokecolor="#000000">
              <v:path arrowok="t"/>
              <v:stroke dashstyle="solid"/>
            </v:shape>
            <v:shape style="position:absolute;left:1145;top:17;width:3000;height:1160" coordorigin="1146,17" coordsize="3000,1160" path="m1146,1177l1166,1157,1186,1157,1206,1137,1206,1117,1226,1097,1246,1097,1286,1057,1306,1057,1346,1017,1346,997,1546,997,1566,977,1586,977,1606,957,1626,957,1626,937,1646,937,1666,917,1686,917,1706,897,1726,897,1766,857,1806,777,1826,757,1906,597,1906,577,1986,417,2006,397,2026,357,2046,337,2046,317,2086,277,2086,257,2106,217,2146,177,2166,137,2186,117,2206,77,2246,77,2246,57,2286,57,2306,37,2346,37,2366,17,2406,17,2446,57,2466,97,2506,137,2526,177,2526,197,2546,217,2566,257,2606,297,2626,337,2646,357,2666,397,2666,437,2686,457,2726,537,2746,557,2766,597,2786,617,2806,657,2806,697,2906,797,2926,797,2966,837,2966,857,2986,877,3106,877,3146,857,3166,857,3186,837,3206,837,3226,817,3246,817,3266,797,3286,797,3306,777,3326,777,3366,737,3386,757,3406,757,3426,777,3446,777,3446,757,3466,737,3486,737,3526,697,3546,697,3566,677,3586,677,3586,637,3606,617,3646,657,3666,657,3686,637,3726,637,3726,597,3746,617,3766,597,3786,557,3866,477,3866,457,3886,477,3886,457,3906,437,3946,437,3966,397,3986,397,4006,377,4026,377,4046,357,4066,357,4086,337,4106,337,4126,357,4146,337,4146,317e" filled="false" stroked="true" strokeweight="1pt" strokecolor="#ac6e90">
              <v:path arrowok="t"/>
              <v:stroke dashstyle="solid"/>
            </v:shape>
            <v:shape style="position:absolute;left:1145;top:857;width:3000;height:180" coordorigin="1146,857" coordsize="3000,180" path="m1146,857l1186,857,1206,877,1286,877,1306,897,1566,897,1586,917,1726,917,1746,937,1806,937,1826,957,1906,957,1906,977,1986,977,2006,997,2086,997,2086,1017,2166,1017,2186,1037,2526,1037,2526,1017,2626,1017,2646,997,2666,997,2686,977,2746,977,2766,957,2806,957,2806,937,2846,937,2866,917,3086,917,3106,897,3346,897,3366,877,3386,877,3406,857,3506,857,3526,877,3586,877,3606,897,3626,877,3706,877,3726,857,3726,877,3746,857,3786,897,3806,877,3886,877,3906,897,3926,897,3946,877,4086,877,4106,857,4126,857,4146,877,4146,897e" filled="false" stroked="true" strokeweight="1pt" strokecolor="#faab54">
              <v:path arrowok="t"/>
              <v:stroke dashstyle="solid"/>
            </v:shape>
            <v:shape style="position:absolute;left:1145;top:157;width:3000;height:460" coordorigin="1146,157" coordsize="3000,460" path="m1146,157l1166,157,1186,177,1206,177,1226,197,1286,197,1306,217,1346,217,1366,237,1606,237,1626,257,1686,257,1706,277,1766,277,1826,337,1846,337,1946,437,1966,437,2006,477,2026,477,2046,497,2086,517,2086,537,2106,537,2126,557,2146,557,2166,577,2186,577,2206,597,2266,597,2286,617,2426,617,2446,597,2466,597,2486,577,2506,577,2546,537,2566,537,2586,517,2606,517,2646,477,2666,477,2666,457,2686,437,2706,437,2746,397,2766,397,2826,337,2846,337,2866,317,2926,317,2946,297,2966,297,2966,277,3166,277,3166,297,3246,297,3266,317,3326,317,3346,337,3386,337,3406,317,3446,317,3446,337,3506,337,3526,357,3586,357,3586,377,3726,377,3726,397,3746,377,3766,397,3786,397,3806,417,3826,417,3846,437,3886,437,3906,457,3946,457,3966,477,4066,477,4086,497,4106,497,4126,477,4146,497e" filled="false" stroked="true" strokeweight="1pt" strokecolor="#522e91">
              <v:path arrowok="t"/>
              <v:stroke dashstyle="solid"/>
            </v:shape>
            <v:shape style="position:absolute;left:1630;top:122;width:415;height:179" type="#_x0000_t75" stroked="false">
              <v:imagedata r:id="rId71" o:title=""/>
            </v:shape>
            <w10:wrap type="none"/>
          </v:group>
        </w:pict>
      </w:r>
      <w:r>
        <w:rPr>
          <w:sz w:val="12"/>
        </w:rPr>
        <w:t>(left-hand scale)</w:t>
        <w:tab/>
        <w:t>Non-employment </w:t>
      </w:r>
      <w:r>
        <w:rPr>
          <w:spacing w:val="-7"/>
          <w:sz w:val="12"/>
        </w:rPr>
        <w:t>(a)</w:t>
      </w:r>
    </w:p>
    <w:p>
      <w:pPr>
        <w:tabs>
          <w:tab w:pos="2315" w:val="left" w:leader="none"/>
        </w:tabs>
        <w:spacing w:line="218" w:lineRule="auto" w:before="0"/>
        <w:ind w:left="215" w:right="0" w:firstLine="0"/>
        <w:jc w:val="left"/>
        <w:rPr>
          <w:sz w:val="12"/>
        </w:rPr>
      </w:pPr>
      <w:r>
        <w:rPr>
          <w:position w:val="-3"/>
          <w:sz w:val="12"/>
        </w:rPr>
        <w:t>74</w:t>
        <w:tab/>
      </w:r>
      <w:r>
        <w:rPr>
          <w:sz w:val="12"/>
        </w:rPr>
        <w:t>(right-hand scale)</w:t>
      </w:r>
    </w:p>
    <w:p>
      <w:pPr>
        <w:pStyle w:val="BodyText"/>
        <w:spacing w:before="2"/>
        <w:rPr>
          <w:sz w:val="21"/>
        </w:rPr>
      </w:pPr>
    </w:p>
    <w:p>
      <w:pPr>
        <w:spacing w:before="0"/>
        <w:ind w:left="215" w:right="0" w:firstLine="0"/>
        <w:jc w:val="left"/>
        <w:rPr>
          <w:sz w:val="12"/>
        </w:rPr>
      </w:pPr>
      <w:r>
        <w:rPr>
          <w:sz w:val="12"/>
        </w:rPr>
        <w:t>72</w:t>
      </w:r>
    </w:p>
    <w:p>
      <w:pPr>
        <w:pStyle w:val="BodyText"/>
        <w:rPr>
          <w:sz w:val="12"/>
        </w:rPr>
      </w:pPr>
    </w:p>
    <w:p>
      <w:pPr>
        <w:spacing w:before="84"/>
        <w:ind w:left="215" w:right="0" w:firstLine="0"/>
        <w:jc w:val="left"/>
        <w:rPr>
          <w:sz w:val="12"/>
        </w:rPr>
      </w:pPr>
      <w:r>
        <w:rPr>
          <w:sz w:val="12"/>
        </w:rPr>
        <w:t>70</w:t>
      </w:r>
    </w:p>
    <w:p>
      <w:pPr>
        <w:spacing w:line="129" w:lineRule="exact" w:before="22"/>
        <w:ind w:left="1515" w:right="0" w:firstLine="0"/>
        <w:jc w:val="left"/>
        <w:rPr>
          <w:sz w:val="12"/>
        </w:rPr>
      </w:pPr>
      <w:r>
        <w:rPr>
          <w:sz w:val="12"/>
        </w:rPr>
        <w:t>Inactivity</w:t>
      </w:r>
    </w:p>
    <w:p>
      <w:pPr>
        <w:spacing w:line="110" w:lineRule="exact" w:before="0"/>
        <w:ind w:left="1545" w:right="0" w:firstLine="0"/>
        <w:jc w:val="left"/>
        <w:rPr>
          <w:sz w:val="12"/>
        </w:rPr>
      </w:pPr>
      <w:r>
        <w:rPr>
          <w:sz w:val="12"/>
        </w:rPr>
        <w:t>(right-hand scale)</w:t>
      </w:r>
    </w:p>
    <w:p>
      <w:pPr>
        <w:spacing w:line="119" w:lineRule="exact" w:before="0"/>
        <w:ind w:left="215" w:right="0" w:firstLine="0"/>
        <w:jc w:val="left"/>
        <w:rPr>
          <w:sz w:val="12"/>
        </w:rPr>
      </w:pPr>
      <w:r>
        <w:rPr/>
        <w:pict>
          <v:group style="position:absolute;margin-left:50.279999pt;margin-top:2.901947pt;width:5.55pt;height:8.5pt;mso-position-horizontal-relative:page;mso-position-vertical-relative:paragraph;z-index:15979520" coordorigin="1006,58" coordsize="111,170">
            <v:shape style="position:absolute;left:1005;top:63;width:80;height:160" coordorigin="1006,63" coordsize="80,160" path="m1086,63l1006,63m1086,223l1006,223e" filled="false" stroked="true" strokeweight=".5pt" strokecolor="#000000">
              <v:path arrowok="t"/>
              <v:stroke dashstyle="solid"/>
            </v:shape>
            <v:shape style="position:absolute;left:1071;top:66;width:40;height:150" coordorigin="1071,66" coordsize="40,150" path="m1096,66l1091,110,1071,126,1111,140,1071,160,1111,177,1088,187,1088,216e" filled="false" stroked="true" strokeweight=".5pt" strokecolor="#000000">
              <v:path arrowok="t"/>
              <v:stroke dashstyle="solid"/>
            </v:shape>
            <w10:wrap type="none"/>
          </v:group>
        </w:pict>
      </w:r>
      <w:r>
        <w:rPr>
          <w:sz w:val="12"/>
        </w:rPr>
        <w:t>68</w:t>
      </w:r>
    </w:p>
    <w:p>
      <w:pPr>
        <w:spacing w:before="2"/>
        <w:ind w:left="275" w:right="0" w:firstLine="0"/>
        <w:jc w:val="left"/>
        <w:rPr>
          <w:sz w:val="12"/>
        </w:rPr>
      </w:pPr>
      <w:r>
        <w:rPr>
          <w:sz w:val="12"/>
        </w:rPr>
        <w:t>0</w:t>
      </w:r>
    </w:p>
    <w:p>
      <w:pPr>
        <w:spacing w:before="2"/>
        <w:ind w:left="355" w:right="0" w:firstLine="0"/>
        <w:jc w:val="left"/>
        <w:rPr>
          <w:sz w:val="12"/>
        </w:rPr>
      </w:pPr>
      <w:r>
        <w:rPr>
          <w:b/>
          <w:sz w:val="12"/>
        </w:rPr>
        <w:t>LFS inactivity rates </w:t>
      </w:r>
      <w:r>
        <w:rPr>
          <w:sz w:val="12"/>
        </w:rPr>
        <w:t>(b)</w:t>
      </w:r>
    </w:p>
    <w:p>
      <w:pPr>
        <w:pStyle w:val="BodyText"/>
        <w:spacing w:before="5"/>
        <w:rPr>
          <w:sz w:val="3"/>
        </w:rPr>
      </w:pPr>
    </w:p>
    <w:p>
      <w:pPr>
        <w:pStyle w:val="BodyText"/>
        <w:spacing w:line="20" w:lineRule="exact"/>
        <w:ind w:left="360"/>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spacing w:before="5"/>
        <w:rPr>
          <w:sz w:val="13"/>
        </w:rPr>
      </w:pPr>
      <w:r>
        <w:rPr/>
        <w:br w:type="column"/>
      </w:r>
      <w:r>
        <w:rPr>
          <w:sz w:val="13"/>
        </w:rPr>
      </w:r>
    </w:p>
    <w:p>
      <w:pPr>
        <w:spacing w:before="0"/>
        <w:ind w:left="540" w:right="0" w:firstLine="0"/>
        <w:jc w:val="left"/>
        <w:rPr>
          <w:sz w:val="12"/>
        </w:rPr>
      </w:pPr>
      <w:r>
        <w:rPr>
          <w:sz w:val="12"/>
        </w:rPr>
        <w:t>30</w:t>
      </w:r>
    </w:p>
    <w:p>
      <w:pPr>
        <w:pStyle w:val="BodyText"/>
        <w:rPr>
          <w:sz w:val="12"/>
        </w:rPr>
      </w:pPr>
    </w:p>
    <w:p>
      <w:pPr>
        <w:spacing w:before="104"/>
        <w:ind w:left="540" w:right="0" w:firstLine="0"/>
        <w:jc w:val="left"/>
        <w:rPr>
          <w:sz w:val="12"/>
        </w:rPr>
      </w:pPr>
      <w:r>
        <w:rPr>
          <w:sz w:val="12"/>
        </w:rPr>
        <w:t>25</w:t>
      </w:r>
    </w:p>
    <w:p>
      <w:pPr>
        <w:pStyle w:val="BodyText"/>
        <w:rPr>
          <w:sz w:val="12"/>
        </w:rPr>
      </w:pPr>
    </w:p>
    <w:p>
      <w:pPr>
        <w:spacing w:before="104"/>
        <w:ind w:left="540" w:right="0" w:firstLine="0"/>
        <w:jc w:val="left"/>
        <w:rPr>
          <w:sz w:val="12"/>
        </w:rPr>
      </w:pPr>
      <w:r>
        <w:rPr>
          <w:sz w:val="12"/>
        </w:rPr>
        <w:t>20</w:t>
      </w:r>
    </w:p>
    <w:p>
      <w:pPr>
        <w:pStyle w:val="BodyText"/>
        <w:rPr>
          <w:sz w:val="12"/>
        </w:rPr>
      </w:pPr>
    </w:p>
    <w:p>
      <w:pPr>
        <w:spacing w:line="129" w:lineRule="exact" w:before="104"/>
        <w:ind w:left="540" w:right="0" w:firstLine="0"/>
        <w:jc w:val="left"/>
        <w:rPr>
          <w:sz w:val="12"/>
        </w:rPr>
      </w:pPr>
      <w:r>
        <w:rPr/>
        <w:pict>
          <v:group style="position:absolute;margin-left:210.279999pt;margin-top:8.051562pt;width:6.5pt;height:8.5pt;mso-position-horizontal-relative:page;mso-position-vertical-relative:paragraph;z-index:15981056" coordorigin="4206,161" coordsize="130,170">
            <v:shape style="position:absolute;left:4205;top:166;width:100;height:160" coordorigin="4206,166" coordsize="100,160" path="m4206,166l4306,166m4206,326l4306,326e" filled="false" stroked="true" strokeweight=".5pt" strokecolor="#000000">
              <v:path arrowok="t"/>
              <v:stroke dashstyle="solid"/>
            </v:shape>
            <v:shape style="position:absolute;left:4290;top:166;width:40;height:160" coordorigin="4291,166" coordsize="40,160" path="m4306,166l4311,211,4291,227,4331,241,4291,261,4331,278,4307,288,4306,326e" filled="false" stroked="true" strokeweight=".5pt" strokecolor="#000000">
              <v:path arrowok="t"/>
              <v:stroke dashstyle="solid"/>
            </v:shape>
            <w10:wrap type="none"/>
          </v:group>
        </w:pict>
      </w:r>
      <w:r>
        <w:rPr>
          <w:sz w:val="12"/>
        </w:rPr>
        <w:t>15</w:t>
      </w:r>
    </w:p>
    <w:p>
      <w:pPr>
        <w:spacing w:line="129" w:lineRule="exact" w:before="0"/>
        <w:ind w:left="600" w:right="0" w:firstLine="0"/>
        <w:jc w:val="left"/>
        <w:rPr>
          <w:sz w:val="12"/>
        </w:rPr>
      </w:pPr>
      <w:r>
        <w:rPr>
          <w:sz w:val="12"/>
        </w:rPr>
        <w:t>0</w:t>
      </w:r>
    </w:p>
    <w:p>
      <w:pPr>
        <w:spacing w:before="22"/>
        <w:ind w:left="-7" w:right="0" w:firstLine="0"/>
        <w:jc w:val="left"/>
        <w:rPr>
          <w:sz w:val="12"/>
        </w:rPr>
      </w:pPr>
      <w:r>
        <w:rPr/>
        <w:pict>
          <v:line style="position:absolute;mso-position-horizontal-relative:page;mso-position-vertical-relative:paragraph;z-index:-21506048" from="215.279999pt,9.20138pt" to="210.279999pt,9.20138pt" stroked="true" strokeweight=".5pt" strokecolor="#000000">
            <v:stroke dashstyle="solid"/>
            <w10:wrap type="none"/>
          </v:line>
        </w:pict>
      </w:r>
      <w:r>
        <w:rPr>
          <w:sz w:val="12"/>
        </w:rPr>
        <w:t>Per cent </w:t>
      </w:r>
      <w:r>
        <w:rPr>
          <w:spacing w:val="7"/>
          <w:sz w:val="12"/>
        </w:rPr>
        <w:t> </w:t>
      </w:r>
      <w:r>
        <w:rPr>
          <w:position w:val="-7"/>
          <w:sz w:val="12"/>
        </w:rPr>
        <w:t>25.0</w:t>
      </w:r>
    </w:p>
    <w:p>
      <w:pPr>
        <w:spacing w:before="82"/>
        <w:ind w:left="450" w:right="0" w:firstLine="0"/>
        <w:jc w:val="left"/>
        <w:rPr>
          <w:sz w:val="12"/>
        </w:rPr>
      </w:pPr>
      <w:r>
        <w:rPr/>
        <w:pict>
          <v:group style="position:absolute;margin-left:49.279999pt;margin-top:5.688283pt;width:166pt;height:60.05pt;mso-position-horizontal-relative:page;mso-position-vertical-relative:paragraph;z-index:15982080" coordorigin="986,114" coordsize="3320,1201">
            <v:shape style="position:absolute;left:985;top:804;width:100;height:420" coordorigin="986,804" coordsize="100,420" path="m1086,1224l986,1224m1086,1004l986,1004m1086,804l986,804e" filled="false" stroked="true" strokeweight=".5pt" strokecolor="#000000">
              <v:path arrowok="t"/>
              <v:stroke dashstyle="solid"/>
            </v:shape>
            <v:shape style="position:absolute;left:1145;top:844;width:3000;height:460" coordorigin="1146,844" coordsize="3000,460" path="m1146,844l1246,844,1306,864,1466,864,1506,884,1566,884,1606,904,1726,944,1766,964,1826,964,1886,984,1926,1004,2046,1044,2086,1064,2146,1084,2186,1104,2246,1104,2306,1124,2346,1124,2406,1144,2786,1144,2826,1124,2886,1224,2946,1204,2986,1164,3046,1164,3086,1124,3146,1164,3206,1144,3246,1164,3306,1124,3366,1184,3406,1164,3466,1204,3526,1164,3566,1204,3666,1204,3726,1184,3786,1244,3946,1244,3986,1304,4046,1284,4086,1284,4146,1264e" filled="false" stroked="true" strokeweight="1pt" strokecolor="#ed1b2d">
              <v:path arrowok="t"/>
              <v:stroke dashstyle="solid"/>
            </v:shape>
            <v:shape style="position:absolute;left:985;top:364;width:100;height:220" coordorigin="986,364" coordsize="100,220" path="m1086,584l986,584m1086,364l986,364e" filled="false" stroked="true" strokeweight=".5pt" strokecolor="#000000">
              <v:path arrowok="t"/>
              <v:stroke dashstyle="solid"/>
            </v:shape>
            <v:shape style="position:absolute;left:1145;top:404;width:3000;height:480" coordorigin="1146,404" coordsize="3000,480" path="m1146,404l1186,404,1246,424,1346,424,1406,444,1506,444,1566,464,1606,484,1666,484,1726,504,1766,524,1826,564,1886,584,1926,604,2046,644,2086,664,2146,684,2186,704,2246,724,2566,724,2626,704,2726,704,2786,684,2826,664,2886,724,2946,704,2986,664,3046,664,3086,744,3146,724,3206,664,3246,664,3306,744,3366,704,3406,664,3466,684,3526,784,3566,744,3626,724,3666,724,3726,804,3786,804,3826,764,3946,724,3986,824,4046,784,4086,764,4146,884e" filled="false" stroked="true" strokeweight="1pt" strokecolor="#f7a08b">
              <v:path arrowok="t"/>
              <v:stroke dashstyle="solid"/>
            </v:shape>
            <v:line style="position:absolute" from="1086,164" to="986,164" stroked="true" strokeweight=".5pt" strokecolor="#000000">
              <v:stroke dashstyle="solid"/>
            </v:line>
            <v:shape style="position:absolute;left:1145;top:124;width:3000;height:280" coordorigin="1146,124" coordsize="3000,280" path="m1146,124l1186,124,1306,164,1466,164,1506,184,1566,184,1606,204,1666,204,1726,224,1766,224,1886,264,1926,284,2046,324,2086,344,2146,364,2186,384,2246,404,2506,404,2566,384,2626,384,2666,364,2786,324,2826,284,2886,344,2946,304,2986,264,3046,264,3086,324,3206,244,3246,244,3306,324,3366,264,3406,204,3466,224,3526,304,3566,284,3626,224,3666,224,3726,304,3786,284,3826,244,3946,204,3986,264,4046,204,4086,204,4146,304e" filled="false" stroked="true" strokeweight="1pt" strokecolor="#a790c4">
              <v:path arrowok="t"/>
              <v:stroke dashstyle="solid"/>
            </v:shape>
            <v:shape style="position:absolute;left:4205;top:164;width:100;height:1060" coordorigin="4206,164" coordsize="100,1060" path="m4306,1224l4206,1224m4306,1004l4206,1004m4306,804l4206,804m4306,584l4206,584m4306,364l4206,364m4306,164l4206,164e" filled="false" stroked="true" strokeweight=".5pt" strokecolor="#000000">
              <v:path arrowok="t"/>
              <v:stroke dashstyle="solid"/>
            </v:shape>
            <v:shape style="position:absolute;left:985;top:113;width:3320;height:1201" type="#_x0000_t202" filled="false" stroked="false">
              <v:textbox inset="0,0,0,0">
                <w:txbxContent>
                  <w:p>
                    <w:pPr>
                      <w:spacing w:line="133" w:lineRule="exact" w:before="0"/>
                      <w:ind w:left="1184" w:right="1252" w:firstLine="0"/>
                      <w:jc w:val="center"/>
                      <w:rPr>
                        <w:sz w:val="12"/>
                      </w:rPr>
                    </w:pPr>
                    <w:r>
                      <w:rPr>
                        <w:sz w:val="12"/>
                      </w:rPr>
                      <w:t>Overall inactivity</w:t>
                    </w:r>
                  </w:p>
                  <w:p>
                    <w:pPr>
                      <w:spacing w:line="240" w:lineRule="auto" w:before="0"/>
                      <w:rPr>
                        <w:sz w:val="12"/>
                      </w:rPr>
                    </w:pPr>
                  </w:p>
                  <w:p>
                    <w:pPr>
                      <w:spacing w:line="240" w:lineRule="auto" w:before="4"/>
                      <w:rPr>
                        <w:sz w:val="11"/>
                      </w:rPr>
                    </w:pPr>
                  </w:p>
                  <w:p>
                    <w:pPr>
                      <w:spacing w:before="0"/>
                      <w:ind w:left="1323" w:right="0" w:firstLine="0"/>
                      <w:jc w:val="left"/>
                      <w:rPr>
                        <w:sz w:val="12"/>
                      </w:rPr>
                    </w:pPr>
                    <w:r>
                      <w:rPr>
                        <w:sz w:val="12"/>
                      </w:rPr>
                      <w:t>Inactivity minus sick</w:t>
                    </w:r>
                  </w:p>
                  <w:p>
                    <w:pPr>
                      <w:spacing w:line="240" w:lineRule="auto" w:before="0"/>
                      <w:rPr>
                        <w:sz w:val="12"/>
                      </w:rPr>
                    </w:pPr>
                  </w:p>
                  <w:p>
                    <w:pPr>
                      <w:spacing w:line="208" w:lineRule="auto" w:before="92"/>
                      <w:ind w:left="1426" w:right="444" w:hanging="30"/>
                      <w:jc w:val="left"/>
                      <w:rPr>
                        <w:sz w:val="12"/>
                      </w:rPr>
                    </w:pPr>
                    <w:r>
                      <w:rPr>
                        <w:sz w:val="12"/>
                      </w:rPr>
                      <w:t>Inactivity minus sick, students and retired</w:t>
                    </w:r>
                  </w:p>
                </w:txbxContent>
              </v:textbox>
              <w10:wrap type="none"/>
            </v:shape>
            <w10:wrap type="none"/>
          </v:group>
        </w:pict>
      </w:r>
      <w:r>
        <w:rPr>
          <w:sz w:val="12"/>
        </w:rPr>
        <w:t>22.5</w:t>
      </w:r>
    </w:p>
    <w:p>
      <w:pPr>
        <w:spacing w:before="82"/>
        <w:ind w:left="450" w:right="0" w:firstLine="0"/>
        <w:jc w:val="left"/>
        <w:rPr>
          <w:sz w:val="12"/>
        </w:rPr>
      </w:pPr>
      <w:r>
        <w:rPr>
          <w:sz w:val="12"/>
        </w:rPr>
        <w:t>20.0</w:t>
      </w:r>
    </w:p>
    <w:p>
      <w:pPr>
        <w:spacing w:before="62"/>
        <w:ind w:left="450" w:right="0" w:firstLine="0"/>
        <w:jc w:val="left"/>
        <w:rPr>
          <w:sz w:val="12"/>
        </w:rPr>
      </w:pPr>
      <w:r>
        <w:rPr>
          <w:sz w:val="12"/>
        </w:rPr>
        <w:t>17.5</w:t>
      </w:r>
    </w:p>
    <w:p>
      <w:pPr>
        <w:spacing w:before="82"/>
        <w:ind w:left="450" w:right="0" w:firstLine="0"/>
        <w:jc w:val="left"/>
        <w:rPr>
          <w:sz w:val="12"/>
        </w:rPr>
      </w:pPr>
      <w:r>
        <w:rPr>
          <w:sz w:val="12"/>
        </w:rPr>
        <w:t>15.0</w:t>
      </w:r>
    </w:p>
    <w:p>
      <w:pPr>
        <w:spacing w:before="82"/>
        <w:ind w:left="450" w:right="0" w:firstLine="0"/>
        <w:jc w:val="left"/>
        <w:rPr>
          <w:sz w:val="12"/>
        </w:rPr>
      </w:pPr>
      <w:r>
        <w:rPr>
          <w:sz w:val="12"/>
        </w:rPr>
        <w:t>12.5</w:t>
      </w:r>
    </w:p>
    <w:p>
      <w:pPr>
        <w:spacing w:before="82"/>
        <w:ind w:left="0" w:right="38" w:firstLine="0"/>
        <w:jc w:val="right"/>
        <w:rPr>
          <w:sz w:val="12"/>
        </w:rPr>
      </w:pPr>
      <w:r>
        <w:rPr>
          <w:sz w:val="12"/>
        </w:rPr>
        <w:t>10.0</w:t>
      </w:r>
    </w:p>
    <w:p>
      <w:pPr>
        <w:spacing w:before="62"/>
        <w:ind w:left="0" w:right="38" w:firstLine="0"/>
        <w:jc w:val="right"/>
        <w:rPr>
          <w:sz w:val="12"/>
        </w:rPr>
      </w:pPr>
      <w:r>
        <w:rPr/>
        <w:pict>
          <v:group style="position:absolute;margin-left:49.279999pt;margin-top:6.951562pt;width:167.6pt;height:8.5pt;mso-position-horizontal-relative:page;mso-position-vertical-relative:paragraph;z-index:15979008" coordorigin="986,139" coordsize="3352,170">
            <v:shape style="position:absolute;left:985;top:144;width:3324;height:160" coordorigin="986,144" coordsize="3324,160" path="m4106,304l4106,244m3886,304l3886,244m3686,304l3686,244m3466,304l3466,244m3246,304l3246,244m3046,304l3046,244m2826,304l2826,244m2626,304l2626,244m2406,304l2406,244m2206,304l2206,244m1986,304l1986,244m1766,304l1766,244m1566,304l1566,244m1346,304l1346,244m1146,304l1146,244m986,304l4309,304m1196,304l1196,264m1246,304l1246,264m1296,304l1296,264m1401,304l1401,264m1456,304l1456,264m1511,304l1511,264m1616,304l1616,264m1666,304l1666,264m1716,304l1716,264m1821,304l1821,264m1876,304l1876,264m1931,304l1931,264m2041,304l2041,264m2096,304l2096,264m2151,304l2151,264m2256,304l2256,264m2306,304l2306,264m2356,304l2356,264m2461,304l2461,264m2516,304l2516,264m2571,304l2571,264m2676,304l2676,264m2726,304l2726,264m2776,304l2776,264m2881,304l2881,264m2936,304l2936,264m2991,304l2991,264m3096,304l3096,264m3146,304l3146,264m3196,304l3196,264m3301,304l3301,264m3356,304l3356,264m3411,304l3411,264m3521,304l3521,264m3576,304l3576,264m3631,304l3631,264m3736,304l3736,264m3786,304l3786,264m3836,304l3836,264m3941,304l3941,264m3996,304l3996,264m4051,304l4051,264m4146,304l4146,264m4306,144l4206,144e" filled="false" stroked="true" strokeweight=".5pt" strokecolor="#000000">
              <v:path arrowok="t"/>
              <v:stroke dashstyle="solid"/>
            </v:shape>
            <v:shape style="position:absolute;left:4292;top:144;width:40;height:157" coordorigin="4292,144" coordsize="40,157" path="m4312,144l4312,194,4292,210,4332,224,4292,244,4332,261,4309,271,4309,300e" filled="false" stroked="true" strokeweight=".5pt" strokecolor="#000000">
              <v:path arrowok="t"/>
              <v:stroke dashstyle="solid"/>
            </v:shape>
            <v:line style="position:absolute" from="1086,144" to="986,144" stroked="true" strokeweight=".5pt" strokecolor="#000000">
              <v:stroke dashstyle="solid"/>
            </v:line>
            <v:shape style="position:absolute;left:1072;top:147;width:40;height:150" coordorigin="1072,147" coordsize="40,150" path="m1096,147l1092,191,1072,207,1112,221,1072,241,1112,258,1089,268,1089,297e" filled="false" stroked="true" strokeweight=".5pt" strokecolor="#000000">
              <v:path arrowok="t"/>
              <v:stroke dashstyle="solid"/>
            </v:shape>
            <w10:wrap type="none"/>
          </v:group>
        </w:pict>
      </w:r>
      <w:r>
        <w:rPr>
          <w:sz w:val="12"/>
        </w:rPr>
        <w:t>7.5</w:t>
      </w:r>
    </w:p>
    <w:p>
      <w:pPr>
        <w:spacing w:line="118" w:lineRule="exact" w:before="2"/>
        <w:ind w:left="0" w:right="38" w:firstLine="0"/>
        <w:jc w:val="right"/>
        <w:rPr>
          <w:sz w:val="12"/>
        </w:rPr>
      </w:pPr>
      <w:r>
        <w:rPr>
          <w:sz w:val="12"/>
        </w:rPr>
        <w:t>0.0</w:t>
      </w:r>
    </w:p>
    <w:p>
      <w:pPr>
        <w:pStyle w:val="Heading4"/>
        <w:spacing w:line="242" w:lineRule="auto" w:before="41"/>
        <w:ind w:left="215"/>
      </w:pPr>
      <w:r>
        <w:rPr/>
        <w:br w:type="column"/>
      </w:r>
      <w:r>
        <w:rPr/>
        <w:t>who could enter the labour market if prospects of finding work were thought to be high. Chart 3.8 shows that</w:t>
      </w:r>
    </w:p>
    <w:p>
      <w:pPr>
        <w:spacing w:line="242" w:lineRule="auto" w:before="2"/>
        <w:ind w:left="215" w:right="293" w:firstLine="0"/>
        <w:jc w:val="left"/>
        <w:rPr>
          <w:sz w:val="24"/>
        </w:rPr>
      </w:pPr>
      <w:r>
        <w:rPr>
          <w:sz w:val="24"/>
        </w:rPr>
        <w:t>non-employment, based on LFS definitions, is above the levels reached during the previous trough in 1991. But if adjustments are made for the long-term sick and retired, who may be less likely to rejoin the labour market, inactivity rates and non-employment appear much</w:t>
      </w:r>
    </w:p>
    <w:p>
      <w:pPr>
        <w:spacing w:line="242" w:lineRule="auto" w:before="6"/>
        <w:ind w:left="215" w:right="293" w:firstLine="0"/>
        <w:jc w:val="left"/>
        <w:rPr>
          <w:sz w:val="24"/>
        </w:rPr>
      </w:pPr>
      <w:r>
        <w:rPr>
          <w:sz w:val="24"/>
        </w:rPr>
        <w:t>lower, consistent with continuing labour market tightness.</w:t>
      </w:r>
    </w:p>
    <w:p>
      <w:pPr>
        <w:pStyle w:val="BodyText"/>
        <w:spacing w:before="1"/>
        <w:rPr>
          <w:sz w:val="28"/>
        </w:rPr>
      </w:pPr>
    </w:p>
    <w:p>
      <w:pPr>
        <w:spacing w:line="242" w:lineRule="auto" w:before="0"/>
        <w:ind w:left="215" w:right="0" w:firstLine="0"/>
        <w:jc w:val="left"/>
        <w:rPr>
          <w:sz w:val="24"/>
        </w:rPr>
      </w:pPr>
      <w:r>
        <w:rPr>
          <w:sz w:val="24"/>
        </w:rPr>
        <w:t>The number of hours worked is a good, albeit volatile, measure of labour usage in the economy and offers a</w:t>
      </w:r>
    </w:p>
    <w:p>
      <w:pPr>
        <w:spacing w:after="0" w:line="242" w:lineRule="auto"/>
        <w:jc w:val="left"/>
        <w:rPr>
          <w:sz w:val="24"/>
        </w:rPr>
        <w:sectPr>
          <w:type w:val="continuous"/>
          <w:pgSz w:w="11900" w:h="16840"/>
          <w:pgMar w:top="1220" w:bottom="280" w:left="620" w:right="520"/>
          <w:cols w:num="3" w:equalWidth="0">
            <w:col w:w="3266" w:space="40"/>
            <w:col w:w="701" w:space="752"/>
            <w:col w:w="6001"/>
          </w:cols>
        </w:sectPr>
      </w:pPr>
    </w:p>
    <w:p>
      <w:pPr>
        <w:spacing w:line="108" w:lineRule="exact" w:before="0"/>
        <w:ind w:left="455" w:right="0" w:firstLine="0"/>
        <w:jc w:val="left"/>
        <w:rPr>
          <w:sz w:val="12"/>
        </w:rPr>
      </w:pPr>
      <w:r>
        <w:rPr>
          <w:sz w:val="12"/>
        </w:rPr>
        <w:t>1984 85 86 87 88 89 90 91 92 93 94 95 96 97 98</w:t>
      </w:r>
    </w:p>
    <w:p>
      <w:pPr>
        <w:pStyle w:val="BodyText"/>
        <w:spacing w:before="5"/>
        <w:rPr>
          <w:sz w:val="11"/>
        </w:rPr>
      </w:pPr>
    </w:p>
    <w:p>
      <w:pPr>
        <w:spacing w:before="1"/>
        <w:ind w:left="205" w:right="0" w:firstLine="0"/>
        <w:jc w:val="left"/>
        <w:rPr>
          <w:sz w:val="12"/>
        </w:rPr>
      </w:pPr>
      <w:r>
        <w:rPr>
          <w:sz w:val="12"/>
        </w:rPr>
        <w:t>Sources: ONS and Bank of England.</w:t>
      </w:r>
    </w:p>
    <w:p>
      <w:pPr>
        <w:pStyle w:val="ListParagraph"/>
        <w:numPr>
          <w:ilvl w:val="0"/>
          <w:numId w:val="21"/>
        </w:numPr>
        <w:tabs>
          <w:tab w:pos="446" w:val="left" w:leader="none"/>
        </w:tabs>
        <w:spacing w:line="129" w:lineRule="exact" w:before="102" w:after="0"/>
        <w:ind w:left="445" w:right="0" w:hanging="241"/>
        <w:jc w:val="left"/>
        <w:rPr>
          <w:sz w:val="12"/>
        </w:rPr>
      </w:pPr>
      <w:r>
        <w:rPr>
          <w:sz w:val="12"/>
        </w:rPr>
        <w:t>Non-employment is the sum of inactivity and LFS unemployment.</w:t>
      </w:r>
    </w:p>
    <w:p>
      <w:pPr>
        <w:pStyle w:val="ListParagraph"/>
        <w:numPr>
          <w:ilvl w:val="0"/>
          <w:numId w:val="21"/>
        </w:numPr>
        <w:tabs>
          <w:tab w:pos="446" w:val="left" w:leader="none"/>
        </w:tabs>
        <w:spacing w:line="208" w:lineRule="auto" w:before="5" w:after="0"/>
        <w:ind w:left="445" w:right="347" w:hanging="240"/>
        <w:jc w:val="left"/>
        <w:rPr>
          <w:sz w:val="12"/>
        </w:rPr>
      </w:pPr>
      <w:r>
        <w:rPr>
          <w:sz w:val="12"/>
        </w:rPr>
        <w:t>Based on non seasonally adjusted annual data before 1992 and quarterly data thereafter.</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
        <w:rPr>
          <w:sz w:val="17"/>
        </w:rPr>
      </w:pPr>
    </w:p>
    <w:p>
      <w:pPr>
        <w:pStyle w:val="Heading7"/>
        <w:spacing w:before="1"/>
        <w:ind w:left="205"/>
      </w:pPr>
      <w:r>
        <w:rPr>
          <w:color w:val="0093C1"/>
        </w:rPr>
        <w:t>Table 3.C</w:t>
      </w:r>
    </w:p>
    <w:p>
      <w:pPr>
        <w:spacing w:before="10"/>
        <w:ind w:left="205" w:right="0" w:firstLine="0"/>
        <w:jc w:val="left"/>
        <w:rPr>
          <w:b/>
          <w:sz w:val="20"/>
        </w:rPr>
      </w:pPr>
      <w:r>
        <w:rPr>
          <w:b/>
          <w:color w:val="0093C1"/>
          <w:sz w:val="20"/>
        </w:rPr>
        <w:t>Surveys of employment intentions</w:t>
      </w:r>
    </w:p>
    <w:p>
      <w:pPr>
        <w:spacing w:before="106"/>
        <w:ind w:left="205" w:right="0" w:firstLine="0"/>
        <w:jc w:val="left"/>
        <w:rPr>
          <w:sz w:val="14"/>
        </w:rPr>
      </w:pPr>
      <w:r>
        <w:rPr>
          <w:sz w:val="14"/>
        </w:rPr>
        <w:t>Percentage balance of employers planning to recruit staff</w:t>
      </w:r>
    </w:p>
    <w:p>
      <w:pPr>
        <w:pStyle w:val="BodyText"/>
        <w:spacing w:before="9" w:after="1"/>
        <w:rPr>
          <w:sz w:val="10"/>
        </w:rPr>
      </w:pPr>
    </w:p>
    <w:tbl>
      <w:tblPr>
        <w:tblW w:w="0" w:type="auto"/>
        <w:jc w:val="left"/>
        <w:tblInd w:w="1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37"/>
        <w:gridCol w:w="759"/>
        <w:gridCol w:w="517"/>
        <w:gridCol w:w="534"/>
        <w:gridCol w:w="517"/>
        <w:gridCol w:w="446"/>
      </w:tblGrid>
      <w:tr>
        <w:trPr>
          <w:trHeight w:val="155" w:hRule="atLeast"/>
        </w:trPr>
        <w:tc>
          <w:tcPr>
            <w:tcW w:w="2196" w:type="dxa"/>
            <w:gridSpan w:val="2"/>
          </w:tcPr>
          <w:p>
            <w:pPr>
              <w:pStyle w:val="TableParagraph"/>
              <w:spacing w:line="135" w:lineRule="exact"/>
              <w:ind w:right="351"/>
              <w:jc w:val="right"/>
              <w:rPr>
                <w:sz w:val="14"/>
              </w:rPr>
            </w:pPr>
            <w:r>
              <w:rPr>
                <w:sz w:val="14"/>
              </w:rPr>
              <w:t>Series</w:t>
            </w:r>
          </w:p>
        </w:tc>
        <w:tc>
          <w:tcPr>
            <w:tcW w:w="2014" w:type="dxa"/>
            <w:gridSpan w:val="4"/>
          </w:tcPr>
          <w:p>
            <w:pPr>
              <w:pStyle w:val="TableParagraph"/>
              <w:tabs>
                <w:tab w:pos="1948" w:val="left" w:leader="none"/>
              </w:tabs>
              <w:spacing w:line="135" w:lineRule="exact"/>
              <w:ind w:left="94"/>
              <w:rPr>
                <w:sz w:val="14"/>
              </w:rPr>
            </w:pPr>
            <w:r>
              <w:rPr>
                <w:sz w:val="14"/>
                <w:u w:val="single"/>
              </w:rPr>
              <w:t>1998</w:t>
              <w:tab/>
            </w:r>
          </w:p>
        </w:tc>
      </w:tr>
      <w:tr>
        <w:trPr>
          <w:trHeight w:val="152" w:hRule="atLeast"/>
        </w:trPr>
        <w:tc>
          <w:tcPr>
            <w:tcW w:w="1437" w:type="dxa"/>
          </w:tcPr>
          <w:p>
            <w:pPr>
              <w:pStyle w:val="TableParagraph"/>
              <w:rPr>
                <w:sz w:val="8"/>
              </w:rPr>
            </w:pPr>
          </w:p>
        </w:tc>
        <w:tc>
          <w:tcPr>
            <w:tcW w:w="759" w:type="dxa"/>
          </w:tcPr>
          <w:p>
            <w:pPr>
              <w:pStyle w:val="TableParagraph"/>
              <w:spacing w:line="128" w:lineRule="exact"/>
              <w:ind w:right="53"/>
              <w:jc w:val="center"/>
              <w:rPr>
                <w:sz w:val="12"/>
              </w:rPr>
            </w:pPr>
            <w:r>
              <w:rPr>
                <w:sz w:val="14"/>
                <w:u w:val="single"/>
              </w:rPr>
              <w:t> average </w:t>
            </w:r>
            <w:r>
              <w:rPr>
                <w:sz w:val="12"/>
                <w:u w:val="single"/>
              </w:rPr>
              <w:t>(a)</w:t>
            </w:r>
          </w:p>
        </w:tc>
        <w:tc>
          <w:tcPr>
            <w:tcW w:w="517" w:type="dxa"/>
          </w:tcPr>
          <w:p>
            <w:pPr>
              <w:pStyle w:val="TableParagraph"/>
              <w:spacing w:line="128" w:lineRule="exact"/>
              <w:ind w:right="146"/>
              <w:jc w:val="right"/>
              <w:rPr>
                <w:sz w:val="14"/>
              </w:rPr>
            </w:pPr>
            <w:r>
              <w:rPr>
                <w:sz w:val="14"/>
                <w:u w:val="single"/>
              </w:rPr>
              <w:t>Q1 </w:t>
            </w:r>
          </w:p>
        </w:tc>
        <w:tc>
          <w:tcPr>
            <w:tcW w:w="534" w:type="dxa"/>
          </w:tcPr>
          <w:p>
            <w:pPr>
              <w:pStyle w:val="TableParagraph"/>
              <w:spacing w:line="128" w:lineRule="exact"/>
              <w:ind w:right="9"/>
              <w:jc w:val="center"/>
              <w:rPr>
                <w:sz w:val="14"/>
              </w:rPr>
            </w:pPr>
            <w:r>
              <w:rPr>
                <w:sz w:val="14"/>
                <w:u w:val="single"/>
              </w:rPr>
              <w:t> Q2 </w:t>
            </w:r>
          </w:p>
        </w:tc>
        <w:tc>
          <w:tcPr>
            <w:tcW w:w="517" w:type="dxa"/>
          </w:tcPr>
          <w:p>
            <w:pPr>
              <w:pStyle w:val="TableParagraph"/>
              <w:spacing w:line="128" w:lineRule="exact"/>
              <w:ind w:left="14"/>
              <w:jc w:val="center"/>
              <w:rPr>
                <w:sz w:val="14"/>
              </w:rPr>
            </w:pPr>
            <w:r>
              <w:rPr>
                <w:sz w:val="14"/>
                <w:u w:val="single"/>
              </w:rPr>
              <w:t> Q3</w:t>
            </w:r>
          </w:p>
        </w:tc>
        <w:tc>
          <w:tcPr>
            <w:tcW w:w="446" w:type="dxa"/>
          </w:tcPr>
          <w:p>
            <w:pPr>
              <w:pStyle w:val="TableParagraph"/>
              <w:spacing w:line="128" w:lineRule="exact"/>
              <w:ind w:right="43"/>
              <w:jc w:val="right"/>
              <w:rPr>
                <w:sz w:val="14"/>
              </w:rPr>
            </w:pPr>
            <w:r>
              <w:rPr>
                <w:sz w:val="14"/>
                <w:u w:val="single"/>
              </w:rPr>
              <w:t> Q4 </w:t>
            </w:r>
          </w:p>
        </w:tc>
      </w:tr>
      <w:tr>
        <w:trPr>
          <w:trHeight w:val="139" w:hRule="atLeast"/>
        </w:trPr>
        <w:tc>
          <w:tcPr>
            <w:tcW w:w="1437" w:type="dxa"/>
          </w:tcPr>
          <w:p>
            <w:pPr>
              <w:pStyle w:val="TableParagraph"/>
              <w:spacing w:line="120" w:lineRule="exact"/>
              <w:ind w:left="50"/>
              <w:rPr>
                <w:sz w:val="12"/>
              </w:rPr>
            </w:pPr>
            <w:r>
              <w:rPr>
                <w:b/>
                <w:sz w:val="14"/>
              </w:rPr>
              <w:t>BCC </w:t>
            </w:r>
            <w:r>
              <w:rPr>
                <w:sz w:val="12"/>
              </w:rPr>
              <w:t>(b)</w:t>
            </w:r>
          </w:p>
        </w:tc>
        <w:tc>
          <w:tcPr>
            <w:tcW w:w="759" w:type="dxa"/>
          </w:tcPr>
          <w:p>
            <w:pPr>
              <w:pStyle w:val="TableParagraph"/>
              <w:rPr>
                <w:sz w:val="8"/>
              </w:rPr>
            </w:pPr>
          </w:p>
        </w:tc>
        <w:tc>
          <w:tcPr>
            <w:tcW w:w="517" w:type="dxa"/>
          </w:tcPr>
          <w:p>
            <w:pPr>
              <w:pStyle w:val="TableParagraph"/>
              <w:rPr>
                <w:sz w:val="8"/>
              </w:rPr>
            </w:pPr>
          </w:p>
        </w:tc>
        <w:tc>
          <w:tcPr>
            <w:tcW w:w="534" w:type="dxa"/>
          </w:tcPr>
          <w:p>
            <w:pPr>
              <w:pStyle w:val="TableParagraph"/>
              <w:rPr>
                <w:sz w:val="8"/>
              </w:rPr>
            </w:pPr>
          </w:p>
        </w:tc>
        <w:tc>
          <w:tcPr>
            <w:tcW w:w="517" w:type="dxa"/>
          </w:tcPr>
          <w:p>
            <w:pPr>
              <w:pStyle w:val="TableParagraph"/>
              <w:rPr>
                <w:sz w:val="8"/>
              </w:rPr>
            </w:pPr>
          </w:p>
        </w:tc>
        <w:tc>
          <w:tcPr>
            <w:tcW w:w="446" w:type="dxa"/>
          </w:tcPr>
          <w:p>
            <w:pPr>
              <w:pStyle w:val="TableParagraph"/>
              <w:rPr>
                <w:sz w:val="8"/>
              </w:rPr>
            </w:pPr>
          </w:p>
        </w:tc>
      </w:tr>
      <w:tr>
        <w:trPr>
          <w:trHeight w:val="140" w:hRule="atLeast"/>
        </w:trPr>
        <w:tc>
          <w:tcPr>
            <w:tcW w:w="1437" w:type="dxa"/>
          </w:tcPr>
          <w:p>
            <w:pPr>
              <w:pStyle w:val="TableParagraph"/>
              <w:spacing w:line="120" w:lineRule="exact"/>
              <w:ind w:left="50"/>
              <w:rPr>
                <w:sz w:val="14"/>
              </w:rPr>
            </w:pPr>
            <w:r>
              <w:rPr>
                <w:sz w:val="14"/>
              </w:rPr>
              <w:t>Services</w:t>
            </w:r>
          </w:p>
        </w:tc>
        <w:tc>
          <w:tcPr>
            <w:tcW w:w="759" w:type="dxa"/>
          </w:tcPr>
          <w:p>
            <w:pPr>
              <w:pStyle w:val="TableParagraph"/>
              <w:spacing w:line="120" w:lineRule="exact"/>
              <w:ind w:right="30"/>
              <w:jc w:val="center"/>
              <w:rPr>
                <w:sz w:val="14"/>
              </w:rPr>
            </w:pPr>
            <w:r>
              <w:rPr>
                <w:sz w:val="14"/>
              </w:rPr>
              <w:t>12</w:t>
            </w:r>
          </w:p>
        </w:tc>
        <w:tc>
          <w:tcPr>
            <w:tcW w:w="517" w:type="dxa"/>
          </w:tcPr>
          <w:p>
            <w:pPr>
              <w:pStyle w:val="TableParagraph"/>
              <w:spacing w:line="120" w:lineRule="exact"/>
              <w:ind w:right="180"/>
              <w:jc w:val="right"/>
              <w:rPr>
                <w:sz w:val="14"/>
              </w:rPr>
            </w:pPr>
            <w:r>
              <w:rPr>
                <w:sz w:val="14"/>
              </w:rPr>
              <w:t>25</w:t>
            </w:r>
          </w:p>
        </w:tc>
        <w:tc>
          <w:tcPr>
            <w:tcW w:w="534" w:type="dxa"/>
          </w:tcPr>
          <w:p>
            <w:pPr>
              <w:pStyle w:val="TableParagraph"/>
              <w:spacing w:line="120" w:lineRule="exact"/>
              <w:ind w:left="49" w:right="9"/>
              <w:jc w:val="center"/>
              <w:rPr>
                <w:sz w:val="14"/>
              </w:rPr>
            </w:pPr>
            <w:r>
              <w:rPr>
                <w:sz w:val="14"/>
              </w:rPr>
              <w:t>23</w:t>
            </w:r>
          </w:p>
        </w:tc>
        <w:tc>
          <w:tcPr>
            <w:tcW w:w="517" w:type="dxa"/>
          </w:tcPr>
          <w:p>
            <w:pPr>
              <w:pStyle w:val="TableParagraph"/>
              <w:spacing w:line="120" w:lineRule="exact"/>
              <w:ind w:left="69"/>
              <w:jc w:val="center"/>
              <w:rPr>
                <w:sz w:val="14"/>
              </w:rPr>
            </w:pPr>
            <w:r>
              <w:rPr>
                <w:sz w:val="14"/>
              </w:rPr>
              <w:t>15</w:t>
            </w:r>
          </w:p>
        </w:tc>
        <w:tc>
          <w:tcPr>
            <w:tcW w:w="446" w:type="dxa"/>
          </w:tcPr>
          <w:p>
            <w:pPr>
              <w:pStyle w:val="TableParagraph"/>
              <w:spacing w:line="120" w:lineRule="exact"/>
              <w:ind w:right="87"/>
              <w:jc w:val="right"/>
              <w:rPr>
                <w:sz w:val="14"/>
              </w:rPr>
            </w:pPr>
            <w:r>
              <w:rPr>
                <w:sz w:val="14"/>
              </w:rPr>
              <w:t>n.a</w:t>
            </w:r>
          </w:p>
        </w:tc>
      </w:tr>
      <w:tr>
        <w:trPr>
          <w:trHeight w:val="140" w:hRule="atLeast"/>
        </w:trPr>
        <w:tc>
          <w:tcPr>
            <w:tcW w:w="1437" w:type="dxa"/>
          </w:tcPr>
          <w:p>
            <w:pPr>
              <w:pStyle w:val="TableParagraph"/>
              <w:spacing w:line="120" w:lineRule="exact"/>
              <w:ind w:left="50"/>
              <w:rPr>
                <w:sz w:val="14"/>
              </w:rPr>
            </w:pPr>
            <w:r>
              <w:rPr>
                <w:sz w:val="14"/>
              </w:rPr>
              <w:t>Manufacturing</w:t>
            </w:r>
          </w:p>
        </w:tc>
        <w:tc>
          <w:tcPr>
            <w:tcW w:w="759" w:type="dxa"/>
          </w:tcPr>
          <w:p>
            <w:pPr>
              <w:pStyle w:val="TableParagraph"/>
              <w:spacing w:line="120" w:lineRule="exact"/>
              <w:ind w:left="37"/>
              <w:jc w:val="center"/>
              <w:rPr>
                <w:sz w:val="14"/>
              </w:rPr>
            </w:pPr>
            <w:r>
              <w:rPr>
                <w:sz w:val="14"/>
              </w:rPr>
              <w:t>3</w:t>
            </w:r>
          </w:p>
        </w:tc>
        <w:tc>
          <w:tcPr>
            <w:tcW w:w="517" w:type="dxa"/>
          </w:tcPr>
          <w:p>
            <w:pPr>
              <w:pStyle w:val="TableParagraph"/>
              <w:spacing w:line="120" w:lineRule="exact"/>
              <w:ind w:right="180"/>
              <w:jc w:val="right"/>
              <w:rPr>
                <w:sz w:val="14"/>
              </w:rPr>
            </w:pPr>
            <w:r>
              <w:rPr>
                <w:sz w:val="14"/>
              </w:rPr>
              <w:t>9</w:t>
            </w:r>
          </w:p>
        </w:tc>
        <w:tc>
          <w:tcPr>
            <w:tcW w:w="534" w:type="dxa"/>
          </w:tcPr>
          <w:p>
            <w:pPr>
              <w:pStyle w:val="TableParagraph"/>
              <w:spacing w:line="120" w:lineRule="exact"/>
              <w:ind w:left="49" w:right="9"/>
              <w:jc w:val="center"/>
              <w:rPr>
                <w:sz w:val="14"/>
              </w:rPr>
            </w:pPr>
            <w:r>
              <w:rPr>
                <w:sz w:val="14"/>
              </w:rPr>
              <w:t>13</w:t>
            </w:r>
          </w:p>
        </w:tc>
        <w:tc>
          <w:tcPr>
            <w:tcW w:w="517" w:type="dxa"/>
          </w:tcPr>
          <w:p>
            <w:pPr>
              <w:pStyle w:val="TableParagraph"/>
              <w:spacing w:line="120" w:lineRule="exact"/>
              <w:ind w:left="92"/>
              <w:jc w:val="center"/>
              <w:rPr>
                <w:sz w:val="14"/>
              </w:rPr>
            </w:pPr>
            <w:r>
              <w:rPr>
                <w:sz w:val="14"/>
              </w:rPr>
              <w:t>-1</w:t>
            </w:r>
          </w:p>
        </w:tc>
        <w:tc>
          <w:tcPr>
            <w:tcW w:w="446" w:type="dxa"/>
          </w:tcPr>
          <w:p>
            <w:pPr>
              <w:pStyle w:val="TableParagraph"/>
              <w:spacing w:line="120" w:lineRule="exact"/>
              <w:ind w:right="87"/>
              <w:jc w:val="right"/>
              <w:rPr>
                <w:sz w:val="14"/>
              </w:rPr>
            </w:pPr>
            <w:r>
              <w:rPr>
                <w:sz w:val="14"/>
              </w:rPr>
              <w:t>n.a</w:t>
            </w:r>
          </w:p>
        </w:tc>
      </w:tr>
      <w:tr>
        <w:trPr>
          <w:trHeight w:val="140" w:hRule="atLeast"/>
        </w:trPr>
        <w:tc>
          <w:tcPr>
            <w:tcW w:w="1437" w:type="dxa"/>
          </w:tcPr>
          <w:p>
            <w:pPr>
              <w:pStyle w:val="TableParagraph"/>
              <w:spacing w:line="120" w:lineRule="exact"/>
              <w:ind w:left="50"/>
              <w:rPr>
                <w:sz w:val="12"/>
              </w:rPr>
            </w:pPr>
            <w:r>
              <w:rPr>
                <w:b/>
                <w:sz w:val="14"/>
              </w:rPr>
              <w:t>CBI </w:t>
            </w:r>
            <w:r>
              <w:rPr>
                <w:sz w:val="12"/>
              </w:rPr>
              <w:t>(c)</w:t>
            </w:r>
          </w:p>
        </w:tc>
        <w:tc>
          <w:tcPr>
            <w:tcW w:w="759" w:type="dxa"/>
          </w:tcPr>
          <w:p>
            <w:pPr>
              <w:pStyle w:val="TableParagraph"/>
              <w:rPr>
                <w:sz w:val="8"/>
              </w:rPr>
            </w:pPr>
          </w:p>
        </w:tc>
        <w:tc>
          <w:tcPr>
            <w:tcW w:w="517" w:type="dxa"/>
          </w:tcPr>
          <w:p>
            <w:pPr>
              <w:pStyle w:val="TableParagraph"/>
              <w:rPr>
                <w:sz w:val="8"/>
              </w:rPr>
            </w:pPr>
          </w:p>
        </w:tc>
        <w:tc>
          <w:tcPr>
            <w:tcW w:w="534" w:type="dxa"/>
          </w:tcPr>
          <w:p>
            <w:pPr>
              <w:pStyle w:val="TableParagraph"/>
              <w:rPr>
                <w:sz w:val="8"/>
              </w:rPr>
            </w:pPr>
          </w:p>
        </w:tc>
        <w:tc>
          <w:tcPr>
            <w:tcW w:w="517" w:type="dxa"/>
          </w:tcPr>
          <w:p>
            <w:pPr>
              <w:pStyle w:val="TableParagraph"/>
              <w:rPr>
                <w:sz w:val="8"/>
              </w:rPr>
            </w:pPr>
          </w:p>
        </w:tc>
        <w:tc>
          <w:tcPr>
            <w:tcW w:w="446" w:type="dxa"/>
          </w:tcPr>
          <w:p>
            <w:pPr>
              <w:pStyle w:val="TableParagraph"/>
              <w:rPr>
                <w:sz w:val="8"/>
              </w:rPr>
            </w:pPr>
          </w:p>
        </w:tc>
      </w:tr>
      <w:tr>
        <w:trPr>
          <w:trHeight w:val="140" w:hRule="atLeast"/>
        </w:trPr>
        <w:tc>
          <w:tcPr>
            <w:tcW w:w="1437" w:type="dxa"/>
          </w:tcPr>
          <w:p>
            <w:pPr>
              <w:pStyle w:val="TableParagraph"/>
              <w:spacing w:line="120" w:lineRule="exact"/>
              <w:ind w:left="50"/>
              <w:rPr>
                <w:sz w:val="14"/>
              </w:rPr>
            </w:pPr>
            <w:r>
              <w:rPr>
                <w:sz w:val="14"/>
              </w:rPr>
              <w:t>Manufacturing</w:t>
            </w:r>
          </w:p>
        </w:tc>
        <w:tc>
          <w:tcPr>
            <w:tcW w:w="759" w:type="dxa"/>
          </w:tcPr>
          <w:p>
            <w:pPr>
              <w:pStyle w:val="TableParagraph"/>
              <w:spacing w:line="120" w:lineRule="exact"/>
              <w:ind w:right="77"/>
              <w:jc w:val="center"/>
              <w:rPr>
                <w:sz w:val="14"/>
              </w:rPr>
            </w:pPr>
            <w:r>
              <w:rPr>
                <w:sz w:val="14"/>
              </w:rPr>
              <w:t>-21</w:t>
            </w:r>
          </w:p>
        </w:tc>
        <w:tc>
          <w:tcPr>
            <w:tcW w:w="517" w:type="dxa"/>
          </w:tcPr>
          <w:p>
            <w:pPr>
              <w:pStyle w:val="TableParagraph"/>
              <w:spacing w:line="120" w:lineRule="exact"/>
              <w:ind w:right="180"/>
              <w:jc w:val="right"/>
              <w:rPr>
                <w:sz w:val="14"/>
              </w:rPr>
            </w:pPr>
            <w:r>
              <w:rPr>
                <w:sz w:val="14"/>
              </w:rPr>
              <w:t>0</w:t>
            </w:r>
          </w:p>
        </w:tc>
        <w:tc>
          <w:tcPr>
            <w:tcW w:w="534" w:type="dxa"/>
          </w:tcPr>
          <w:p>
            <w:pPr>
              <w:pStyle w:val="TableParagraph"/>
              <w:spacing w:line="120" w:lineRule="exact"/>
              <w:ind w:right="4"/>
              <w:jc w:val="center"/>
              <w:rPr>
                <w:sz w:val="14"/>
              </w:rPr>
            </w:pPr>
            <w:r>
              <w:rPr>
                <w:sz w:val="14"/>
              </w:rPr>
              <w:t>-15</w:t>
            </w:r>
          </w:p>
        </w:tc>
        <w:tc>
          <w:tcPr>
            <w:tcW w:w="517" w:type="dxa"/>
          </w:tcPr>
          <w:p>
            <w:pPr>
              <w:pStyle w:val="TableParagraph"/>
              <w:spacing w:line="120" w:lineRule="exact"/>
              <w:ind w:left="22"/>
              <w:jc w:val="center"/>
              <w:rPr>
                <w:sz w:val="14"/>
              </w:rPr>
            </w:pPr>
            <w:r>
              <w:rPr>
                <w:sz w:val="14"/>
              </w:rPr>
              <w:t>-16</w:t>
            </w:r>
          </w:p>
        </w:tc>
        <w:tc>
          <w:tcPr>
            <w:tcW w:w="446" w:type="dxa"/>
          </w:tcPr>
          <w:p>
            <w:pPr>
              <w:pStyle w:val="TableParagraph"/>
              <w:spacing w:line="120" w:lineRule="exact"/>
              <w:ind w:right="87"/>
              <w:jc w:val="right"/>
              <w:rPr>
                <w:sz w:val="14"/>
              </w:rPr>
            </w:pPr>
            <w:r>
              <w:rPr>
                <w:sz w:val="14"/>
              </w:rPr>
              <w:t>-32</w:t>
            </w:r>
          </w:p>
        </w:tc>
      </w:tr>
      <w:tr>
        <w:trPr>
          <w:trHeight w:val="140" w:hRule="atLeast"/>
        </w:trPr>
        <w:tc>
          <w:tcPr>
            <w:tcW w:w="1437" w:type="dxa"/>
          </w:tcPr>
          <w:p>
            <w:pPr>
              <w:pStyle w:val="TableParagraph"/>
              <w:spacing w:line="120" w:lineRule="exact"/>
              <w:ind w:left="50"/>
              <w:rPr>
                <w:sz w:val="12"/>
              </w:rPr>
            </w:pPr>
            <w:r>
              <w:rPr>
                <w:b/>
                <w:sz w:val="14"/>
              </w:rPr>
              <w:t>Manpower </w:t>
            </w:r>
            <w:r>
              <w:rPr>
                <w:sz w:val="12"/>
              </w:rPr>
              <w:t>(b)(d)</w:t>
            </w:r>
          </w:p>
        </w:tc>
        <w:tc>
          <w:tcPr>
            <w:tcW w:w="759" w:type="dxa"/>
          </w:tcPr>
          <w:p>
            <w:pPr>
              <w:pStyle w:val="TableParagraph"/>
              <w:rPr>
                <w:sz w:val="8"/>
              </w:rPr>
            </w:pPr>
          </w:p>
        </w:tc>
        <w:tc>
          <w:tcPr>
            <w:tcW w:w="517" w:type="dxa"/>
          </w:tcPr>
          <w:p>
            <w:pPr>
              <w:pStyle w:val="TableParagraph"/>
              <w:rPr>
                <w:sz w:val="8"/>
              </w:rPr>
            </w:pPr>
          </w:p>
        </w:tc>
        <w:tc>
          <w:tcPr>
            <w:tcW w:w="534" w:type="dxa"/>
          </w:tcPr>
          <w:p>
            <w:pPr>
              <w:pStyle w:val="TableParagraph"/>
              <w:rPr>
                <w:sz w:val="8"/>
              </w:rPr>
            </w:pPr>
          </w:p>
        </w:tc>
        <w:tc>
          <w:tcPr>
            <w:tcW w:w="517" w:type="dxa"/>
          </w:tcPr>
          <w:p>
            <w:pPr>
              <w:pStyle w:val="TableParagraph"/>
              <w:rPr>
                <w:sz w:val="8"/>
              </w:rPr>
            </w:pPr>
          </w:p>
        </w:tc>
        <w:tc>
          <w:tcPr>
            <w:tcW w:w="446" w:type="dxa"/>
          </w:tcPr>
          <w:p>
            <w:pPr>
              <w:pStyle w:val="TableParagraph"/>
              <w:rPr>
                <w:sz w:val="8"/>
              </w:rPr>
            </w:pPr>
          </w:p>
        </w:tc>
      </w:tr>
      <w:tr>
        <w:trPr>
          <w:trHeight w:val="140" w:hRule="atLeast"/>
        </w:trPr>
        <w:tc>
          <w:tcPr>
            <w:tcW w:w="1437" w:type="dxa"/>
          </w:tcPr>
          <w:p>
            <w:pPr>
              <w:pStyle w:val="TableParagraph"/>
              <w:spacing w:line="120" w:lineRule="exact"/>
              <w:ind w:left="50"/>
              <w:rPr>
                <w:sz w:val="14"/>
              </w:rPr>
            </w:pPr>
            <w:r>
              <w:rPr>
                <w:sz w:val="14"/>
              </w:rPr>
              <w:t>Services</w:t>
            </w:r>
          </w:p>
        </w:tc>
        <w:tc>
          <w:tcPr>
            <w:tcW w:w="759" w:type="dxa"/>
          </w:tcPr>
          <w:p>
            <w:pPr>
              <w:pStyle w:val="TableParagraph"/>
              <w:spacing w:line="120" w:lineRule="exact"/>
              <w:ind w:right="30"/>
              <w:jc w:val="center"/>
              <w:rPr>
                <w:sz w:val="14"/>
              </w:rPr>
            </w:pPr>
            <w:r>
              <w:rPr>
                <w:sz w:val="14"/>
              </w:rPr>
              <w:t>12</w:t>
            </w:r>
          </w:p>
        </w:tc>
        <w:tc>
          <w:tcPr>
            <w:tcW w:w="517" w:type="dxa"/>
          </w:tcPr>
          <w:p>
            <w:pPr>
              <w:pStyle w:val="TableParagraph"/>
              <w:spacing w:line="120" w:lineRule="exact"/>
              <w:ind w:right="180"/>
              <w:jc w:val="right"/>
              <w:rPr>
                <w:sz w:val="14"/>
              </w:rPr>
            </w:pPr>
            <w:r>
              <w:rPr>
                <w:sz w:val="14"/>
              </w:rPr>
              <w:t>19</w:t>
            </w:r>
          </w:p>
        </w:tc>
        <w:tc>
          <w:tcPr>
            <w:tcW w:w="534" w:type="dxa"/>
          </w:tcPr>
          <w:p>
            <w:pPr>
              <w:pStyle w:val="TableParagraph"/>
              <w:spacing w:line="120" w:lineRule="exact"/>
              <w:ind w:left="49" w:right="9"/>
              <w:jc w:val="center"/>
              <w:rPr>
                <w:sz w:val="14"/>
              </w:rPr>
            </w:pPr>
            <w:r>
              <w:rPr>
                <w:sz w:val="14"/>
              </w:rPr>
              <w:t>18</w:t>
            </w:r>
          </w:p>
        </w:tc>
        <w:tc>
          <w:tcPr>
            <w:tcW w:w="517" w:type="dxa"/>
          </w:tcPr>
          <w:p>
            <w:pPr>
              <w:pStyle w:val="TableParagraph"/>
              <w:spacing w:line="120" w:lineRule="exact"/>
              <w:ind w:left="69"/>
              <w:jc w:val="center"/>
              <w:rPr>
                <w:sz w:val="14"/>
              </w:rPr>
            </w:pPr>
            <w:r>
              <w:rPr>
                <w:sz w:val="14"/>
              </w:rPr>
              <w:t>18</w:t>
            </w:r>
          </w:p>
        </w:tc>
        <w:tc>
          <w:tcPr>
            <w:tcW w:w="446" w:type="dxa"/>
          </w:tcPr>
          <w:p>
            <w:pPr>
              <w:pStyle w:val="TableParagraph"/>
              <w:spacing w:line="120" w:lineRule="exact"/>
              <w:ind w:right="87"/>
              <w:jc w:val="right"/>
              <w:rPr>
                <w:sz w:val="14"/>
              </w:rPr>
            </w:pPr>
            <w:r>
              <w:rPr>
                <w:sz w:val="14"/>
              </w:rPr>
              <w:t>n.a</w:t>
            </w:r>
          </w:p>
        </w:tc>
      </w:tr>
      <w:tr>
        <w:trPr>
          <w:trHeight w:val="147" w:hRule="atLeast"/>
        </w:trPr>
        <w:tc>
          <w:tcPr>
            <w:tcW w:w="1437" w:type="dxa"/>
          </w:tcPr>
          <w:p>
            <w:pPr>
              <w:pStyle w:val="TableParagraph"/>
              <w:spacing w:line="128" w:lineRule="exact"/>
              <w:ind w:left="50"/>
              <w:rPr>
                <w:sz w:val="14"/>
              </w:rPr>
            </w:pPr>
            <w:r>
              <w:rPr>
                <w:sz w:val="14"/>
              </w:rPr>
              <w:t>Manufacturing</w:t>
            </w:r>
          </w:p>
        </w:tc>
        <w:tc>
          <w:tcPr>
            <w:tcW w:w="759" w:type="dxa"/>
          </w:tcPr>
          <w:p>
            <w:pPr>
              <w:pStyle w:val="TableParagraph"/>
              <w:spacing w:line="128" w:lineRule="exact"/>
              <w:ind w:right="30"/>
              <w:jc w:val="center"/>
              <w:rPr>
                <w:sz w:val="14"/>
              </w:rPr>
            </w:pPr>
            <w:r>
              <w:rPr>
                <w:sz w:val="14"/>
              </w:rPr>
              <w:t>14</w:t>
            </w:r>
          </w:p>
        </w:tc>
        <w:tc>
          <w:tcPr>
            <w:tcW w:w="517" w:type="dxa"/>
          </w:tcPr>
          <w:p>
            <w:pPr>
              <w:pStyle w:val="TableParagraph"/>
              <w:spacing w:line="128" w:lineRule="exact"/>
              <w:ind w:right="180"/>
              <w:jc w:val="right"/>
              <w:rPr>
                <w:sz w:val="14"/>
              </w:rPr>
            </w:pPr>
            <w:r>
              <w:rPr>
                <w:sz w:val="14"/>
              </w:rPr>
              <w:t>20</w:t>
            </w:r>
          </w:p>
        </w:tc>
        <w:tc>
          <w:tcPr>
            <w:tcW w:w="534" w:type="dxa"/>
          </w:tcPr>
          <w:p>
            <w:pPr>
              <w:pStyle w:val="TableParagraph"/>
              <w:spacing w:line="128" w:lineRule="exact"/>
              <w:ind w:left="49" w:right="9"/>
              <w:jc w:val="center"/>
              <w:rPr>
                <w:sz w:val="14"/>
              </w:rPr>
            </w:pPr>
            <w:r>
              <w:rPr>
                <w:sz w:val="14"/>
              </w:rPr>
              <w:t>18</w:t>
            </w:r>
          </w:p>
        </w:tc>
        <w:tc>
          <w:tcPr>
            <w:tcW w:w="517" w:type="dxa"/>
          </w:tcPr>
          <w:p>
            <w:pPr>
              <w:pStyle w:val="TableParagraph"/>
              <w:spacing w:line="128" w:lineRule="exact"/>
              <w:ind w:left="69"/>
              <w:jc w:val="center"/>
              <w:rPr>
                <w:sz w:val="14"/>
              </w:rPr>
            </w:pPr>
            <w:r>
              <w:rPr>
                <w:sz w:val="14"/>
              </w:rPr>
              <w:t>14</w:t>
            </w:r>
          </w:p>
        </w:tc>
        <w:tc>
          <w:tcPr>
            <w:tcW w:w="446" w:type="dxa"/>
          </w:tcPr>
          <w:p>
            <w:pPr>
              <w:pStyle w:val="TableParagraph"/>
              <w:spacing w:line="128" w:lineRule="exact"/>
              <w:ind w:right="87"/>
              <w:jc w:val="right"/>
              <w:rPr>
                <w:sz w:val="14"/>
              </w:rPr>
            </w:pPr>
            <w:r>
              <w:rPr>
                <w:sz w:val="14"/>
              </w:rPr>
              <w:t>n.a</w:t>
            </w:r>
          </w:p>
        </w:tc>
      </w:tr>
    </w:tbl>
    <w:p>
      <w:pPr>
        <w:spacing w:before="117"/>
        <w:ind w:left="205" w:right="0" w:firstLine="0"/>
        <w:jc w:val="left"/>
        <w:rPr>
          <w:sz w:val="12"/>
        </w:rPr>
      </w:pPr>
      <w:r>
        <w:rPr>
          <w:sz w:val="12"/>
        </w:rPr>
        <w:t>Sources: British Chambers of Commerce, CBI and Manpower.</w:t>
      </w:r>
    </w:p>
    <w:p>
      <w:pPr>
        <w:pStyle w:val="BodyText"/>
        <w:spacing w:before="2"/>
        <w:rPr>
          <w:sz w:val="10"/>
        </w:rPr>
      </w:pPr>
    </w:p>
    <w:p>
      <w:pPr>
        <w:pStyle w:val="ListParagraph"/>
        <w:numPr>
          <w:ilvl w:val="0"/>
          <w:numId w:val="22"/>
        </w:numPr>
        <w:tabs>
          <w:tab w:pos="446" w:val="left" w:leader="none"/>
        </w:tabs>
        <w:spacing w:line="208" w:lineRule="auto" w:before="0" w:after="0"/>
        <w:ind w:left="445" w:right="38" w:hanging="240"/>
        <w:jc w:val="left"/>
        <w:rPr>
          <w:sz w:val="12"/>
        </w:rPr>
      </w:pPr>
      <w:r>
        <w:rPr>
          <w:sz w:val="12"/>
        </w:rPr>
        <w:t>CBI manufacturing average since 1979; BCC average since 1989; </w:t>
      </w:r>
      <w:r>
        <w:rPr>
          <w:spacing w:val="-3"/>
          <w:sz w:val="12"/>
        </w:rPr>
        <w:t>Manpower </w:t>
      </w:r>
      <w:r>
        <w:rPr>
          <w:sz w:val="12"/>
        </w:rPr>
        <w:t>average since 1988.</w:t>
      </w:r>
    </w:p>
    <w:p>
      <w:pPr>
        <w:pStyle w:val="ListParagraph"/>
        <w:numPr>
          <w:ilvl w:val="0"/>
          <w:numId w:val="22"/>
        </w:numPr>
        <w:tabs>
          <w:tab w:pos="446" w:val="left" w:leader="none"/>
        </w:tabs>
        <w:spacing w:line="114" w:lineRule="exact" w:before="0" w:after="0"/>
        <w:ind w:left="445" w:right="0" w:hanging="241"/>
        <w:jc w:val="left"/>
        <w:rPr>
          <w:sz w:val="12"/>
        </w:rPr>
      </w:pPr>
      <w:r>
        <w:rPr>
          <w:sz w:val="12"/>
        </w:rPr>
        <w:t>Next three months.</w:t>
      </w:r>
    </w:p>
    <w:p>
      <w:pPr>
        <w:pStyle w:val="ListParagraph"/>
        <w:numPr>
          <w:ilvl w:val="0"/>
          <w:numId w:val="22"/>
        </w:numPr>
        <w:tabs>
          <w:tab w:pos="446" w:val="left" w:leader="none"/>
        </w:tabs>
        <w:spacing w:line="120" w:lineRule="exact" w:before="0" w:after="0"/>
        <w:ind w:left="445" w:right="0" w:hanging="241"/>
        <w:jc w:val="left"/>
        <w:rPr>
          <w:sz w:val="12"/>
        </w:rPr>
      </w:pPr>
      <w:r>
        <w:rPr>
          <w:sz w:val="12"/>
        </w:rPr>
        <w:t>Next four months.</w:t>
      </w:r>
    </w:p>
    <w:p>
      <w:pPr>
        <w:pStyle w:val="ListParagraph"/>
        <w:numPr>
          <w:ilvl w:val="0"/>
          <w:numId w:val="22"/>
        </w:numPr>
        <w:tabs>
          <w:tab w:pos="446" w:val="left" w:leader="none"/>
        </w:tabs>
        <w:spacing w:line="129" w:lineRule="exact" w:before="0" w:after="0"/>
        <w:ind w:left="445" w:right="0" w:hanging="241"/>
        <w:jc w:val="left"/>
        <w:rPr>
          <w:sz w:val="12"/>
        </w:rPr>
      </w:pPr>
      <w:r>
        <w:rPr>
          <w:sz w:val="12"/>
        </w:rPr>
        <w:t>Seasonally adjusted by the Bank.</w:t>
      </w:r>
    </w:p>
    <w:p>
      <w:pPr>
        <w:pStyle w:val="Heading4"/>
        <w:spacing w:line="242" w:lineRule="auto" w:before="3"/>
        <w:ind w:left="205" w:right="361"/>
      </w:pPr>
      <w:r>
        <w:rPr/>
        <w:br w:type="column"/>
      </w:r>
      <w:r>
        <w:rPr/>
        <w:t>sense of firms’ demand for labour. Total hours worked per week in the economy rose by 0.6% in the three months to August, and were 1.1% higher than a year earlier.</w:t>
      </w:r>
    </w:p>
    <w:p>
      <w:pPr>
        <w:pStyle w:val="BodyText"/>
        <w:spacing w:before="2"/>
        <w:rPr>
          <w:sz w:val="28"/>
        </w:rPr>
      </w:pPr>
    </w:p>
    <w:p>
      <w:pPr>
        <w:spacing w:line="242" w:lineRule="auto" w:before="1"/>
        <w:ind w:left="205" w:right="428" w:firstLine="0"/>
        <w:jc w:val="left"/>
        <w:rPr>
          <w:sz w:val="24"/>
        </w:rPr>
      </w:pPr>
      <w:r>
        <w:rPr>
          <w:sz w:val="24"/>
        </w:rPr>
        <w:t>Survey evidence suggests that employment intentions remain positive overall, though they </w:t>
      </w:r>
      <w:r>
        <w:rPr>
          <w:spacing w:val="-3"/>
          <w:sz w:val="24"/>
        </w:rPr>
        <w:t>have </w:t>
      </w:r>
      <w:r>
        <w:rPr>
          <w:sz w:val="24"/>
        </w:rPr>
        <w:t>begun to point to a slower rate of employment growth. In particular, information from recruitment agencies suggests that the demand for temporary and permanent labour has slowed since the first half of 1998, most notably in the </w:t>
      </w:r>
      <w:r>
        <w:rPr>
          <w:spacing w:val="-6"/>
          <w:sz w:val="24"/>
        </w:rPr>
        <w:t>IT, </w:t>
      </w:r>
      <w:r>
        <w:rPr>
          <w:sz w:val="24"/>
        </w:rPr>
        <w:t>clerical and executive/professional sectors. This is corroborated by evidence from the </w:t>
      </w:r>
      <w:r>
        <w:rPr>
          <w:spacing w:val="-6"/>
          <w:sz w:val="24"/>
        </w:rPr>
        <w:t>C</w:t>
      </w:r>
      <w:r>
        <w:rPr>
          <w:spacing w:val="-6"/>
          <w:sz w:val="20"/>
        </w:rPr>
        <w:t>IPS </w:t>
      </w:r>
      <w:r>
        <w:rPr>
          <w:sz w:val="24"/>
        </w:rPr>
        <w:t>report on services, which suggests that although</w:t>
      </w:r>
    </w:p>
    <w:p>
      <w:pPr>
        <w:spacing w:line="242" w:lineRule="auto" w:before="11"/>
        <w:ind w:left="205" w:right="254" w:firstLine="0"/>
        <w:jc w:val="left"/>
        <w:rPr>
          <w:sz w:val="24"/>
        </w:rPr>
      </w:pPr>
      <w:r>
        <w:rPr>
          <w:sz w:val="24"/>
        </w:rPr>
        <w:t>employment growth remains robust, labour demand in IT and other service sectors has risen less rapidly. The C</w:t>
      </w:r>
      <w:r>
        <w:rPr>
          <w:sz w:val="20"/>
        </w:rPr>
        <w:t>IPS </w:t>
      </w:r>
      <w:r>
        <w:rPr>
          <w:sz w:val="24"/>
        </w:rPr>
        <w:t>weighted employment index, which aggregates manufacturing, services and construction, fell below 50.0 in October—its lowest level since June 1996. The sectoral pattern of employment growth continues to highlight the discrepancy between manufacturing and services. According to the BCC Survey, the balance of employers planning to recruit staff in manufacturing fell markedly in 1998 Q3, and a broadly similar picture emerges from other surveys (see Table 3.C).</w:t>
      </w:r>
    </w:p>
    <w:p>
      <w:pPr>
        <w:pStyle w:val="BodyText"/>
        <w:rPr>
          <w:sz w:val="29"/>
        </w:rPr>
      </w:pPr>
    </w:p>
    <w:p>
      <w:pPr>
        <w:spacing w:line="242" w:lineRule="auto" w:before="0"/>
        <w:ind w:left="205" w:right="313" w:firstLine="0"/>
        <w:jc w:val="left"/>
        <w:rPr>
          <w:sz w:val="24"/>
        </w:rPr>
      </w:pPr>
      <w:r>
        <w:rPr>
          <w:sz w:val="24"/>
        </w:rPr>
        <w:t>Surveys also suggest that skill shortages and recruitment difficulties remain considerable, though there has been some moderation since the August </w:t>
      </w:r>
      <w:r>
        <w:rPr>
          <w:i/>
          <w:sz w:val="24"/>
        </w:rPr>
        <w:t>Report</w:t>
      </w:r>
      <w:r>
        <w:rPr>
          <w:sz w:val="24"/>
        </w:rPr>
        <w:t>. According </w:t>
      </w:r>
      <w:r>
        <w:rPr>
          <w:spacing w:val="-8"/>
          <w:sz w:val="24"/>
        </w:rPr>
        <w:t>to </w:t>
      </w:r>
      <w:r>
        <w:rPr>
          <w:sz w:val="24"/>
        </w:rPr>
        <w:t>the BCC Quarterly Economic Survey in 1998 Q3, the balance of firms experiencing recruitment difficulties remained high in both manufacturing and services. But there are signs that recruitment activity may </w:t>
      </w:r>
      <w:r>
        <w:rPr>
          <w:spacing w:val="-3"/>
          <w:sz w:val="24"/>
        </w:rPr>
        <w:t>have </w:t>
      </w:r>
      <w:r>
        <w:rPr>
          <w:sz w:val="24"/>
        </w:rPr>
        <w:t>peaked. For example, hiring difficulties in the services sector </w:t>
      </w:r>
      <w:r>
        <w:rPr>
          <w:spacing w:val="-3"/>
          <w:sz w:val="24"/>
        </w:rPr>
        <w:t>have </w:t>
      </w:r>
      <w:r>
        <w:rPr>
          <w:sz w:val="24"/>
        </w:rPr>
        <w:t>lessened for the first time in a year,</w:t>
      </w:r>
      <w:r>
        <w:rPr>
          <w:spacing w:val="-4"/>
          <w:sz w:val="24"/>
        </w:rPr>
        <w:t> </w:t>
      </w:r>
      <w:r>
        <w:rPr>
          <w:sz w:val="24"/>
        </w:rPr>
        <w:t>and</w:t>
      </w:r>
    </w:p>
    <w:p>
      <w:pPr>
        <w:spacing w:after="0" w:line="242" w:lineRule="auto"/>
        <w:jc w:val="left"/>
        <w:rPr>
          <w:sz w:val="24"/>
        </w:rPr>
        <w:sectPr>
          <w:type w:val="continuous"/>
          <w:pgSz w:w="11900" w:h="16840"/>
          <w:pgMar w:top="1220" w:bottom="280" w:left="620" w:right="520"/>
          <w:cols w:num="2" w:equalWidth="0">
            <w:col w:w="4262" w:space="507"/>
            <w:col w:w="5991"/>
          </w:cols>
        </w:sectPr>
      </w:pPr>
    </w:p>
    <w:p>
      <w:pPr>
        <w:pStyle w:val="BodyText"/>
        <w:rPr>
          <w:sz w:val="20"/>
        </w:rPr>
      </w:pPr>
    </w:p>
    <w:p>
      <w:pPr>
        <w:spacing w:after="0"/>
        <w:rPr>
          <w:sz w:val="20"/>
        </w:rPr>
        <w:sectPr>
          <w:pgSz w:w="11900" w:h="16840"/>
          <w:pgMar w:header="586" w:footer="617" w:top="780" w:bottom="800" w:left="620" w:right="520"/>
        </w:sectPr>
      </w:pPr>
    </w:p>
    <w:p>
      <w:pPr>
        <w:pStyle w:val="BodyText"/>
        <w:spacing w:before="5"/>
        <w:rPr>
          <w:sz w:val="21"/>
        </w:rPr>
      </w:pPr>
    </w:p>
    <w:p>
      <w:pPr>
        <w:pStyle w:val="Heading7"/>
        <w:spacing w:before="0"/>
        <w:ind w:left="172"/>
      </w:pPr>
      <w:bookmarkStart w:name="Unemployment and inflation" w:id="56"/>
      <w:bookmarkEnd w:id="56"/>
      <w:r>
        <w:rPr>
          <w:b w:val="0"/>
        </w:rPr>
      </w:r>
      <w:bookmarkStart w:name="_bookmark19" w:id="57"/>
      <w:bookmarkEnd w:id="57"/>
      <w:r>
        <w:rPr>
          <w:b w:val="0"/>
        </w:rPr>
      </w:r>
      <w:r>
        <w:rPr>
          <w:color w:val="0093C1"/>
        </w:rPr>
        <w:t>Chart 3.9</w:t>
      </w:r>
    </w:p>
    <w:p>
      <w:pPr>
        <w:spacing w:before="10"/>
        <w:ind w:left="172" w:right="0" w:firstLine="0"/>
        <w:jc w:val="left"/>
        <w:rPr>
          <w:b/>
          <w:sz w:val="20"/>
        </w:rPr>
      </w:pPr>
      <w:r>
        <w:rPr>
          <w:b/>
          <w:color w:val="0093C1"/>
          <w:sz w:val="20"/>
        </w:rPr>
        <w:t>Skill shortages and recruitment difficulties</w:t>
      </w:r>
    </w:p>
    <w:p>
      <w:pPr>
        <w:spacing w:line="242" w:lineRule="auto" w:before="207"/>
        <w:ind w:left="172" w:right="301" w:firstLine="0"/>
        <w:jc w:val="left"/>
        <w:rPr>
          <w:sz w:val="24"/>
        </w:rPr>
      </w:pPr>
      <w:r>
        <w:rPr/>
        <w:br w:type="column"/>
      </w:r>
      <w:r>
        <w:rPr>
          <w:sz w:val="24"/>
        </w:rPr>
        <w:t>firms’ expectations of expanding their workforces are diminishing. This is in line with CBI measures, which</w:t>
      </w:r>
    </w:p>
    <w:p>
      <w:pPr>
        <w:spacing w:after="0" w:line="242" w:lineRule="auto"/>
        <w:jc w:val="left"/>
        <w:rPr>
          <w:sz w:val="24"/>
        </w:rPr>
        <w:sectPr>
          <w:type w:val="continuous"/>
          <w:pgSz w:w="11900" w:h="16840"/>
          <w:pgMar w:top="1220" w:bottom="280" w:left="620" w:right="520"/>
          <w:cols w:num="2" w:equalWidth="0">
            <w:col w:w="3858" w:space="935"/>
            <w:col w:w="5967"/>
          </w:cols>
        </w:sectPr>
      </w:pPr>
    </w:p>
    <w:p>
      <w:pPr>
        <w:spacing w:line="115" w:lineRule="exact" w:before="73"/>
        <w:ind w:left="392" w:right="0" w:firstLine="0"/>
        <w:jc w:val="left"/>
        <w:rPr>
          <w:sz w:val="12"/>
        </w:rPr>
      </w:pPr>
      <w:r>
        <w:rPr>
          <w:sz w:val="12"/>
        </w:rPr>
        <w:t>Percentage balance</w:t>
      </w:r>
    </w:p>
    <w:p>
      <w:pPr>
        <w:tabs>
          <w:tab w:pos="1361" w:val="left" w:leader="none"/>
        </w:tabs>
        <w:spacing w:line="145" w:lineRule="exact" w:before="0"/>
        <w:ind w:left="232" w:right="0" w:firstLine="0"/>
        <w:jc w:val="left"/>
        <w:rPr>
          <w:sz w:val="12"/>
        </w:rPr>
      </w:pPr>
      <w:r>
        <w:rPr/>
        <w:pict>
          <v:group style="position:absolute;margin-left:51.139999pt;margin-top:6.592957pt;width:167pt;height:146.7pt;mso-position-horizontal-relative:page;mso-position-vertical-relative:paragraph;z-index:15984128" coordorigin="1023,132" coordsize="3340,2934">
            <v:shape style="position:absolute;left:1022;top:560;width:520;height:2500" coordorigin="1023,561" coordsize="520,2500" path="m1543,3061l1543,2981m1543,3061l1543,2981m1123,2561l1023,2561m1123,2061l1023,2061m1123,1561l1023,1561m1123,1061l1023,1061m1123,561l1023,561e" filled="false" stroked="true" strokeweight=".5pt" strokecolor="#000000">
              <v:path arrowok="t"/>
              <v:stroke dashstyle="solid"/>
            </v:shape>
            <v:shape style="position:absolute;left:1182;top:500;width:3040;height:2460" coordorigin="1183,501" coordsize="3040,2460" path="m1183,2561l1223,2421,1243,2461,1283,2421,1303,1961,1343,1561,1363,921,1383,501,1423,1721,1443,1061,1483,1001,1503,1361,1543,1921,1563,2261,1603,2361,1623,2461,1643,2621,1683,2421,1703,2261,1743,2321,1763,2321,1783,1921,1823,2021,1843,2121,1883,2161,1923,1961,1963,1721,1983,2061,2023,1921,2043,2021,2063,2061,2103,2421,2143,2561,2163,2821,2183,2861,2223,2961,2243,2961,2283,2921,2323,2921,2363,2961,2383,2861,2423,2921,2443,2961,2463,2861,2503,2761,2523,2761,2563,2721,2583,2661,2603,2621,2643,2621,2663,2521,2703,2461,2723,2321,2763,2321,2783,2561,2823,2421,2843,2461,2863,2461,2903,2621,2923,2461,2963,2161,2983,2121,3003,2061,3043,2121,3063,1961,3103,1661,3123,1821,3143,1961,3183,1861,3203,2121,3243,2161,3263,2421,3283,2321,3323,2561,3363,2761,3383,2761,3403,2821,3443,2821,3463,2861,3503,2821,3523,2861,3543,2921,3583,2921,3603,2761,3643,2821,3663,2661,3703,2821,3743,2621,3783,2561,3803,2561,3843,2521,3863,2561,3883,2561,3923,2621,3963,2621,3983,2521,4003,2561,4043,2561,4063,2521,4103,2421,4123,2221,4143,2361,4183,2321,4223,2461e" filled="false" stroked="true" strokeweight="1pt" strokecolor="#0066a5">
              <v:path arrowok="t"/>
              <v:stroke dashstyle="solid"/>
            </v:shape>
            <v:shape style="position:absolute;left:4262;top:440;width:100;height:2620" coordorigin="4263,441" coordsize="100,2620" path="m4263,3061l4363,3061m4263,2701l4363,2701m4263,2321l4363,2321m4263,1941l4363,1941m4263,1561l4363,1561m4263,1181l4363,1181m4263,821l4363,821m4263,441l4363,441e" filled="false" stroked="true" strokeweight=".5pt" strokecolor="#000000">
              <v:path arrowok="t"/>
              <v:stroke dashstyle="solid"/>
            </v:shape>
            <v:shape style="position:absolute;left:3122;top:440;width:1100;height:1880" coordorigin="3123,441" coordsize="1100,1880" path="m3123,881l3163,961,3183,741,3223,1081,3243,821,3263,821,3303,1001,3323,1301,3363,1721,3383,1981,3403,2321,3443,1821,3463,2241,3503,2201,3523,2021,3543,2101,3583,2021,3623,2021,3643,1761,3663,1641,3703,1861,3723,1421,3763,1501,3783,1561,3823,1461,3843,1421,3863,1341,3923,1041,3963,1001,3983,921,4003,741,4043,581,4063,741,4103,781,4123,661,4143,581,4183,441,4223,621e" filled="false" stroked="true" strokeweight="1pt" strokecolor="#faab54">
              <v:path arrowok="t"/>
              <v:stroke dashstyle="solid"/>
            </v:shape>
            <v:shape style="position:absolute;left:3122;top:180;width:1100;height:2020" coordorigin="3123,181" coordsize="1100,2020" path="m3123,661l3163,701,3183,581,3223,821,3243,541,3263,321,3303,741,3323,921,3363,1861,3383,1781,3403,2061,3443,1821,3463,2161,3503,2201,3523,2021,3543,1781,3583,1861,3623,1861,3643,1641,3663,1501,3703,1681,3723,1381,3763,1341,3783,1041,3823,1261,3843,1141,3863,861,3903,701,3923,861,3963,701,3983,661,4003,241,4043,361,4063,541,4103,541,4123,281,4143,281,4183,181,4223,441e" filled="false" stroked="true" strokeweight="1pt" strokecolor="#0099d8">
              <v:path arrowok="t"/>
              <v:stroke dashstyle="solid"/>
            </v:shape>
            <v:shape style="position:absolute;left:1022;top:2980;width:3180;height:80" coordorigin="1023,2981" coordsize="3180,80" path="m2103,3061l2103,2981m2663,3061l2663,2981m3243,3061l3243,2981m3803,3061l3803,2981m2103,3061l2103,2981m2663,3061l2663,2981m3243,3061l3243,2981m3803,3061l3803,2981m1123,3061l1023,3061m1183,3061l4203,3061m1183,3061l1183,3021m1303,3061l1303,3021m1423,3061l1423,3021m1655,3061l1655,3021m1767,3061l1767,3021m1879,3061l1879,3021m1991,3061l1991,3021m2215,3061l2215,3021m2327,3061l2327,3021m2439,3061l2439,3021m2551,3061l2551,3021m2779,3061l2779,3021m2895,3061l2895,3021m3011,3061l3011,3021m3127,3061l3127,3021m3355,3061l3355,3021m3467,3061l3467,3021m3579,3061l3579,3021m3691,3061l3691,3021m3916,3061l3916,3021m4029,3061l4029,3021m4143,3061l4143,3021m1183,3061l4203,3061m1183,3061l1183,3021m1303,3061l1303,3021m1423,3061l1423,3021m1655,3061l1655,3021m1767,3061l1767,3021m1879,3061l1879,3021m1991,3061l1991,3021m2215,3061l2215,3021m2327,3061l2327,3021m2439,3061l2439,3021m2551,3061l2551,3021m2779,3061l2779,3021m2895,3061l2895,3021m3011,3061l3011,3021m3127,3061l3127,3021m3355,3061l3355,3021m3467,3061l3467,3021m3579,3061l3579,3021m3691,3061l3691,3021m3916,3061l3916,3021m4029,3061l4029,3021m4143,3061l4143,3021e" filled="false" stroked="true" strokeweight=".5pt" strokecolor="#000000">
              <v:path arrowok="t"/>
              <v:stroke dashstyle="solid"/>
            </v:shape>
            <v:shape style="position:absolute;left:2973;top:269;width:239;height:187" type="#_x0000_t75" stroked="false">
              <v:imagedata r:id="rId72" o:title=""/>
            </v:shape>
            <v:line style="position:absolute" from="2593,1017" to="3093,1017" stroked="true" strokeweight=".5pt" strokecolor="#231f20">
              <v:stroke dashstyle="solid"/>
            </v:line>
            <v:shape style="position:absolute;left:3075;top:992;width:85;height:51" coordorigin="3076,992" coordsize="85,51" path="m3076,992l3076,1043,3092,1036,3104,1032,3161,1017,3152,1016,3141,1014,3129,1011,3116,1007,3105,1003,3076,992xe" filled="true" fillcolor="#231f20" stroked="false">
              <v:path arrowok="t"/>
              <v:fill type="solid"/>
            </v:shape>
            <v:shape style="position:absolute;left:2041;top:131;width:1287;height:253" type="#_x0000_t202" filled="false" stroked="false">
              <v:textbox inset="0,0,0,0">
                <w:txbxContent>
                  <w:p>
                    <w:pPr>
                      <w:spacing w:line="208" w:lineRule="auto" w:before="9"/>
                      <w:ind w:left="0" w:right="18" w:firstLine="0"/>
                      <w:jc w:val="left"/>
                      <w:rPr>
                        <w:sz w:val="12"/>
                      </w:rPr>
                    </w:pPr>
                    <w:r>
                      <w:rPr>
                        <w:sz w:val="12"/>
                      </w:rPr>
                      <w:t>recruitment difficulties (a) (right-hand scale)</w:t>
                    </w:r>
                  </w:p>
                </w:txbxContent>
              </v:textbox>
              <w10:wrap type="none"/>
            </v:shape>
            <v:shape style="position:absolute;left:1688;top:825;width:1260;height:1113" type="#_x0000_t202" filled="false" stroked="false">
              <v:textbox inset="0,0,0,0">
                <w:txbxContent>
                  <w:p>
                    <w:pPr>
                      <w:spacing w:line="208" w:lineRule="auto" w:before="9"/>
                      <w:ind w:left="60" w:right="0" w:hanging="60"/>
                      <w:jc w:val="left"/>
                      <w:rPr>
                        <w:sz w:val="12"/>
                      </w:rPr>
                    </w:pPr>
                    <w:r>
                      <w:rPr>
                        <w:sz w:val="12"/>
                      </w:rPr>
                      <w:t>BCC services recruitment difficulties (a)</w:t>
                    </w:r>
                  </w:p>
                  <w:p>
                    <w:pPr>
                      <w:spacing w:line="123" w:lineRule="exact" w:before="0"/>
                      <w:ind w:left="60" w:right="0" w:firstLine="0"/>
                      <w:jc w:val="left"/>
                      <w:rPr>
                        <w:sz w:val="12"/>
                      </w:rPr>
                    </w:pPr>
                    <w:r>
                      <w:rPr>
                        <w:sz w:val="12"/>
                      </w:rPr>
                      <w:t>(right-hand scale)</w:t>
                    </w:r>
                  </w:p>
                  <w:p>
                    <w:pPr>
                      <w:spacing w:line="240" w:lineRule="auto" w:before="0"/>
                      <w:rPr>
                        <w:sz w:val="12"/>
                      </w:rPr>
                    </w:pPr>
                  </w:p>
                  <w:p>
                    <w:pPr>
                      <w:spacing w:line="240" w:lineRule="auto" w:before="0"/>
                      <w:rPr>
                        <w:sz w:val="12"/>
                      </w:rPr>
                    </w:pPr>
                  </w:p>
                  <w:p>
                    <w:pPr>
                      <w:spacing w:line="208" w:lineRule="auto" w:before="101"/>
                      <w:ind w:left="339" w:right="47" w:hanging="60"/>
                      <w:jc w:val="both"/>
                      <w:rPr>
                        <w:sz w:val="12"/>
                      </w:rPr>
                    </w:pPr>
                    <w:r>
                      <w:rPr>
                        <w:sz w:val="12"/>
                      </w:rPr>
                      <w:t>CBI manufacturing skill shortages (b) (left-hand scale)</w:t>
                    </w:r>
                  </w:p>
                </w:txbxContent>
              </v:textbox>
              <w10:wrap type="none"/>
            </v:shape>
            <w10:wrap type="none"/>
          </v:group>
        </w:pict>
      </w:r>
      <w:r>
        <w:rPr/>
        <w:pict>
          <v:line style="position:absolute;mso-position-horizontal-relative:page;mso-position-vertical-relative:paragraph;z-index:-21504000" from="56.139999pt,3.031036pt" to="51.139999pt,3.031036pt" stroked="true" strokeweight=".5pt" strokecolor="#000000">
            <v:stroke dashstyle="solid"/>
            <w10:wrap type="none"/>
          </v:line>
        </w:pict>
      </w:r>
      <w:r>
        <w:rPr>
          <w:position w:val="3"/>
          <w:sz w:val="12"/>
        </w:rPr>
        <w:t>60</w:t>
        <w:tab/>
      </w:r>
      <w:r>
        <w:rPr>
          <w:sz w:val="12"/>
        </w:rPr>
        <w:t>BCC manufacturing</w:t>
      </w:r>
    </w:p>
    <w:p>
      <w:pPr>
        <w:pStyle w:val="BodyText"/>
        <w:rPr>
          <w:sz w:val="16"/>
        </w:rPr>
      </w:pPr>
    </w:p>
    <w:p>
      <w:pPr>
        <w:pStyle w:val="BodyText"/>
        <w:spacing w:before="1"/>
        <w:rPr>
          <w:sz w:val="13"/>
        </w:rPr>
      </w:pPr>
    </w:p>
    <w:p>
      <w:pPr>
        <w:spacing w:before="0"/>
        <w:ind w:left="232" w:right="0" w:firstLine="0"/>
        <w:jc w:val="left"/>
        <w:rPr>
          <w:sz w:val="12"/>
        </w:rPr>
      </w:pPr>
      <w:r>
        <w:rPr>
          <w:sz w:val="12"/>
        </w:rPr>
        <w:t>50</w:t>
      </w:r>
    </w:p>
    <w:p>
      <w:pPr>
        <w:pStyle w:val="BodyText"/>
        <w:rPr>
          <w:sz w:val="12"/>
        </w:rPr>
      </w:pPr>
    </w:p>
    <w:p>
      <w:pPr>
        <w:pStyle w:val="BodyText"/>
        <w:rPr>
          <w:sz w:val="12"/>
        </w:rPr>
      </w:pPr>
    </w:p>
    <w:p>
      <w:pPr>
        <w:spacing w:before="86"/>
        <w:ind w:left="232" w:right="0" w:firstLine="0"/>
        <w:jc w:val="left"/>
        <w:rPr>
          <w:sz w:val="12"/>
        </w:rPr>
      </w:pPr>
      <w:r>
        <w:rPr>
          <w:sz w:val="12"/>
        </w:rPr>
        <w:t>40</w:t>
      </w:r>
    </w:p>
    <w:p>
      <w:pPr>
        <w:pStyle w:val="BodyText"/>
        <w:rPr>
          <w:sz w:val="12"/>
        </w:rPr>
      </w:pPr>
    </w:p>
    <w:p>
      <w:pPr>
        <w:pStyle w:val="BodyText"/>
        <w:rPr>
          <w:sz w:val="12"/>
        </w:rPr>
      </w:pPr>
    </w:p>
    <w:p>
      <w:pPr>
        <w:spacing w:before="86"/>
        <w:ind w:left="232" w:right="0" w:firstLine="0"/>
        <w:jc w:val="left"/>
        <w:rPr>
          <w:sz w:val="12"/>
        </w:rPr>
      </w:pPr>
      <w:r>
        <w:rPr>
          <w:sz w:val="12"/>
        </w:rPr>
        <w:t>30</w:t>
      </w:r>
    </w:p>
    <w:p>
      <w:pPr>
        <w:pStyle w:val="BodyText"/>
        <w:rPr>
          <w:sz w:val="12"/>
        </w:rPr>
      </w:pPr>
    </w:p>
    <w:p>
      <w:pPr>
        <w:pStyle w:val="BodyText"/>
        <w:rPr>
          <w:sz w:val="12"/>
        </w:rPr>
      </w:pPr>
    </w:p>
    <w:p>
      <w:pPr>
        <w:spacing w:before="86"/>
        <w:ind w:left="232" w:right="0" w:firstLine="0"/>
        <w:jc w:val="left"/>
        <w:rPr>
          <w:sz w:val="12"/>
        </w:rPr>
      </w:pPr>
      <w:r>
        <w:rPr>
          <w:sz w:val="12"/>
        </w:rPr>
        <w:t>20</w:t>
      </w:r>
    </w:p>
    <w:p>
      <w:pPr>
        <w:pStyle w:val="BodyText"/>
        <w:rPr>
          <w:sz w:val="12"/>
        </w:rPr>
      </w:pPr>
    </w:p>
    <w:p>
      <w:pPr>
        <w:pStyle w:val="BodyText"/>
        <w:rPr>
          <w:sz w:val="12"/>
        </w:rPr>
      </w:pPr>
    </w:p>
    <w:p>
      <w:pPr>
        <w:spacing w:before="86"/>
        <w:ind w:left="232" w:right="0" w:firstLine="0"/>
        <w:jc w:val="left"/>
        <w:rPr>
          <w:sz w:val="12"/>
        </w:rPr>
      </w:pPr>
      <w:r>
        <w:rPr>
          <w:sz w:val="12"/>
        </w:rPr>
        <w:t>10</w:t>
      </w:r>
    </w:p>
    <w:p>
      <w:pPr>
        <w:pStyle w:val="BodyText"/>
        <w:rPr>
          <w:sz w:val="12"/>
        </w:rPr>
      </w:pPr>
    </w:p>
    <w:p>
      <w:pPr>
        <w:pStyle w:val="BodyText"/>
        <w:rPr>
          <w:sz w:val="12"/>
        </w:rPr>
      </w:pPr>
    </w:p>
    <w:p>
      <w:pPr>
        <w:spacing w:line="125" w:lineRule="exact" w:before="86"/>
        <w:ind w:left="292" w:right="0" w:firstLine="0"/>
        <w:jc w:val="left"/>
        <w:rPr>
          <w:sz w:val="12"/>
        </w:rPr>
      </w:pPr>
      <w:r>
        <w:rPr>
          <w:sz w:val="12"/>
        </w:rPr>
        <w:t>0</w:t>
      </w:r>
    </w:p>
    <w:p>
      <w:pPr>
        <w:spacing w:line="126" w:lineRule="exact" w:before="73"/>
        <w:ind w:left="232" w:right="0" w:firstLine="0"/>
        <w:jc w:val="left"/>
        <w:rPr>
          <w:sz w:val="12"/>
        </w:rPr>
      </w:pPr>
      <w:r>
        <w:rPr/>
        <w:br w:type="column"/>
      </w:r>
      <w:r>
        <w:rPr>
          <w:sz w:val="12"/>
        </w:rPr>
        <w:t>Percentage balance</w:t>
      </w:r>
    </w:p>
    <w:p>
      <w:pPr>
        <w:spacing w:line="126" w:lineRule="exact" w:before="0"/>
        <w:ind w:left="1186" w:right="0" w:firstLine="0"/>
        <w:jc w:val="left"/>
        <w:rPr>
          <w:sz w:val="12"/>
        </w:rPr>
      </w:pPr>
      <w:r>
        <w:rPr/>
        <w:pict>
          <v:line style="position:absolute;mso-position-horizontal-relative:page;mso-position-vertical-relative:paragraph;z-index:15985152" from="214.139999pt,2.485352pt" to="219.139999pt,2.485352pt" stroked="true" strokeweight=".5pt" strokecolor="#000000">
            <v:stroke dashstyle="solid"/>
            <w10:wrap type="none"/>
          </v:line>
        </w:pict>
      </w:r>
      <w:r>
        <w:rPr>
          <w:sz w:val="12"/>
        </w:rPr>
        <w:t>80</w:t>
      </w:r>
    </w:p>
    <w:p>
      <w:pPr>
        <w:pStyle w:val="BodyText"/>
        <w:rPr>
          <w:sz w:val="12"/>
        </w:rPr>
      </w:pPr>
    </w:p>
    <w:p>
      <w:pPr>
        <w:spacing w:before="104"/>
        <w:ind w:left="0" w:right="38" w:firstLine="0"/>
        <w:jc w:val="right"/>
        <w:rPr>
          <w:sz w:val="12"/>
        </w:rPr>
      </w:pPr>
      <w:r>
        <w:rPr>
          <w:sz w:val="12"/>
        </w:rPr>
        <w:t>70</w:t>
      </w:r>
    </w:p>
    <w:p>
      <w:pPr>
        <w:pStyle w:val="BodyText"/>
        <w:rPr>
          <w:sz w:val="12"/>
        </w:rPr>
      </w:pPr>
    </w:p>
    <w:p>
      <w:pPr>
        <w:spacing w:before="105"/>
        <w:ind w:left="0" w:right="38" w:firstLine="0"/>
        <w:jc w:val="right"/>
        <w:rPr>
          <w:sz w:val="12"/>
        </w:rPr>
      </w:pPr>
      <w:r>
        <w:rPr>
          <w:sz w:val="12"/>
        </w:rPr>
        <w:t>60</w:t>
      </w:r>
    </w:p>
    <w:p>
      <w:pPr>
        <w:pStyle w:val="BodyText"/>
        <w:rPr>
          <w:sz w:val="12"/>
        </w:rPr>
      </w:pPr>
    </w:p>
    <w:p>
      <w:pPr>
        <w:spacing w:before="84"/>
        <w:ind w:left="0" w:right="38" w:firstLine="0"/>
        <w:jc w:val="right"/>
        <w:rPr>
          <w:sz w:val="12"/>
        </w:rPr>
      </w:pPr>
      <w:r>
        <w:rPr>
          <w:sz w:val="12"/>
        </w:rPr>
        <w:t>50</w:t>
      </w:r>
    </w:p>
    <w:p>
      <w:pPr>
        <w:pStyle w:val="BodyText"/>
        <w:rPr>
          <w:sz w:val="12"/>
        </w:rPr>
      </w:pPr>
    </w:p>
    <w:p>
      <w:pPr>
        <w:spacing w:before="104"/>
        <w:ind w:left="0" w:right="38" w:firstLine="0"/>
        <w:jc w:val="right"/>
        <w:rPr>
          <w:sz w:val="12"/>
        </w:rPr>
      </w:pPr>
      <w:r>
        <w:rPr>
          <w:sz w:val="12"/>
        </w:rPr>
        <w:t>40</w:t>
      </w:r>
    </w:p>
    <w:p>
      <w:pPr>
        <w:pStyle w:val="BodyText"/>
        <w:rPr>
          <w:sz w:val="12"/>
        </w:rPr>
      </w:pPr>
    </w:p>
    <w:p>
      <w:pPr>
        <w:spacing w:before="104"/>
        <w:ind w:left="0" w:right="38" w:firstLine="0"/>
        <w:jc w:val="right"/>
        <w:rPr>
          <w:sz w:val="12"/>
        </w:rPr>
      </w:pPr>
      <w:r>
        <w:rPr>
          <w:sz w:val="12"/>
        </w:rPr>
        <w:t>30</w:t>
      </w:r>
    </w:p>
    <w:p>
      <w:pPr>
        <w:pStyle w:val="BodyText"/>
        <w:rPr>
          <w:sz w:val="12"/>
        </w:rPr>
      </w:pPr>
    </w:p>
    <w:p>
      <w:pPr>
        <w:spacing w:before="104"/>
        <w:ind w:left="0" w:right="38" w:firstLine="0"/>
        <w:jc w:val="right"/>
        <w:rPr>
          <w:sz w:val="12"/>
        </w:rPr>
      </w:pPr>
      <w:r>
        <w:rPr>
          <w:sz w:val="12"/>
        </w:rPr>
        <w:t>20</w:t>
      </w:r>
    </w:p>
    <w:p>
      <w:pPr>
        <w:pStyle w:val="BodyText"/>
        <w:rPr>
          <w:sz w:val="12"/>
        </w:rPr>
      </w:pPr>
    </w:p>
    <w:p>
      <w:pPr>
        <w:spacing w:before="104"/>
        <w:ind w:left="0" w:right="38" w:firstLine="0"/>
        <w:jc w:val="right"/>
        <w:rPr>
          <w:sz w:val="12"/>
        </w:rPr>
      </w:pPr>
      <w:r>
        <w:rPr>
          <w:sz w:val="12"/>
        </w:rPr>
        <w:t>10</w:t>
      </w:r>
    </w:p>
    <w:p>
      <w:pPr>
        <w:pStyle w:val="BodyText"/>
        <w:rPr>
          <w:sz w:val="12"/>
        </w:rPr>
      </w:pPr>
    </w:p>
    <w:p>
      <w:pPr>
        <w:spacing w:line="105" w:lineRule="exact" w:before="84"/>
        <w:ind w:left="1246" w:right="0" w:firstLine="0"/>
        <w:jc w:val="left"/>
        <w:rPr>
          <w:sz w:val="12"/>
        </w:rPr>
      </w:pPr>
      <w:r>
        <w:rPr>
          <w:sz w:val="12"/>
        </w:rPr>
        <w:t>0</w:t>
      </w:r>
    </w:p>
    <w:p>
      <w:pPr>
        <w:pStyle w:val="Heading4"/>
        <w:spacing w:line="242" w:lineRule="auto" w:before="3"/>
        <w:ind w:left="232" w:right="276"/>
      </w:pPr>
      <w:r>
        <w:rPr/>
        <w:br w:type="column"/>
      </w:r>
      <w:r>
        <w:rPr/>
        <w:t>suggest that the balance of firms reporting skills shortages has been moderating in recent months (see Chart 3.9). The Bank’s regional Agencies have also reported that while skill shortages continue in some regions and in a number of sectors, there have been some signs of moderation.</w:t>
      </w:r>
    </w:p>
    <w:p>
      <w:pPr>
        <w:pStyle w:val="BodyText"/>
        <w:spacing w:before="4"/>
        <w:rPr>
          <w:sz w:val="26"/>
        </w:rPr>
      </w:pPr>
    </w:p>
    <w:p>
      <w:pPr>
        <w:spacing w:line="280" w:lineRule="atLeast" w:before="0"/>
        <w:ind w:left="232" w:right="349" w:firstLine="0"/>
        <w:jc w:val="left"/>
        <w:rPr>
          <w:sz w:val="24"/>
        </w:rPr>
      </w:pPr>
      <w:r>
        <w:rPr>
          <w:sz w:val="24"/>
        </w:rPr>
        <w:t>Chart 3.10 shows that, after remaining relatively stable through the mid 1980s, temporary employment as a share of total employees has risen during the 1990s, though recent data suggest some reversal of this trend. The increase in temporary employment has largely been</w:t>
      </w:r>
    </w:p>
    <w:p>
      <w:pPr>
        <w:spacing w:after="0" w:line="280" w:lineRule="atLeast"/>
        <w:jc w:val="left"/>
        <w:rPr>
          <w:sz w:val="24"/>
        </w:rPr>
        <w:sectPr>
          <w:type w:val="continuous"/>
          <w:pgSz w:w="11900" w:h="16840"/>
          <w:pgMar w:top="1220" w:bottom="280" w:left="620" w:right="520"/>
          <w:cols w:num="3" w:equalWidth="0">
            <w:col w:w="2372" w:space="248"/>
            <w:col w:w="1347" w:space="766"/>
            <w:col w:w="6027"/>
          </w:cols>
        </w:sectPr>
      </w:pPr>
    </w:p>
    <w:p>
      <w:pPr>
        <w:spacing w:line="47" w:lineRule="exact" w:before="0"/>
        <w:ind w:left="0" w:right="0" w:firstLine="0"/>
        <w:jc w:val="right"/>
        <w:rPr>
          <w:sz w:val="12"/>
        </w:rPr>
      </w:pPr>
      <w:r>
        <w:rPr>
          <w:sz w:val="12"/>
        </w:rPr>
        <w:t>1975</w:t>
      </w:r>
    </w:p>
    <w:p>
      <w:pPr>
        <w:tabs>
          <w:tab w:pos="939" w:val="left" w:leader="none"/>
          <w:tab w:pos="1499" w:val="left" w:leader="none"/>
          <w:tab w:pos="2079" w:val="left" w:leader="none"/>
        </w:tabs>
        <w:spacing w:line="47" w:lineRule="exact" w:before="0"/>
        <w:ind w:left="359" w:right="0" w:firstLine="0"/>
        <w:jc w:val="left"/>
        <w:rPr>
          <w:sz w:val="12"/>
        </w:rPr>
      </w:pPr>
      <w:r>
        <w:rPr/>
        <w:br w:type="column"/>
      </w:r>
      <w:r>
        <w:rPr>
          <w:sz w:val="12"/>
        </w:rPr>
        <w:t>80</w:t>
        <w:tab/>
        <w:t>85</w:t>
        <w:tab/>
        <w:t>90</w:t>
        <w:tab/>
        <w:t>95</w:t>
      </w:r>
    </w:p>
    <w:p>
      <w:pPr>
        <w:pStyle w:val="Heading4"/>
        <w:spacing w:line="233" w:lineRule="exact" w:before="4"/>
        <w:ind w:left="792"/>
      </w:pPr>
      <w:r>
        <w:rPr/>
        <w:br w:type="column"/>
      </w:r>
      <w:r>
        <w:rPr/>
        <w:t>accounted for by a rise in fixed-contract employees, and</w:t>
      </w:r>
    </w:p>
    <w:p>
      <w:pPr>
        <w:spacing w:after="0" w:line="233" w:lineRule="exact"/>
        <w:sectPr>
          <w:type w:val="continuous"/>
          <w:pgSz w:w="11900" w:h="16840"/>
          <w:pgMar w:top="1220" w:bottom="280" w:left="620" w:right="520"/>
          <w:cols w:num="3" w:equalWidth="0">
            <w:col w:w="1033" w:space="40"/>
            <w:col w:w="2240" w:space="859"/>
            <w:col w:w="6588"/>
          </w:cols>
        </w:sectPr>
      </w:pPr>
    </w:p>
    <w:p>
      <w:pPr>
        <w:spacing w:line="133" w:lineRule="exact" w:before="0"/>
        <w:ind w:left="172" w:right="0" w:firstLine="0"/>
        <w:jc w:val="left"/>
        <w:rPr>
          <w:sz w:val="12"/>
        </w:rPr>
      </w:pPr>
      <w:r>
        <w:rPr>
          <w:sz w:val="12"/>
        </w:rPr>
        <w:t>Sources: British Chambers of Commerce and CBI.</w:t>
      </w:r>
    </w:p>
    <w:p>
      <w:pPr>
        <w:pStyle w:val="BodyText"/>
        <w:spacing w:before="1"/>
        <w:rPr>
          <w:sz w:val="10"/>
        </w:rPr>
      </w:pPr>
    </w:p>
    <w:p>
      <w:pPr>
        <w:pStyle w:val="ListParagraph"/>
        <w:numPr>
          <w:ilvl w:val="0"/>
          <w:numId w:val="23"/>
        </w:numPr>
        <w:tabs>
          <w:tab w:pos="413" w:val="left" w:leader="none"/>
        </w:tabs>
        <w:spacing w:line="208" w:lineRule="auto" w:before="0" w:after="0"/>
        <w:ind w:left="412" w:right="38" w:hanging="240"/>
        <w:jc w:val="left"/>
        <w:rPr>
          <w:sz w:val="12"/>
        </w:rPr>
      </w:pPr>
      <w:r>
        <w:rPr>
          <w:sz w:val="12"/>
        </w:rPr>
        <w:t>Past three months. Based on a survey question that asked if employers experienced any difficulties finding suitable staff in the following categories:</w:t>
      </w:r>
    </w:p>
    <w:p>
      <w:pPr>
        <w:spacing w:line="208" w:lineRule="auto" w:before="0"/>
        <w:ind w:left="412" w:right="1051" w:firstLine="0"/>
        <w:jc w:val="left"/>
        <w:rPr>
          <w:sz w:val="12"/>
        </w:rPr>
      </w:pPr>
      <w:r>
        <w:rPr>
          <w:sz w:val="12"/>
        </w:rPr>
        <w:t>skilled manual, technical/professional, managerial/clerical and un/semi-skilled.</w:t>
      </w:r>
    </w:p>
    <w:p>
      <w:pPr>
        <w:pStyle w:val="ListParagraph"/>
        <w:numPr>
          <w:ilvl w:val="0"/>
          <w:numId w:val="23"/>
        </w:numPr>
        <w:tabs>
          <w:tab w:pos="413" w:val="left" w:leader="none"/>
        </w:tabs>
        <w:spacing w:line="208" w:lineRule="auto" w:before="0" w:after="0"/>
        <w:ind w:left="412" w:right="454" w:hanging="240"/>
        <w:jc w:val="left"/>
        <w:rPr>
          <w:sz w:val="12"/>
        </w:rPr>
      </w:pPr>
      <w:r>
        <w:rPr>
          <w:sz w:val="12"/>
        </w:rPr>
        <w:t>Data refer to skilled labour. Questions refer to difference between those respondents answering ‘yes’ and those answering ‘no’ when questioned </w:t>
      </w:r>
      <w:r>
        <w:rPr>
          <w:spacing w:val="-9"/>
          <w:sz w:val="12"/>
        </w:rPr>
        <w:t>on </w:t>
      </w:r>
      <w:r>
        <w:rPr>
          <w:sz w:val="12"/>
        </w:rPr>
        <w:t>factors likely to limit output during next four months.</w:t>
      </w:r>
    </w:p>
    <w:p>
      <w:pPr>
        <w:pStyle w:val="BodyText"/>
        <w:rPr>
          <w:sz w:val="12"/>
        </w:rPr>
      </w:pPr>
    </w:p>
    <w:p>
      <w:pPr>
        <w:pStyle w:val="BodyText"/>
        <w:rPr>
          <w:sz w:val="12"/>
        </w:rPr>
      </w:pPr>
    </w:p>
    <w:p>
      <w:pPr>
        <w:pStyle w:val="BodyText"/>
        <w:rPr>
          <w:sz w:val="12"/>
        </w:rPr>
      </w:pPr>
    </w:p>
    <w:p>
      <w:pPr>
        <w:pStyle w:val="BodyText"/>
        <w:spacing w:before="10"/>
        <w:rPr>
          <w:sz w:val="12"/>
        </w:rPr>
      </w:pPr>
    </w:p>
    <w:p>
      <w:pPr>
        <w:pStyle w:val="Heading7"/>
        <w:spacing w:before="0"/>
        <w:ind w:left="180"/>
      </w:pPr>
      <w:r>
        <w:rPr>
          <w:color w:val="0093C1"/>
        </w:rPr>
        <w:t>Chart 3.10</w:t>
      </w:r>
    </w:p>
    <w:p>
      <w:pPr>
        <w:spacing w:before="10"/>
        <w:ind w:left="180" w:right="0" w:firstLine="0"/>
        <w:jc w:val="left"/>
        <w:rPr>
          <w:sz w:val="12"/>
        </w:rPr>
      </w:pPr>
      <w:r>
        <w:rPr>
          <w:b/>
          <w:color w:val="0093C1"/>
          <w:sz w:val="20"/>
        </w:rPr>
        <w:t>Proportion of temporary employees</w:t>
      </w:r>
      <w:r>
        <w:rPr>
          <w:position w:val="4"/>
          <w:sz w:val="12"/>
        </w:rPr>
        <w:t>(a)</w:t>
      </w:r>
    </w:p>
    <w:p>
      <w:pPr>
        <w:spacing w:before="117"/>
        <w:ind w:left="0" w:right="621" w:firstLine="0"/>
        <w:jc w:val="right"/>
        <w:rPr>
          <w:sz w:val="12"/>
        </w:rPr>
      </w:pPr>
      <w:r>
        <w:rPr/>
        <w:pict>
          <v:line style="position:absolute;mso-position-horizontal-relative:page;mso-position-vertical-relative:paragraph;z-index:-21498880" from="207.113998pt,14.046857pt" to="212.219998pt,14.046857pt" stroked="true" strokeweight=".5pt" strokecolor="#000000">
            <v:stroke dashstyle="solid"/>
            <w10:wrap type="none"/>
          </v:line>
        </w:pict>
      </w:r>
      <w:r>
        <w:rPr/>
        <w:pict>
          <v:group style="position:absolute;margin-left:48.303001pt;margin-top:13.093857pt;width:165.5pt;height:150.8pt;mso-position-horizontal-relative:page;mso-position-vertical-relative:paragraph;z-index:-21497856" coordorigin="966,262" coordsize="3310,3016">
            <v:shape style="position:absolute;left:1148;top:2141;width:1632;height:223" coordorigin="1148,2141" coordsize="1632,223" path="m1148,2348l1352,2301,1559,2266,1762,2141,1966,2266,2170,2250,2376,2364,2580,2266,2780,2143e" filled="false" stroked="true" strokeweight="1pt" strokecolor="#0066a5">
              <v:path arrowok="t"/>
              <v:stroke dashstyle="dash"/>
            </v:shape>
            <v:shape style="position:absolute;left:2779;top:550;width:1274;height:1593" coordorigin="2780,551" coordsize="1274,1593" path="m2780,2143l2783,2141,2828,1664,2881,1758,2934,1871,2990,1934,3032,1328,3085,1379,3141,1473,3183,1535,3236,898,3291,1043,3344,1234,3387,1250,3440,789,3495,1012,3548,1172,3590,1188,3646,644,3699,851,3752,980,3797,949,3850,551,3903,726,3958,965,4001,1156,4053,758e" filled="false" stroked="true" strokeweight="1pt" strokecolor="#0066a5">
              <v:path arrowok="t"/>
              <v:stroke dashstyle="solid"/>
            </v:shape>
            <v:shape style="position:absolute;left:2783;top:757;width:1270;height:1192" coordorigin="2783,758" coordsize="1270,1192" path="m2783,1918l2828,1950,2881,1871,2934,1774,2990,1727,3032,1633,3085,1504,3141,1379,3183,1344,3236,1234,3291,1121,3344,1105,3387,1043,3440,1043,3495,1074,3548,1043,3590,996,3646,898,3699,914,3752,836,3797,758,3850,805,3903,773,3958,820,4001,965,4053,996e" filled="false" stroked="true" strokeweight="1pt" strokecolor="#ed1b2d">
              <v:path arrowok="t"/>
              <v:stroke dashstyle="solid"/>
            </v:shape>
            <v:shape style="position:absolute;left:966;top:3086;width:3305;height:187" coordorigin="967,3087" coordsize="3305,187" path="m967,3273l4247,3273m1148,3273l1148,3218m1352,3273l1352,3218m1559,3273l1559,3218m1762,3273l1762,3218m1966,3273l1966,3218m2170,3273l2170,3218m2376,3273l2376,3218m2580,3273l2580,3218m2990,3273l2990,3218m3183,3273l3183,3218m3387,3273l3387,3218m3590,3273l3590,3218m3797,3273l3797,3218m4001,3273l4001,3218m4143,3147l4245,3147m2779,3272l2779,3087m4251,3144l4251,3170,4231,3187,4271,3200,4231,3220,4271,3237,4248,3247,4247,3270m4143,3147l4245,3147e" filled="false" stroked="true" strokeweight=".5pt" strokecolor="#000000">
              <v:path arrowok="t"/>
              <v:stroke dashstyle="solid"/>
            </v:shape>
            <v:shape style="position:absolute;left:966;top:3134;width:133;height:137" type="#_x0000_t75" stroked="false">
              <v:imagedata r:id="rId73" o:title=""/>
            </v:shape>
            <v:shape style="position:absolute;left:2778;top:261;width:2;height:2880" coordorigin="2779,262" coordsize="0,2880" path="m2779,262l2779,3141e" filled="true" fillcolor="#ffffff" stroked="false">
              <v:path arrowok="t"/>
              <v:fill type="solid"/>
            </v:shape>
            <v:shape style="position:absolute;left:2778;top:261;width:414;height:2880" coordorigin="2779,262" coordsize="414,2880" path="m2779,262l2779,3141m2906,1997l3192,2604e" filled="false" stroked="true" strokeweight=".5pt" strokecolor="#231f20">
              <v:path arrowok="t"/>
              <v:stroke dashstyle="solid"/>
            </v:shape>
            <v:shape style="position:absolute;left:2876;top:1936;width:59;height:88" coordorigin="2877,1936" coordsize="59,88" path="m2877,1936l2890,2023,2936,2002,2888,1952,2882,1943,2877,1936xe" filled="true" fillcolor="#231f20" stroked="false">
              <v:path arrowok="t"/>
              <v:fill type="solid"/>
            </v:shape>
            <v:shape style="position:absolute;left:2921;top:2581;width:970;height:134" type="#_x0000_t202" filled="false" stroked="false">
              <v:textbox inset="0,0,0,0">
                <w:txbxContent>
                  <w:p>
                    <w:pPr>
                      <w:spacing w:line="133" w:lineRule="exact" w:before="0"/>
                      <w:ind w:left="0" w:right="0" w:firstLine="0"/>
                      <w:jc w:val="left"/>
                      <w:rPr>
                        <w:sz w:val="12"/>
                      </w:rPr>
                    </w:pPr>
                    <w:r>
                      <w:rPr>
                        <w:sz w:val="12"/>
                      </w:rPr>
                      <w:t>Seasonally adjusted</w:t>
                    </w:r>
                  </w:p>
                </w:txbxContent>
              </v:textbox>
              <w10:wrap type="none"/>
            </v:shape>
            <w10:wrap type="none"/>
          </v:group>
        </w:pict>
      </w:r>
      <w:r>
        <w:rPr/>
        <w:pict>
          <v:line style="position:absolute;mso-position-horizontal-relative:page;mso-position-vertical-relative:paragraph;z-index:15995392" from="48.25pt,13.821856pt" to="53.356pt,13.821856pt" stroked="true" strokeweight=".5pt" strokecolor="#000000">
            <v:stroke dashstyle="solid"/>
            <w10:wrap type="none"/>
          </v:line>
        </w:pict>
      </w:r>
      <w:r>
        <w:rPr>
          <w:sz w:val="12"/>
        </w:rPr>
        <w:t>Per cent</w:t>
      </w:r>
      <w:r>
        <w:rPr>
          <w:spacing w:val="29"/>
          <w:sz w:val="12"/>
        </w:rPr>
        <w:t> </w:t>
      </w:r>
      <w:r>
        <w:rPr>
          <w:position w:val="-8"/>
          <w:sz w:val="12"/>
        </w:rPr>
        <w:t>8.5</w:t>
      </w:r>
    </w:p>
    <w:p>
      <w:pPr>
        <w:spacing w:before="179"/>
        <w:ind w:left="0" w:right="621" w:firstLine="0"/>
        <w:jc w:val="right"/>
        <w:rPr>
          <w:sz w:val="12"/>
        </w:rPr>
      </w:pPr>
      <w:r>
        <w:rPr/>
        <w:pict>
          <v:line style="position:absolute;mso-position-horizontal-relative:page;mso-position-vertical-relative:paragraph;z-index:-21499392" from="207.113998pt,12.626353pt" to="212.219998pt,12.626353pt" stroked="true" strokeweight=".5pt" strokecolor="#000000">
            <v:stroke dashstyle="solid"/>
            <w10:wrap type="none"/>
          </v:line>
        </w:pict>
      </w:r>
      <w:r>
        <w:rPr/>
        <w:pict>
          <v:line style="position:absolute;mso-position-horizontal-relative:page;mso-position-vertical-relative:paragraph;z-index:15994880" from="48.25pt,12.401353pt" to="53.356pt,12.401353pt" stroked="true" strokeweight=".5pt" strokecolor="#000000">
            <v:stroke dashstyle="solid"/>
            <w10:wrap type="none"/>
          </v:line>
        </w:pict>
      </w:r>
      <w:r>
        <w:rPr>
          <w:sz w:val="12"/>
        </w:rPr>
        <w:t>8.0</w:t>
      </w:r>
    </w:p>
    <w:p>
      <w:pPr>
        <w:pStyle w:val="BodyText"/>
        <w:spacing w:before="6"/>
        <w:rPr>
          <w:sz w:val="15"/>
        </w:rPr>
      </w:pPr>
    </w:p>
    <w:p>
      <w:pPr>
        <w:spacing w:before="0"/>
        <w:ind w:left="0" w:right="621" w:firstLine="0"/>
        <w:jc w:val="right"/>
        <w:rPr>
          <w:sz w:val="12"/>
        </w:rPr>
      </w:pPr>
      <w:r>
        <w:rPr/>
        <w:pict>
          <v:line style="position:absolute;mso-position-horizontal-relative:page;mso-position-vertical-relative:paragraph;z-index:-21499904" from="207.113998pt,3.676151pt" to="212.219998pt,3.676151pt" stroked="true" strokeweight=".5pt" strokecolor="#000000">
            <v:stroke dashstyle="solid"/>
            <w10:wrap type="none"/>
          </v:line>
        </w:pict>
      </w:r>
      <w:r>
        <w:rPr/>
        <w:pict>
          <v:line style="position:absolute;mso-position-horizontal-relative:page;mso-position-vertical-relative:paragraph;z-index:15994368" from="48.25pt,3.451151pt" to="53.356pt,3.451151pt" stroked="true" strokeweight=".5pt" strokecolor="#000000">
            <v:stroke dashstyle="solid"/>
            <w10:wrap type="none"/>
          </v:line>
        </w:pict>
      </w:r>
      <w:r>
        <w:rPr>
          <w:sz w:val="12"/>
        </w:rPr>
        <w:t>7.5</w:t>
      </w:r>
    </w:p>
    <w:p>
      <w:pPr>
        <w:pStyle w:val="BodyText"/>
        <w:spacing w:before="10"/>
        <w:rPr>
          <w:sz w:val="15"/>
        </w:rPr>
      </w:pPr>
    </w:p>
    <w:p>
      <w:pPr>
        <w:spacing w:before="0"/>
        <w:ind w:left="0" w:right="621" w:firstLine="0"/>
        <w:jc w:val="right"/>
        <w:rPr>
          <w:sz w:val="12"/>
        </w:rPr>
      </w:pPr>
      <w:r>
        <w:rPr/>
        <w:pict>
          <v:line style="position:absolute;mso-position-horizontal-relative:page;mso-position-vertical-relative:paragraph;z-index:-21500416" from="207.113998pt,3.676361pt" to="212.219998pt,3.676361pt" stroked="true" strokeweight=".5pt" strokecolor="#000000">
            <v:stroke dashstyle="solid"/>
            <w10:wrap type="none"/>
          </v:line>
        </w:pict>
      </w:r>
      <w:r>
        <w:rPr/>
        <w:pict>
          <v:line style="position:absolute;mso-position-horizontal-relative:page;mso-position-vertical-relative:paragraph;z-index:15993856" from="48.25pt,3.451361pt" to="53.356pt,3.451361pt" stroked="true" strokeweight=".5pt" strokecolor="#000000">
            <v:stroke dashstyle="solid"/>
            <w10:wrap type="none"/>
          </v:line>
        </w:pict>
      </w:r>
      <w:r>
        <w:rPr>
          <w:sz w:val="12"/>
        </w:rPr>
        <w:t>7.0</w:t>
      </w:r>
    </w:p>
    <w:p>
      <w:pPr>
        <w:pStyle w:val="BodyText"/>
        <w:spacing w:before="6"/>
        <w:rPr>
          <w:sz w:val="15"/>
        </w:rPr>
      </w:pPr>
    </w:p>
    <w:p>
      <w:pPr>
        <w:spacing w:before="0"/>
        <w:ind w:left="0" w:right="621" w:firstLine="0"/>
        <w:jc w:val="right"/>
        <w:rPr>
          <w:sz w:val="12"/>
        </w:rPr>
      </w:pPr>
      <w:r>
        <w:rPr/>
        <w:pict>
          <v:line style="position:absolute;mso-position-horizontal-relative:page;mso-position-vertical-relative:paragraph;z-index:-21500928" from="207.113998pt,3.676159pt" to="212.219998pt,3.676159pt" stroked="true" strokeweight=".5pt" strokecolor="#000000">
            <v:stroke dashstyle="solid"/>
            <w10:wrap type="none"/>
          </v:line>
        </w:pict>
      </w:r>
      <w:r>
        <w:rPr/>
        <w:pict>
          <v:line style="position:absolute;mso-position-horizontal-relative:page;mso-position-vertical-relative:paragraph;z-index:15993344" from="48.25pt,3.451159pt" to="53.356pt,3.451159pt" stroked="true" strokeweight=".5pt" strokecolor="#000000">
            <v:stroke dashstyle="solid"/>
            <w10:wrap type="none"/>
          </v:line>
        </w:pict>
      </w:r>
      <w:r>
        <w:rPr>
          <w:sz w:val="12"/>
        </w:rPr>
        <w:t>6.5</w:t>
      </w:r>
    </w:p>
    <w:p>
      <w:pPr>
        <w:pStyle w:val="BodyText"/>
        <w:spacing w:before="2"/>
        <w:rPr>
          <w:sz w:val="15"/>
        </w:rPr>
      </w:pPr>
    </w:p>
    <w:p>
      <w:pPr>
        <w:spacing w:before="0"/>
        <w:ind w:left="0" w:right="621" w:firstLine="0"/>
        <w:jc w:val="right"/>
        <w:rPr>
          <w:sz w:val="12"/>
        </w:rPr>
      </w:pPr>
      <w:r>
        <w:rPr/>
        <w:pict>
          <v:line style="position:absolute;mso-position-horizontal-relative:page;mso-position-vertical-relative:paragraph;z-index:-21501440" from="207.113998pt,4.067574pt" to="212.219998pt,4.067574pt" stroked="true" strokeweight=".5pt" strokecolor="#000000">
            <v:stroke dashstyle="solid"/>
            <w10:wrap type="none"/>
          </v:line>
        </w:pict>
      </w:r>
      <w:r>
        <w:rPr/>
        <w:pict>
          <v:line style="position:absolute;mso-position-horizontal-relative:page;mso-position-vertical-relative:paragraph;z-index:15992832" from="48.25pt,3.842574pt" to="53.356pt,3.842574pt" stroked="true" strokeweight=".5pt" strokecolor="#000000">
            <v:stroke dashstyle="solid"/>
            <w10:wrap type="none"/>
          </v:line>
        </w:pict>
      </w:r>
      <w:r>
        <w:rPr>
          <w:sz w:val="12"/>
        </w:rPr>
        <w:t>6.0</w:t>
      </w:r>
    </w:p>
    <w:p>
      <w:pPr>
        <w:pStyle w:val="BodyText"/>
        <w:spacing w:before="10"/>
        <w:rPr>
          <w:sz w:val="15"/>
        </w:rPr>
      </w:pPr>
    </w:p>
    <w:p>
      <w:pPr>
        <w:spacing w:before="0"/>
        <w:ind w:left="0" w:right="621" w:firstLine="0"/>
        <w:jc w:val="right"/>
        <w:rPr>
          <w:sz w:val="12"/>
        </w:rPr>
      </w:pPr>
      <w:r>
        <w:rPr/>
        <w:pict>
          <v:line style="position:absolute;mso-position-horizontal-relative:page;mso-position-vertical-relative:paragraph;z-index:-21501952" from="207.113998pt,3.871754pt" to="212.219998pt,3.871754pt" stroked="true" strokeweight=".5pt" strokecolor="#000000">
            <v:stroke dashstyle="solid"/>
            <w10:wrap type="none"/>
          </v:line>
        </w:pict>
      </w:r>
      <w:r>
        <w:rPr/>
        <w:pict>
          <v:line style="position:absolute;mso-position-horizontal-relative:page;mso-position-vertical-relative:paragraph;z-index:15992320" from="48.25pt,3.646754pt" to="53.356pt,3.646754pt" stroked="true" strokeweight=".5pt" strokecolor="#000000">
            <v:stroke dashstyle="solid"/>
            <w10:wrap type="none"/>
          </v:line>
        </w:pict>
      </w:r>
      <w:r>
        <w:rPr>
          <w:sz w:val="12"/>
        </w:rPr>
        <w:t>5.5</w:t>
      </w:r>
    </w:p>
    <w:p>
      <w:pPr>
        <w:pStyle w:val="BodyText"/>
        <w:spacing w:before="6"/>
        <w:rPr>
          <w:sz w:val="15"/>
        </w:rPr>
      </w:pPr>
    </w:p>
    <w:p>
      <w:pPr>
        <w:spacing w:before="0"/>
        <w:ind w:left="0" w:right="621" w:firstLine="0"/>
        <w:jc w:val="right"/>
        <w:rPr>
          <w:sz w:val="12"/>
        </w:rPr>
      </w:pPr>
      <w:r>
        <w:rPr/>
        <w:pict>
          <v:line style="position:absolute;mso-position-horizontal-relative:page;mso-position-vertical-relative:paragraph;z-index:-21502464" from="207.113998pt,3.871552pt" to="212.219998pt,3.871552pt" stroked="true" strokeweight=".5pt" strokecolor="#000000">
            <v:stroke dashstyle="solid"/>
            <w10:wrap type="none"/>
          </v:line>
        </w:pict>
      </w:r>
      <w:r>
        <w:rPr/>
        <w:pict>
          <v:line style="position:absolute;mso-position-horizontal-relative:page;mso-position-vertical-relative:paragraph;z-index:15991808" from="48.25pt,3.646552pt" to="53.356pt,3.646552pt" stroked="true" strokeweight=".5pt" strokecolor="#000000">
            <v:stroke dashstyle="solid"/>
            <w10:wrap type="none"/>
          </v:line>
        </w:pict>
      </w:r>
      <w:r>
        <w:rPr>
          <w:sz w:val="12"/>
        </w:rPr>
        <w:t>5.0</w:t>
      </w:r>
    </w:p>
    <w:p>
      <w:pPr>
        <w:pStyle w:val="BodyText"/>
        <w:spacing w:before="10"/>
        <w:rPr>
          <w:sz w:val="15"/>
        </w:rPr>
      </w:pPr>
    </w:p>
    <w:p>
      <w:pPr>
        <w:spacing w:before="0"/>
        <w:ind w:left="0" w:right="621" w:firstLine="0"/>
        <w:jc w:val="right"/>
        <w:rPr>
          <w:sz w:val="12"/>
        </w:rPr>
      </w:pPr>
      <w:r>
        <w:rPr/>
        <w:pict>
          <v:line style="position:absolute;mso-position-horizontal-relative:page;mso-position-vertical-relative:paragraph;z-index:-21502976" from="207.113998pt,3.871762pt" to="212.219998pt,3.871762pt" stroked="true" strokeweight=".5pt" strokecolor="#000000">
            <v:stroke dashstyle="solid"/>
            <w10:wrap type="none"/>
          </v:line>
        </w:pict>
      </w:r>
      <w:r>
        <w:rPr/>
        <w:pict>
          <v:line style="position:absolute;mso-position-horizontal-relative:page;mso-position-vertical-relative:paragraph;z-index:15991296" from="48.25pt,3.646762pt" to="53.356pt,3.646762pt" stroked="true" strokeweight=".5pt" strokecolor="#000000">
            <v:stroke dashstyle="solid"/>
            <w10:wrap type="none"/>
          </v:line>
        </w:pict>
      </w:r>
      <w:r>
        <w:rPr>
          <w:sz w:val="12"/>
        </w:rPr>
        <w:t>4.5</w:t>
      </w:r>
    </w:p>
    <w:p>
      <w:pPr>
        <w:pStyle w:val="BodyText"/>
        <w:spacing w:before="6"/>
        <w:rPr>
          <w:sz w:val="15"/>
        </w:rPr>
      </w:pPr>
    </w:p>
    <w:p>
      <w:pPr>
        <w:spacing w:line="131" w:lineRule="exact" w:before="0"/>
        <w:ind w:left="3691" w:right="0" w:firstLine="0"/>
        <w:jc w:val="left"/>
        <w:rPr>
          <w:sz w:val="12"/>
        </w:rPr>
      </w:pPr>
      <w:r>
        <w:rPr>
          <w:sz w:val="12"/>
        </w:rPr>
        <w:t>4.0</w:t>
      </w:r>
    </w:p>
    <w:p>
      <w:pPr>
        <w:spacing w:line="129" w:lineRule="exact" w:before="0"/>
        <w:ind w:left="3691" w:right="0" w:firstLine="0"/>
        <w:jc w:val="left"/>
        <w:rPr>
          <w:sz w:val="12"/>
        </w:rPr>
      </w:pPr>
      <w:r>
        <w:rPr>
          <w:color w:val="231F20"/>
          <w:sz w:val="12"/>
        </w:rPr>
        <w:t>0.0</w:t>
      </w:r>
    </w:p>
    <w:p>
      <w:pPr>
        <w:pStyle w:val="Heading4"/>
        <w:spacing w:line="242" w:lineRule="auto" w:before="47"/>
        <w:ind w:left="172" w:right="301"/>
      </w:pPr>
      <w:r>
        <w:rPr/>
        <w:br w:type="column"/>
      </w:r>
      <w:r>
        <w:rPr/>
        <w:t>reflects both demand and supply factors. In particular, the change could reflect the outcome of firms’ deliberations over hiring and firing costs. Investing in permanent employees can be costly and difficult to reverse—there may be larger search and training costs, and firing costs when the employment relationship is terminated. The longer firms expect the match to last, the more likely they are to hire an employee on a permanent basis. But if demand is uncertain, or if firms are risk-averse, they are less likely to </w:t>
      </w:r>
      <w:r>
        <w:rPr>
          <w:spacing w:val="-3"/>
        </w:rPr>
        <w:t>invest </w:t>
      </w:r>
      <w:r>
        <w:rPr/>
        <w:t>in</w:t>
      </w:r>
      <w:r>
        <w:rPr>
          <w:spacing w:val="-22"/>
        </w:rPr>
        <w:t> </w:t>
      </w:r>
      <w:r>
        <w:rPr/>
        <w:t>permanent staff, preferring temporary employees to cover peaks in demand. Supply-side factors, such as the changing composition of the labour market (for instance, desire to work part-time by working mothers or retired people), may also </w:t>
      </w:r>
      <w:r>
        <w:rPr>
          <w:spacing w:val="-3"/>
        </w:rPr>
        <w:t>have </w:t>
      </w:r>
      <w:r>
        <w:rPr/>
        <w:t>played some role in the growth of temporary</w:t>
      </w:r>
      <w:r>
        <w:rPr>
          <w:spacing w:val="-1"/>
        </w:rPr>
        <w:t> </w:t>
      </w:r>
      <w:r>
        <w:rPr/>
        <w:t>employment.</w:t>
      </w:r>
    </w:p>
    <w:p>
      <w:pPr>
        <w:pStyle w:val="BodyText"/>
        <w:spacing w:before="9"/>
        <w:rPr>
          <w:sz w:val="29"/>
        </w:rPr>
      </w:pPr>
    </w:p>
    <w:p>
      <w:pPr>
        <w:pStyle w:val="ListParagraph"/>
        <w:numPr>
          <w:ilvl w:val="1"/>
          <w:numId w:val="19"/>
        </w:numPr>
        <w:tabs>
          <w:tab w:pos="2015" w:val="left" w:leader="none"/>
          <w:tab w:pos="2016" w:val="left" w:leader="none"/>
          <w:tab w:pos="5672" w:val="left" w:leader="none"/>
        </w:tabs>
        <w:spacing w:line="240" w:lineRule="auto" w:before="1" w:after="0"/>
        <w:ind w:left="2015" w:right="0" w:hanging="1844"/>
        <w:jc w:val="left"/>
        <w:rPr>
          <w:b/>
          <w:sz w:val="28"/>
        </w:rPr>
      </w:pPr>
      <w:r>
        <w:rPr>
          <w:b/>
          <w:color w:val="009483"/>
          <w:sz w:val="28"/>
          <w:u w:val="thick" w:color="0093C1"/>
        </w:rPr>
        <w:t>Unemployment and inflation</w:t>
        <w:tab/>
      </w:r>
    </w:p>
    <w:p>
      <w:pPr>
        <w:spacing w:after="0" w:line="240" w:lineRule="auto"/>
        <w:jc w:val="left"/>
        <w:rPr>
          <w:sz w:val="28"/>
        </w:rPr>
        <w:sectPr>
          <w:type w:val="continuous"/>
          <w:pgSz w:w="11900" w:h="16840"/>
          <w:pgMar w:top="1220" w:bottom="280" w:left="620" w:right="520"/>
          <w:cols w:num="2" w:equalWidth="0">
            <w:col w:w="4466" w:space="327"/>
            <w:col w:w="5967"/>
          </w:cols>
        </w:sectPr>
      </w:pPr>
    </w:p>
    <w:p>
      <w:pPr>
        <w:spacing w:before="4"/>
        <w:ind w:left="459" w:right="0" w:firstLine="0"/>
        <w:jc w:val="left"/>
        <w:rPr>
          <w:sz w:val="12"/>
        </w:rPr>
      </w:pPr>
      <w:r>
        <w:rPr>
          <w:sz w:val="12"/>
        </w:rPr>
        <w:t>1984 85 86 87 88 89 90 91 92</w:t>
      </w:r>
    </w:p>
    <w:p>
      <w:pPr>
        <w:spacing w:before="4"/>
        <w:ind w:left="63" w:right="0" w:firstLine="0"/>
        <w:jc w:val="left"/>
        <w:rPr>
          <w:sz w:val="12"/>
        </w:rPr>
      </w:pPr>
      <w:r>
        <w:rPr/>
        <w:br w:type="column"/>
      </w:r>
      <w:r>
        <w:rPr>
          <w:sz w:val="12"/>
        </w:rPr>
        <w:t>93 94</w:t>
      </w:r>
    </w:p>
    <w:p>
      <w:pPr>
        <w:spacing w:before="4"/>
        <w:ind w:left="63" w:right="0" w:firstLine="0"/>
        <w:jc w:val="left"/>
        <w:rPr>
          <w:sz w:val="12"/>
        </w:rPr>
      </w:pPr>
      <w:r>
        <w:rPr/>
        <w:br w:type="column"/>
      </w:r>
      <w:r>
        <w:rPr>
          <w:sz w:val="12"/>
        </w:rPr>
        <w:t>95 96 97 98</w:t>
      </w:r>
    </w:p>
    <w:p>
      <w:pPr>
        <w:pStyle w:val="Heading4"/>
        <w:spacing w:line="266" w:lineRule="exact"/>
        <w:ind w:left="459"/>
      </w:pPr>
      <w:r>
        <w:rPr/>
        <w:br w:type="column"/>
      </w:r>
      <w:r>
        <w:rPr/>
        <w:t>Labour market equilibrium depends, among other things,</w:t>
      </w:r>
    </w:p>
    <w:p>
      <w:pPr>
        <w:spacing w:after="0" w:line="266" w:lineRule="exact"/>
        <w:sectPr>
          <w:type w:val="continuous"/>
          <w:pgSz w:w="11900" w:h="16840"/>
          <w:pgMar w:top="1220" w:bottom="280" w:left="620" w:right="520"/>
          <w:cols w:num="4" w:equalWidth="0">
            <w:col w:w="2298" w:space="40"/>
            <w:col w:w="384" w:space="39"/>
            <w:col w:w="819" w:space="926"/>
            <w:col w:w="6254"/>
          </w:cols>
        </w:sectPr>
      </w:pPr>
    </w:p>
    <w:p>
      <w:pPr>
        <w:spacing w:line="137" w:lineRule="exact" w:before="0"/>
        <w:ind w:left="180" w:right="0" w:firstLine="0"/>
        <w:jc w:val="left"/>
        <w:rPr>
          <w:sz w:val="12"/>
        </w:rPr>
      </w:pPr>
      <w:r>
        <w:rPr>
          <w:sz w:val="12"/>
        </w:rPr>
        <w:t>(a) Annual data before 1992, based on spring observations.</w:t>
      </w:r>
    </w:p>
    <w:p>
      <w:pPr>
        <w:pStyle w:val="Heading4"/>
        <w:spacing w:line="242" w:lineRule="auto" w:before="4"/>
        <w:ind w:left="180" w:right="326"/>
      </w:pPr>
      <w:r>
        <w:rPr/>
        <w:br w:type="column"/>
      </w:r>
      <w:r>
        <w:rPr/>
        <w:t>on institutional features of the labour market. These include factors such as the bargaining strength of </w:t>
      </w:r>
      <w:r>
        <w:rPr>
          <w:spacing w:val="-3"/>
        </w:rPr>
        <w:t>unions, </w:t>
      </w:r>
      <w:r>
        <w:rPr/>
        <w:t>the benefits system, and labour market regulations such as a minimum wage and rules on maximum working time. Measures such as the New Deal and the </w:t>
      </w:r>
      <w:r>
        <w:rPr>
          <w:spacing w:val="-3"/>
        </w:rPr>
        <w:t>Working </w:t>
      </w:r>
      <w:r>
        <w:rPr/>
        <w:t>Families </w:t>
      </w:r>
      <w:r>
        <w:rPr>
          <w:spacing w:val="-7"/>
        </w:rPr>
        <w:t>Tax </w:t>
      </w:r>
      <w:r>
        <w:rPr/>
        <w:t>Credit (W</w:t>
      </w:r>
      <w:r>
        <w:rPr>
          <w:sz w:val="20"/>
        </w:rPr>
        <w:t>FTC</w:t>
      </w:r>
      <w:r>
        <w:rPr/>
        <w:t>) are designed to increase the supply of labour, and could lower the natural rate of unemployment. By contrast, the </w:t>
      </w:r>
      <w:r>
        <w:rPr>
          <w:spacing w:val="-3"/>
        </w:rPr>
        <w:t>Working Time </w:t>
      </w:r>
      <w:r>
        <w:rPr/>
        <w:t>Directive, which came into effect on 1 October, could potentially decrease labour supply or increase labour market rigidity, by constraining the choice of hours worked. But the implications of these policies for output, employment and wages are difficult to ascertain. They will depend, in part, on how far employers are able to offset the resulting higher costs through lower wages and productivity</w:t>
      </w:r>
      <w:r>
        <w:rPr>
          <w:spacing w:val="-1"/>
        </w:rPr>
        <w:t> </w:t>
      </w:r>
      <w:r>
        <w:rPr/>
        <w:t>improvements.</w:t>
      </w:r>
    </w:p>
    <w:p>
      <w:pPr>
        <w:spacing w:after="0" w:line="242" w:lineRule="auto"/>
        <w:sectPr>
          <w:type w:val="continuous"/>
          <w:pgSz w:w="11900" w:h="16840"/>
          <w:pgMar w:top="1220" w:bottom="280" w:left="620" w:right="520"/>
          <w:cols w:num="2" w:equalWidth="0">
            <w:col w:w="3130" w:space="1656"/>
            <w:col w:w="5974"/>
          </w:cols>
        </w:sectPr>
      </w:pPr>
    </w:p>
    <w:p>
      <w:pPr>
        <w:pStyle w:val="BodyText"/>
        <w:spacing w:before="6"/>
        <w:rPr>
          <w:sz w:val="29"/>
        </w:rPr>
      </w:pPr>
    </w:p>
    <w:p>
      <w:pPr>
        <w:spacing w:before="88"/>
        <w:ind w:left="3520" w:right="0" w:firstLine="0"/>
        <w:jc w:val="left"/>
        <w:rPr>
          <w:b/>
          <w:sz w:val="28"/>
        </w:rPr>
      </w:pPr>
      <w:r>
        <w:rPr/>
        <w:pict>
          <v:group style="position:absolute;margin-left:38.720001pt;margin-top:-15.819666pt;width:518pt;height:601.5pt;mso-position-horizontal-relative:page;mso-position-vertical-relative:paragraph;z-index:-21492224" coordorigin="774,-316" coordsize="10360,12030">
            <v:shape style="position:absolute;left:794;top:-297;width:10320;height:11990" coordorigin="794,-296" coordsize="10320,11990" path="m11114,-296l5972,-296,5937,-296,794,-296,794,5676,794,5722,794,11694,5937,11694,5972,11694,11114,11694,11114,-296xe" filled="true" fillcolor="#c3e0dc" stroked="false">
              <v:path arrowok="t"/>
              <v:fill type="solid"/>
            </v:shape>
            <v:shape style="position:absolute;left:874;top:-201;width:10161;height:11799" coordorigin="874,-201" coordsize="10161,11799" path="m5954,-201l874,5699,5954,11598,11035,5699,5954,-201xe" filled="true" fillcolor="#c4e1dd" stroked="false">
              <v:path arrowok="t"/>
              <v:fill type="solid"/>
            </v:shape>
            <v:shape style="position:absolute;left:973;top:-85;width:9962;height:11568" coordorigin="974,-85" coordsize="9962,11568" path="m5954,-85l974,5699,5954,11482,10935,5699,5954,-85xe" filled="true" fillcolor="#c5e1dd" stroked="false">
              <v:path arrowok="t"/>
              <v:fill type="solid"/>
            </v:shape>
            <v:shape style="position:absolute;left:1073;top:30;width:9763;height:11336" coordorigin="1073,31" coordsize="9763,11336" path="m5954,31l1073,5699,5954,11367,10835,5699,5954,31xe" filled="true" fillcolor="#c6e2de" stroked="false">
              <v:path arrowok="t"/>
              <v:fill type="solid"/>
            </v:shape>
            <v:shape style="position:absolute;left:1172;top:146;width:9563;height:11105" coordorigin="1173,146" coordsize="9563,11105" path="m5954,146l1173,5699,5954,11251,10736,5699,5954,146xe" filled="true" fillcolor="#c7e2df" stroked="false">
              <v:path arrowok="t"/>
              <v:fill type="solid"/>
            </v:shape>
            <v:shape style="position:absolute;left:1272;top:262;width:9364;height:10874" coordorigin="1273,262" coordsize="9364,10874" path="m5954,262l1273,5699,5954,11135,10636,5699,5954,262xe" filled="true" fillcolor="#c8e3df" stroked="false">
              <v:path arrowok="t"/>
              <v:fill type="solid"/>
            </v:shape>
            <v:shape style="position:absolute;left:1372;top:377;width:9165;height:10642" coordorigin="1372,378" coordsize="9165,10642" path="m5954,378l1372,5699,5954,11020,10537,5699,5954,378xe" filled="true" fillcolor="#c9e3e0" stroked="false">
              <v:path arrowok="t"/>
              <v:fill type="solid"/>
            </v:shape>
            <v:shape style="position:absolute;left:1471;top:493;width:8966;height:10411" coordorigin="1472,493" coordsize="8966,10411" path="m5954,493l1472,5699,5954,10904,10437,5699,5954,493xe" filled="true" fillcolor="#cae4e0" stroked="false">
              <v:path arrowok="t"/>
              <v:fill type="solid"/>
            </v:shape>
            <v:shape style="position:absolute;left:1571;top:609;width:8766;height:10180" coordorigin="1571,609" coordsize="8766,10180" path="m5954,609l1571,5699,5954,10788,10337,5699,5954,609xe" filled="true" fillcolor="#cbe4e1" stroked="false">
              <v:path arrowok="t"/>
              <v:fill type="solid"/>
            </v:shape>
            <v:shape style="position:absolute;left:1671;top:724;width:8567;height:9948" coordorigin="1671,725" coordsize="8567,9948" path="m5954,725l1671,5699,5954,10673,10238,5699,5954,725xe" filled="true" fillcolor="#cce5e1" stroked="false">
              <v:path arrowok="t"/>
              <v:fill type="solid"/>
            </v:shape>
            <v:shape style="position:absolute;left:1770;top:840;width:8368;height:9717" coordorigin="1771,840" coordsize="8368,9717" path="m5954,840l1771,5699,5954,10557,10138,5699,5954,840xe" filled="true" fillcolor="#cde5e2" stroked="false">
              <v:path arrowok="t"/>
              <v:fill type="solid"/>
            </v:shape>
            <v:shape style="position:absolute;left:1870;top:956;width:8169;height:9486" coordorigin="1870,956" coordsize="8169,9486" path="m5954,956l1870,5699,5954,10441,10039,5699,5954,956xe" filled="true" fillcolor="#cee6e3" stroked="false">
              <v:path arrowok="t"/>
              <v:fill type="solid"/>
            </v:shape>
            <v:shape style="position:absolute;left:1969;top:1071;width:7970;height:9254" coordorigin="1970,1072" coordsize="7970,9254" path="m5954,1072l1970,5699,5954,10326,9939,5699,5954,1072xe" filled="true" fillcolor="#cfe6e3" stroked="false">
              <v:path arrowok="t"/>
              <v:fill type="solid"/>
            </v:shape>
            <v:shape style="position:absolute;left:2069;top:1187;width:7770;height:9023" coordorigin="2069,1187" coordsize="7770,9023" path="m5954,1187l2069,5699,5954,10210,9839,5699,5954,1187xe" filled="true" fillcolor="#d0e7e4" stroked="false">
              <v:path arrowok="t"/>
              <v:fill type="solid"/>
            </v:shape>
            <v:shape style="position:absolute;left:2169;top:1303;width:7571;height:8792" coordorigin="2169,1303" coordsize="7571,8792" path="m5954,1303l2169,5699,5954,10094,9740,5699,5954,1303xe" filled="true" fillcolor="#d1e7e4" stroked="false">
              <v:path arrowok="t"/>
              <v:fill type="solid"/>
            </v:shape>
            <v:shape style="position:absolute;left:2268;top:1418;width:7372;height:8560" coordorigin="2269,1419" coordsize="7372,8560" path="m5954,1419l2269,5699,5954,9979,9640,5699,5954,1419xe" filled="true" fillcolor="#d3e8e5" stroked="false">
              <v:path arrowok="t"/>
              <v:fill type="solid"/>
            </v:shape>
            <v:shape style="position:absolute;left:2368;top:1534;width:7173;height:8329" coordorigin="2368,1534" coordsize="7173,8329" path="m5954,1534l2368,5699,5954,9863,9540,5699,5954,1534xe" filled="true" fillcolor="#d4e8e5" stroked="false">
              <v:path arrowok="t"/>
              <v:fill type="solid"/>
            </v:shape>
            <v:shape style="position:absolute;left:2467;top:1650;width:6973;height:8098" coordorigin="2468,1650" coordsize="6973,8098" path="m5954,1650l2468,5699,5954,9747,9441,5699,5954,1650xe" filled="true" fillcolor="#d5e9e6" stroked="false">
              <v:path arrowok="t"/>
              <v:fill type="solid"/>
            </v:shape>
            <v:shape style="position:absolute;left:2567;top:1765;width:6774;height:7866" coordorigin="2568,1766" coordsize="6774,7866" path="m5954,1766l2568,5699,5954,9632,9341,5699,5954,1766xe" filled="true" fillcolor="#d6eae7" stroked="false">
              <v:path arrowok="t"/>
              <v:fill type="solid"/>
            </v:shape>
            <v:shape style="position:absolute;left:2667;top:1881;width:6575;height:7635" coordorigin="2667,1881" coordsize="6575,7635" path="m5954,1881l2667,5699,5954,9516,9242,5699,5954,1881xe" filled="true" fillcolor="#d7eae7" stroked="false">
              <v:path arrowok="t"/>
              <v:fill type="solid"/>
            </v:shape>
            <v:shape style="position:absolute;left:2766;top:1997;width:6376;height:7404" coordorigin="2767,1997" coordsize="6376,7404" path="m5954,1997l2767,5699,5954,9400,9142,5699,5954,1997xe" filled="true" fillcolor="#d8ebe8" stroked="false">
              <v:path arrowok="t"/>
              <v:fill type="solid"/>
            </v:shape>
            <v:shape style="position:absolute;left:2866;top:2112;width:6177;height:7172" coordorigin="2866,2113" coordsize="6177,7172" path="m5954,2113l2866,5699,5954,9284,9042,5699,5954,2113xe" filled="true" fillcolor="#d9ebe8" stroked="false">
              <v:path arrowok="t"/>
              <v:fill type="solid"/>
            </v:shape>
            <v:shape style="position:absolute;left:2965;top:2228;width:5977;height:6941" coordorigin="2966,2228" coordsize="5977,6941" path="m5954,2228l2966,5699,5954,9169,8943,5699,5954,2228xe" filled="true" fillcolor="#daece9" stroked="false">
              <v:path arrowok="t"/>
              <v:fill type="solid"/>
            </v:shape>
            <v:shape style="position:absolute;left:3065;top:2344;width:5778;height:6709" coordorigin="3066,2344" coordsize="5778,6709" path="m5954,2344l3066,5699,5954,9053,8843,5699,5954,2344xe" filled="true" fillcolor="#dbece9" stroked="false">
              <v:path arrowok="t"/>
              <v:fill type="solid"/>
            </v:shape>
            <v:shape style="position:absolute;left:3165;top:2459;width:5579;height:6478" coordorigin="3165,2460" coordsize="5579,6478" path="m5954,2460l3165,5699,5954,8937,8744,5699,5954,2460xe" filled="true" fillcolor="#dcedea" stroked="false">
              <v:path arrowok="t"/>
              <v:fill type="solid"/>
            </v:shape>
            <v:shape style="position:absolute;left:3264;top:2575;width:5380;height:6247" coordorigin="3265,2575" coordsize="5380,6247" path="m5954,2575l3265,5699,5954,8822,8644,5699,5954,2575xe" filled="true" fillcolor="#ddedeb" stroked="false">
              <v:path arrowok="t"/>
              <v:fill type="solid"/>
            </v:shape>
            <v:shape style="position:absolute;left:3364;top:2691;width:5180;height:6015" coordorigin="3364,2691" coordsize="5180,6015" path="m5954,2691l3364,5699,5954,8706,8544,5699,5954,2691xe" filled="true" fillcolor="#deeeeb" stroked="false">
              <v:path arrowok="t"/>
              <v:fill type="solid"/>
            </v:shape>
            <v:shape style="position:absolute;left:3464;top:2806;width:4981;height:5784" coordorigin="3464,2807" coordsize="4981,5784" path="m5954,2807l3464,5699,5954,8590,8445,5699,5954,2807xe" filled="true" fillcolor="#e0efec" stroked="false">
              <v:path arrowok="t"/>
              <v:fill type="solid"/>
            </v:shape>
            <v:shape style="position:absolute;left:3563;top:2922;width:4782;height:5553" coordorigin="3564,2922" coordsize="4782,5553" path="m5954,2922l3564,5699,5954,8475,8345,5699,5954,2922xe" filled="true" fillcolor="#e1efec" stroked="false">
              <v:path arrowok="t"/>
              <v:fill type="solid"/>
            </v:shape>
            <v:shape style="position:absolute;left:3663;top:3038;width:4583;height:5321" coordorigin="3663,3038" coordsize="4583,5321" path="m5954,3038l3663,5699,5954,8359,8246,5699,5954,3038xe" filled="true" fillcolor="#e2f0ed" stroked="false">
              <v:path arrowok="t"/>
              <v:fill type="solid"/>
            </v:shape>
            <v:shape style="position:absolute;left:3762;top:3153;width:4383;height:5090" coordorigin="3763,3154" coordsize="4383,5090" path="m5954,3154l3763,5699,5954,8243,8146,5699,5954,3154xe" filled="true" fillcolor="#e3f0ee" stroked="false">
              <v:path arrowok="t"/>
              <v:fill type="solid"/>
            </v:shape>
            <v:shape style="position:absolute;left:3862;top:3269;width:4184;height:4859" coordorigin="3863,3270" coordsize="4184,4859" path="m5954,3270l3863,5699,5954,8128,8046,5699,5954,3270xe" filled="true" fillcolor="#e4f1ee" stroked="false">
              <v:path arrowok="t"/>
              <v:fill type="solid"/>
            </v:shape>
            <v:shape style="position:absolute;left:3962;top:3385;width:3985;height:4627" coordorigin="3962,3385" coordsize="3985,4627" path="m5954,3385l3962,5699,5954,8012,7947,5699,5954,3385xe" filled="true" fillcolor="#e5f1ef" stroked="false">
              <v:path arrowok="t"/>
              <v:fill type="solid"/>
            </v:shape>
            <v:shape style="position:absolute;left:4061;top:3500;width:3786;height:4396" coordorigin="4062,3501" coordsize="3786,4396" path="m5954,3501l4062,5699,5954,7896,7847,5699,5954,3501xe" filled="true" fillcolor="#e6f2ef" stroked="false">
              <v:path arrowok="t"/>
              <v:fill type="solid"/>
            </v:shape>
            <v:shape style="position:absolute;left:4161;top:3616;width:3587;height:4165" coordorigin="4161,3617" coordsize="3587,4165" path="m5954,3617l4161,5699,5954,7781,7747,5699,5954,3617xe" filled="true" fillcolor="#e7f3f0" stroked="false">
              <v:path arrowok="t"/>
              <v:fill type="solid"/>
            </v:shape>
            <v:shape style="position:absolute;left:4260;top:3732;width:3387;height:3933" coordorigin="4261,3732" coordsize="3387,3933" path="m5954,3732l4261,5699,5954,7665,7648,5699,5954,3732xe" filled="true" fillcolor="#e9f3f1" stroked="false">
              <v:path arrowok="t"/>
              <v:fill type="solid"/>
            </v:shape>
            <v:shape style="position:absolute;left:4360;top:3847;width:3188;height:3702" coordorigin="4361,3848" coordsize="3188,3702" path="m5954,3848l4361,5699,5954,7549,7548,5699,5954,3848xe" filled="true" fillcolor="#eaf4f2" stroked="false">
              <v:path arrowok="t"/>
              <v:fill type="solid"/>
            </v:shape>
            <v:shape style="position:absolute;left:4460;top:3963;width:2989;height:3471" coordorigin="4460,3964" coordsize="2989,3471" path="m5954,3964l4460,5699,5954,7434,7449,5699,5954,3964xe" filled="true" fillcolor="#ebf4f2" stroked="false">
              <v:path arrowok="t"/>
              <v:fill type="solid"/>
            </v:shape>
            <v:shape style="position:absolute;left:4559;top:4079;width:2790;height:3239" coordorigin="4560,4079" coordsize="2790,3239" path="m5954,4079l4560,5699,5954,7318,7349,5699,5954,4079xe" filled="true" fillcolor="#ecf5f3" stroked="false">
              <v:path arrowok="t"/>
              <v:fill type="solid"/>
            </v:shape>
            <v:shape style="position:absolute;left:4659;top:4194;width:2590;height:3008" coordorigin="4659,4195" coordsize="2590,3008" path="m5954,4195l4659,5699,5954,7202,7249,5699,5954,4195xe" filled="true" fillcolor="#edf6f4" stroked="false">
              <v:path arrowok="t"/>
              <v:fill type="solid"/>
            </v:shape>
            <v:shape style="position:absolute;left:4759;top:4310;width:2391;height:2777" coordorigin="4759,4311" coordsize="2391,2777" path="m5954,4311l4759,5699,5954,7087,7150,5699,5954,4311xe" filled="true" fillcolor="#eff7f5" stroked="false">
              <v:path arrowok="t"/>
              <v:fill type="solid"/>
            </v:shape>
            <v:shape style="position:absolute;left:4858;top:4426;width:2192;height:2545" coordorigin="4859,4426" coordsize="2192,2545" path="m5954,4426l4859,5699,5954,6971,7050,5699,5954,4426xe" filled="true" fillcolor="#f0f7f5" stroked="false">
              <v:path arrowok="t"/>
              <v:fill type="solid"/>
            </v:shape>
            <v:shape style="position:absolute;left:4958;top:4541;width:1993;height:2314" coordorigin="4958,4542" coordsize="1993,2314" path="m5954,4542l4958,5699,5954,6855,6951,5699,5954,4542xe" filled="true" fillcolor="#f1f8f6" stroked="false">
              <v:path arrowok="t"/>
              <v:fill type="solid"/>
            </v:shape>
            <v:shape style="position:absolute;left:5057;top:4657;width:1794;height:2083" coordorigin="5058,4658" coordsize="1794,2083" path="m5954,4658l5058,5699,5954,6740,6851,5699,5954,4658xe" filled="true" fillcolor="#f2f8f7" stroked="false">
              <v:path arrowok="t"/>
              <v:fill type="solid"/>
            </v:shape>
            <v:shape style="position:absolute;left:5157;top:4773;width:1594;height:1851" coordorigin="5157,4773" coordsize="1594,1851" path="m5954,4773l5157,5699,5954,6624,6751,5699,5954,4773xe" filled="true" fillcolor="#f3f9f8" stroked="false">
              <v:path arrowok="t"/>
              <v:fill type="solid"/>
            </v:shape>
            <v:shape style="position:absolute;left:5257;top:4888;width:1395;height:1620" coordorigin="5257,4889" coordsize="1395,1620" path="m5954,4889l5257,5699,5954,6508,6652,5699,5954,4889xe" filled="true" fillcolor="#f5f9f8" stroked="false">
              <v:path arrowok="t"/>
              <v:fill type="solid"/>
            </v:shape>
            <v:shape style="position:absolute;left:5356;top:5004;width:1196;height:1389" coordorigin="5357,5005" coordsize="1196,1389" path="m5954,5005l5357,5699,5954,6393,6552,5699,5954,5005xe" filled="true" fillcolor="#f6faf9" stroked="false">
              <v:path arrowok="t"/>
              <v:fill type="solid"/>
            </v:shape>
            <v:shape style="position:absolute;left:5456;top:5120;width:997;height:1157" coordorigin="5456,5120" coordsize="997,1157" path="m5954,5120l5456,5699,5954,6277,6452,5699,5954,5120xe" filled="true" fillcolor="#f8fbfa" stroked="false">
              <v:path arrowok="t"/>
              <v:fill type="solid"/>
            </v:shape>
            <v:shape style="position:absolute;left:5555;top:5235;width:797;height:926" coordorigin="5556,5236" coordsize="797,926" path="m5954,5236l5556,5699,5954,6161,6353,5699,5954,5236xe" filled="true" fillcolor="#f9fcfc" stroked="false">
              <v:path arrowok="t"/>
              <v:fill type="solid"/>
            </v:shape>
            <v:shape style="position:absolute;left:5655;top:5351;width:598;height:695" coordorigin="5656,5352" coordsize="598,695" path="m5954,5352l5656,5699,5954,6046,6253,5699,5954,5352xe" filled="true" fillcolor="#fbfdfd" stroked="false">
              <v:path arrowok="t"/>
              <v:fill type="solid"/>
            </v:shape>
            <v:shape style="position:absolute;left:5755;top:5467;width:399;height:463" coordorigin="5755,5467" coordsize="399,463" path="m5954,5467l5755,5699,5954,5930,6154,5699,5954,5467xe" filled="true" fillcolor="#fdfefe" stroked="false">
              <v:path arrowok="t"/>
              <v:fill type="solid"/>
            </v:shape>
            <v:shape style="position:absolute;left:5854;top:5582;width:200;height:232" coordorigin="5855,5583" coordsize="200,232" path="m5954,5583l5855,5699,5954,5814,6054,5699,5954,5583xe" filled="true" fillcolor="#ffffff" stroked="false">
              <v:path arrowok="t"/>
              <v:fill type="solid"/>
            </v:shape>
            <v:rect style="position:absolute;left:784;top:-307;width:10340;height:12010" filled="false" stroked="true" strokeweight="1pt" strokecolor="#009483">
              <v:stroke dashstyle="solid"/>
            </v:rect>
            <v:rect style="position:absolute;left:1054;top:5273;width:9820;height:5920" filled="true" fillcolor="#ffffff" stroked="false">
              <v:fill type="solid"/>
            </v:rect>
            <v:line style="position:absolute" from="6100,5494" to="10875,5494" stroked="true" strokeweight=".125pt" strokecolor="#000000">
              <v:stroke dashstyle="solid"/>
            </v:line>
            <w10:wrap type="none"/>
          </v:group>
        </w:pict>
      </w:r>
      <w:bookmarkStart w:name="The Working Time Directive" w:id="58"/>
      <w:bookmarkEnd w:id="58"/>
      <w:r>
        <w:rPr/>
      </w:r>
      <w:bookmarkStart w:name="_bookmark20" w:id="59"/>
      <w:bookmarkEnd w:id="59"/>
      <w:r>
        <w:rPr/>
      </w:r>
      <w:r>
        <w:rPr>
          <w:b/>
          <w:color w:val="009483"/>
          <w:sz w:val="28"/>
        </w:rPr>
        <w:t>The Working Time Directive (WTD)</w:t>
      </w:r>
    </w:p>
    <w:p>
      <w:pPr>
        <w:pStyle w:val="BodyText"/>
        <w:rPr>
          <w:b/>
          <w:sz w:val="20"/>
        </w:rPr>
      </w:pPr>
    </w:p>
    <w:p>
      <w:pPr>
        <w:spacing w:after="0"/>
        <w:rPr>
          <w:sz w:val="20"/>
        </w:rPr>
        <w:sectPr>
          <w:headerReference w:type="even" r:id="rId74"/>
          <w:headerReference w:type="default" r:id="rId75"/>
          <w:footerReference w:type="even" r:id="rId76"/>
          <w:footerReference w:type="default" r:id="rId77"/>
          <w:pgSz w:w="11900" w:h="16840"/>
          <w:pgMar w:header="586" w:footer="597" w:top="780" w:bottom="780" w:left="620" w:right="520"/>
          <w:pgNumType w:start="30"/>
        </w:sectPr>
      </w:pPr>
    </w:p>
    <w:p>
      <w:pPr>
        <w:spacing w:line="242" w:lineRule="auto" w:before="218"/>
        <w:ind w:left="434" w:right="33" w:firstLine="0"/>
        <w:jc w:val="left"/>
        <w:rPr>
          <w:sz w:val="24"/>
        </w:rPr>
      </w:pPr>
      <w:r>
        <w:rPr>
          <w:sz w:val="24"/>
        </w:rPr>
        <w:t>The </w:t>
      </w:r>
      <w:r>
        <w:rPr>
          <w:spacing w:val="-3"/>
          <w:sz w:val="24"/>
        </w:rPr>
        <w:t>Working Time </w:t>
      </w:r>
      <w:r>
        <w:rPr>
          <w:sz w:val="24"/>
        </w:rPr>
        <w:t>Directive came into effect </w:t>
      </w:r>
      <w:r>
        <w:rPr>
          <w:spacing w:val="-8"/>
          <w:sz w:val="24"/>
        </w:rPr>
        <w:t>in </w:t>
      </w:r>
      <w:r>
        <w:rPr>
          <w:sz w:val="24"/>
        </w:rPr>
        <w:t>the United Kingdom on 1 October. The main provisions of the Directive and the extent of their potential are summarised in the table </w:t>
      </w:r>
      <w:r>
        <w:rPr>
          <w:spacing w:val="-4"/>
          <w:sz w:val="24"/>
        </w:rPr>
        <w:t>below.</w:t>
      </w:r>
    </w:p>
    <w:p>
      <w:pPr>
        <w:pStyle w:val="BodyText"/>
        <w:spacing w:before="10"/>
        <w:rPr>
          <w:sz w:val="24"/>
        </w:rPr>
      </w:pPr>
    </w:p>
    <w:p>
      <w:pPr>
        <w:spacing w:line="242" w:lineRule="auto" w:before="0"/>
        <w:ind w:left="434" w:right="38" w:firstLine="0"/>
        <w:jc w:val="left"/>
        <w:rPr>
          <w:sz w:val="24"/>
        </w:rPr>
      </w:pPr>
      <w:r>
        <w:rPr>
          <w:sz w:val="24"/>
        </w:rPr>
        <w:t>The Directive contains a number of exemptions and derogations. For instance, self-employed workers and trainee doctors are exempt. And there are derogations in certain industries, which make allowances where there is a need for continuity of production (eg security). The provisions only cover relationships between individual employers and workers. So a worker can, in principle, exceed the maximum hours</w:t>
      </w:r>
      <w:r>
        <w:rPr>
          <w:spacing w:val="-4"/>
          <w:sz w:val="24"/>
        </w:rPr>
        <w:t> </w:t>
      </w:r>
      <w:r>
        <w:rPr>
          <w:spacing w:val="-9"/>
          <w:sz w:val="24"/>
        </w:rPr>
        <w:t>by</w:t>
      </w:r>
    </w:p>
    <w:p>
      <w:pPr>
        <w:spacing w:line="242" w:lineRule="auto" w:before="218"/>
        <w:ind w:left="434" w:right="745" w:firstLine="0"/>
        <w:jc w:val="left"/>
        <w:rPr>
          <w:sz w:val="24"/>
        </w:rPr>
      </w:pPr>
      <w:r>
        <w:rPr/>
        <w:br w:type="column"/>
      </w:r>
      <w:r>
        <w:rPr>
          <w:sz w:val="24"/>
        </w:rPr>
        <w:t>working for more than one employer. According to preliminary estimates from the Department of Trade and Industry,</w:t>
      </w:r>
      <w:r>
        <w:rPr>
          <w:position w:val="5"/>
          <w:sz w:val="16"/>
        </w:rPr>
        <w:t>(1)   </w:t>
      </w:r>
      <w:r>
        <w:rPr>
          <w:sz w:val="24"/>
        </w:rPr>
        <w:t>the main costs to businesses arising from the provisions relate to weekly and daily rest periods and to the annual leave entitlement. The costs arising from the provisions on limiting working time to 48 hours are likely </w:t>
      </w:r>
      <w:r>
        <w:rPr>
          <w:spacing w:val="-8"/>
          <w:sz w:val="24"/>
        </w:rPr>
        <w:t>to </w:t>
      </w:r>
      <w:r>
        <w:rPr>
          <w:sz w:val="24"/>
        </w:rPr>
        <w:t>be small, as it affects a small proportion of </w:t>
      </w:r>
      <w:r>
        <w:rPr>
          <w:spacing w:val="-6"/>
          <w:sz w:val="24"/>
        </w:rPr>
        <w:t>the </w:t>
      </w:r>
      <w:r>
        <w:rPr>
          <w:sz w:val="24"/>
        </w:rPr>
        <w:t>labour force and many individuals can voluntarily </w:t>
      </w:r>
      <w:r>
        <w:rPr>
          <w:spacing w:val="-3"/>
          <w:sz w:val="24"/>
        </w:rPr>
        <w:t>waive </w:t>
      </w:r>
      <w:r>
        <w:rPr>
          <w:sz w:val="24"/>
        </w:rPr>
        <w:t>this limit. But there is uncertainty around estimates of direct cost, because some employers may </w:t>
      </w:r>
      <w:r>
        <w:rPr>
          <w:spacing w:val="-3"/>
          <w:sz w:val="24"/>
        </w:rPr>
        <w:t>have</w:t>
      </w:r>
      <w:r>
        <w:rPr>
          <w:sz w:val="24"/>
        </w:rPr>
        <w:t> already</w:t>
      </w:r>
    </w:p>
    <w:p>
      <w:pPr>
        <w:spacing w:line="242" w:lineRule="auto" w:before="16"/>
        <w:ind w:left="434" w:right="549" w:firstLine="0"/>
        <w:jc w:val="left"/>
        <w:rPr>
          <w:sz w:val="24"/>
        </w:rPr>
      </w:pPr>
      <w:r>
        <w:rPr>
          <w:sz w:val="24"/>
        </w:rPr>
        <w:t>anticipated the Directive and the precise extent of derogation is unclear.</w:t>
      </w:r>
    </w:p>
    <w:p>
      <w:pPr>
        <w:spacing w:after="0" w:line="242" w:lineRule="auto"/>
        <w:jc w:val="left"/>
        <w:rPr>
          <w:sz w:val="24"/>
        </w:rPr>
        <w:sectPr>
          <w:type w:val="continuous"/>
          <w:pgSz w:w="11900" w:h="16840"/>
          <w:pgMar w:top="1220" w:bottom="280" w:left="620" w:right="520"/>
          <w:cols w:num="2" w:equalWidth="0">
            <w:col w:w="5090" w:space="40"/>
            <w:col w:w="5630"/>
          </w:cols>
        </w:sectPr>
      </w:pPr>
    </w:p>
    <w:p>
      <w:pPr>
        <w:pStyle w:val="BodyText"/>
        <w:spacing w:before="4"/>
        <w:rPr>
          <w:sz w:val="9"/>
        </w:rPr>
      </w:pPr>
    </w:p>
    <w:p>
      <w:pPr>
        <w:tabs>
          <w:tab w:pos="5214" w:val="left" w:leader="none"/>
          <w:tab w:pos="5484" w:val="left" w:leader="none"/>
        </w:tabs>
        <w:spacing w:before="97"/>
        <w:ind w:left="415" w:right="0" w:firstLine="0"/>
        <w:jc w:val="left"/>
        <w:rPr>
          <w:sz w:val="16"/>
        </w:rPr>
      </w:pPr>
      <w:r>
        <w:rPr>
          <w:b/>
          <w:spacing w:val="-11"/>
          <w:sz w:val="20"/>
          <w:u w:val="single"/>
        </w:rPr>
        <w:t> </w:t>
      </w:r>
      <w:r>
        <w:rPr>
          <w:b/>
          <w:sz w:val="20"/>
          <w:u w:val="single"/>
        </w:rPr>
        <w:t>Provision</w:t>
        <w:tab/>
      </w:r>
      <w:r>
        <w:rPr>
          <w:b/>
          <w:sz w:val="20"/>
        </w:rPr>
        <w:tab/>
        <w:t>Affected</w:t>
      </w:r>
      <w:r>
        <w:rPr>
          <w:b/>
          <w:spacing w:val="-1"/>
          <w:sz w:val="20"/>
        </w:rPr>
        <w:t> </w:t>
      </w:r>
      <w:r>
        <w:rPr>
          <w:b/>
          <w:sz w:val="20"/>
        </w:rPr>
        <w:t>workers</w:t>
      </w:r>
      <w:r>
        <w:rPr>
          <w:position w:val="5"/>
          <w:sz w:val="16"/>
        </w:rPr>
        <w:t>(1)</w:t>
      </w:r>
    </w:p>
    <w:p>
      <w:pPr>
        <w:pStyle w:val="BodyText"/>
        <w:spacing w:before="8"/>
        <w:rPr>
          <w:sz w:val="13"/>
        </w:rPr>
      </w:pPr>
    </w:p>
    <w:p>
      <w:pPr>
        <w:spacing w:after="0"/>
        <w:rPr>
          <w:sz w:val="13"/>
        </w:rPr>
        <w:sectPr>
          <w:type w:val="continuous"/>
          <w:pgSz w:w="11900" w:h="16840"/>
          <w:pgMar w:top="1220" w:bottom="280" w:left="620" w:right="520"/>
        </w:sectPr>
      </w:pPr>
    </w:p>
    <w:p>
      <w:pPr>
        <w:pStyle w:val="Heading8"/>
        <w:spacing w:line="249" w:lineRule="auto" w:before="92"/>
        <w:ind w:left="454" w:right="20"/>
      </w:pPr>
      <w:r>
        <w:rPr/>
        <w:t>No worker is to work more than a 48-hour week on average.</w:t>
      </w:r>
    </w:p>
    <w:p>
      <w:pPr>
        <w:spacing w:line="249" w:lineRule="auto" w:before="92"/>
        <w:ind w:left="454" w:right="890" w:firstLine="0"/>
        <w:jc w:val="left"/>
        <w:rPr>
          <w:sz w:val="20"/>
        </w:rPr>
      </w:pPr>
      <w:r>
        <w:rPr/>
        <w:br w:type="column"/>
      </w:r>
      <w:r>
        <w:rPr>
          <w:sz w:val="20"/>
        </w:rPr>
        <w:t>11.7% of employees (2.7 million employees) ‘usually’ work more than 48 hours per week.</w:t>
      </w:r>
    </w:p>
    <w:p>
      <w:pPr>
        <w:spacing w:after="0" w:line="249" w:lineRule="auto"/>
        <w:jc w:val="left"/>
        <w:rPr>
          <w:sz w:val="20"/>
        </w:rPr>
        <w:sectPr>
          <w:type w:val="continuous"/>
          <w:pgSz w:w="11900" w:h="16840"/>
          <w:pgMar w:top="1220" w:bottom="280" w:left="620" w:right="520"/>
          <w:cols w:num="2" w:equalWidth="0">
            <w:col w:w="4605" w:space="425"/>
            <w:col w:w="5730"/>
          </w:cols>
        </w:sectPr>
      </w:pPr>
    </w:p>
    <w:p>
      <w:pPr>
        <w:pStyle w:val="BodyText"/>
        <w:spacing w:before="1"/>
        <w:rPr>
          <w:sz w:val="13"/>
        </w:rPr>
      </w:pPr>
    </w:p>
    <w:p>
      <w:pPr>
        <w:spacing w:after="0"/>
        <w:rPr>
          <w:sz w:val="13"/>
        </w:rPr>
        <w:sectPr>
          <w:type w:val="continuous"/>
          <w:pgSz w:w="11900" w:h="16840"/>
          <w:pgMar w:top="1220" w:bottom="280" w:left="620" w:right="520"/>
        </w:sectPr>
      </w:pPr>
    </w:p>
    <w:p>
      <w:pPr>
        <w:spacing w:line="249" w:lineRule="auto" w:before="91"/>
        <w:ind w:left="454" w:right="53" w:firstLine="0"/>
        <w:jc w:val="left"/>
        <w:rPr>
          <w:sz w:val="20"/>
        </w:rPr>
      </w:pPr>
      <w:r>
        <w:rPr>
          <w:sz w:val="20"/>
        </w:rPr>
        <w:t>Every worker must have at least one day’s leave per week (two days for 16–18 year olds).</w:t>
      </w:r>
    </w:p>
    <w:p>
      <w:pPr>
        <w:pStyle w:val="BodyText"/>
        <w:rPr>
          <w:sz w:val="21"/>
        </w:rPr>
      </w:pPr>
    </w:p>
    <w:p>
      <w:pPr>
        <w:spacing w:line="249" w:lineRule="auto" w:before="0"/>
        <w:ind w:left="454" w:right="-20" w:firstLine="0"/>
        <w:jc w:val="left"/>
        <w:rPr>
          <w:sz w:val="20"/>
        </w:rPr>
      </w:pPr>
      <w:r>
        <w:rPr>
          <w:sz w:val="20"/>
        </w:rPr>
        <w:t>Every worker must have 11 consecutive hours break out of each 24 (12 hours for 16–18 year olds).</w:t>
      </w:r>
    </w:p>
    <w:p>
      <w:pPr>
        <w:spacing w:before="91"/>
        <w:ind w:left="275" w:right="0" w:firstLine="0"/>
        <w:jc w:val="left"/>
        <w:rPr>
          <w:sz w:val="20"/>
        </w:rPr>
      </w:pPr>
      <w:r>
        <w:rPr/>
        <w:br w:type="column"/>
      </w:r>
      <w:r>
        <w:rPr>
          <w:sz w:val="20"/>
        </w:rPr>
        <w:t>3.3% of total employees work seven days a week.</w:t>
      </w:r>
    </w:p>
    <w:p>
      <w:pPr>
        <w:pStyle w:val="BodyText"/>
        <w:rPr>
          <w:sz w:val="22"/>
        </w:rPr>
      </w:pPr>
    </w:p>
    <w:p>
      <w:pPr>
        <w:pStyle w:val="BodyText"/>
        <w:spacing w:before="7"/>
        <w:rPr>
          <w:sz w:val="20"/>
        </w:rPr>
      </w:pPr>
    </w:p>
    <w:p>
      <w:pPr>
        <w:pStyle w:val="ListParagraph"/>
        <w:numPr>
          <w:ilvl w:val="1"/>
          <w:numId w:val="24"/>
        </w:numPr>
        <w:tabs>
          <w:tab w:pos="527" w:val="left" w:leader="none"/>
        </w:tabs>
        <w:spacing w:line="249" w:lineRule="auto" w:before="0" w:after="0"/>
        <w:ind w:left="274" w:right="668" w:firstLine="0"/>
        <w:jc w:val="left"/>
        <w:rPr>
          <w:sz w:val="20"/>
        </w:rPr>
      </w:pPr>
      <w:r>
        <w:rPr>
          <w:sz w:val="20"/>
        </w:rPr>
        <w:t>% of total employees (1.2 million) work for more </w:t>
      </w:r>
      <w:r>
        <w:rPr>
          <w:spacing w:val="-5"/>
          <w:sz w:val="20"/>
        </w:rPr>
        <w:t>than </w:t>
      </w:r>
      <w:r>
        <w:rPr>
          <w:sz w:val="20"/>
        </w:rPr>
        <w:t>13 hours on at least one day per week, and so do not get 11 hours’ daily rest.</w:t>
      </w:r>
    </w:p>
    <w:p>
      <w:pPr>
        <w:spacing w:after="0" w:line="249" w:lineRule="auto"/>
        <w:jc w:val="left"/>
        <w:rPr>
          <w:sz w:val="20"/>
        </w:rPr>
        <w:sectPr>
          <w:type w:val="continuous"/>
          <w:pgSz w:w="11900" w:h="16840"/>
          <w:pgMar w:top="1220" w:bottom="280" w:left="620" w:right="520"/>
          <w:cols w:num="2" w:equalWidth="0">
            <w:col w:w="5170" w:space="40"/>
            <w:col w:w="5550"/>
          </w:cols>
        </w:sectPr>
      </w:pPr>
    </w:p>
    <w:p>
      <w:pPr>
        <w:pStyle w:val="BodyText"/>
        <w:spacing w:before="2"/>
        <w:rPr>
          <w:sz w:val="13"/>
        </w:rPr>
      </w:pPr>
    </w:p>
    <w:p>
      <w:pPr>
        <w:spacing w:after="0"/>
        <w:rPr>
          <w:sz w:val="13"/>
        </w:rPr>
        <w:sectPr>
          <w:type w:val="continuous"/>
          <w:pgSz w:w="11900" w:h="16840"/>
          <w:pgMar w:top="1220" w:bottom="280" w:left="620" w:right="520"/>
        </w:sectPr>
      </w:pPr>
    </w:p>
    <w:p>
      <w:pPr>
        <w:spacing w:line="249" w:lineRule="auto" w:before="91"/>
        <w:ind w:left="454" w:right="0" w:firstLine="0"/>
        <w:jc w:val="left"/>
        <w:rPr>
          <w:sz w:val="20"/>
        </w:rPr>
      </w:pPr>
      <w:r>
        <w:rPr>
          <w:sz w:val="20"/>
        </w:rPr>
        <w:t>Adult workers must have a 20-minute break if their </w:t>
      </w:r>
      <w:r>
        <w:rPr>
          <w:spacing w:val="-3"/>
          <w:sz w:val="20"/>
        </w:rPr>
        <w:t>working </w:t>
      </w:r>
      <w:r>
        <w:rPr>
          <w:sz w:val="20"/>
        </w:rPr>
        <w:t>day is longer than 6 hours (30-minute minimum for</w:t>
      </w:r>
    </w:p>
    <w:p>
      <w:pPr>
        <w:spacing w:before="2"/>
        <w:ind w:left="454" w:right="0" w:firstLine="0"/>
        <w:jc w:val="left"/>
        <w:rPr>
          <w:sz w:val="20"/>
        </w:rPr>
      </w:pPr>
      <w:r>
        <w:rPr>
          <w:sz w:val="20"/>
        </w:rPr>
        <w:t>16–18 year olds working more than a 4.5-hour day).</w:t>
      </w:r>
    </w:p>
    <w:p>
      <w:pPr>
        <w:pStyle w:val="BodyText"/>
        <w:spacing w:before="8"/>
        <w:rPr>
          <w:sz w:val="21"/>
        </w:rPr>
      </w:pPr>
    </w:p>
    <w:p>
      <w:pPr>
        <w:spacing w:line="249" w:lineRule="auto" w:before="0"/>
        <w:ind w:left="454" w:right="324" w:firstLine="0"/>
        <w:jc w:val="left"/>
        <w:rPr>
          <w:sz w:val="20"/>
        </w:rPr>
      </w:pPr>
      <w:r>
        <w:rPr>
          <w:sz w:val="20"/>
        </w:rPr>
        <w:t>Workers must have a minimum of 3 weeks’ paid annual leave, rising to 4 weeks in 1999.</w:t>
      </w:r>
    </w:p>
    <w:p>
      <w:pPr>
        <w:spacing w:line="249" w:lineRule="auto" w:before="91"/>
        <w:ind w:left="163" w:right="967" w:firstLine="0"/>
        <w:jc w:val="left"/>
        <w:rPr>
          <w:sz w:val="20"/>
        </w:rPr>
      </w:pPr>
      <w:r>
        <w:rPr/>
        <w:br w:type="column"/>
      </w:r>
      <w:r>
        <w:rPr>
          <w:sz w:val="20"/>
        </w:rPr>
        <w:t>Some 107,000 adult workers typically work in excess of 78 hours per week.</w:t>
      </w:r>
    </w:p>
    <w:p>
      <w:pPr>
        <w:pStyle w:val="BodyText"/>
        <w:rPr>
          <w:sz w:val="22"/>
        </w:rPr>
      </w:pPr>
    </w:p>
    <w:p>
      <w:pPr>
        <w:pStyle w:val="BodyText"/>
        <w:spacing w:before="10"/>
        <w:rPr>
          <w:sz w:val="19"/>
        </w:rPr>
      </w:pPr>
    </w:p>
    <w:p>
      <w:pPr>
        <w:spacing w:line="249" w:lineRule="auto" w:before="0"/>
        <w:ind w:left="163" w:right="896" w:firstLine="0"/>
        <w:jc w:val="left"/>
        <w:rPr>
          <w:sz w:val="20"/>
        </w:rPr>
      </w:pPr>
      <w:r>
        <w:rPr>
          <w:sz w:val="20"/>
        </w:rPr>
        <w:t>11% of total employees (2.5 million) have annual paid leave entitlement of fewer than 3 weeks.</w:t>
      </w:r>
    </w:p>
    <w:p>
      <w:pPr>
        <w:spacing w:after="0" w:line="249" w:lineRule="auto"/>
        <w:jc w:val="left"/>
        <w:rPr>
          <w:sz w:val="20"/>
        </w:rPr>
        <w:sectPr>
          <w:type w:val="continuous"/>
          <w:pgSz w:w="11900" w:h="16840"/>
          <w:pgMar w:top="1220" w:bottom="280" w:left="620" w:right="520"/>
          <w:cols w:num="2" w:equalWidth="0">
            <w:col w:w="5281" w:space="40"/>
            <w:col w:w="5439"/>
          </w:cols>
        </w:sectPr>
      </w:pPr>
    </w:p>
    <w:p>
      <w:pPr>
        <w:pStyle w:val="BodyText"/>
        <w:spacing w:before="1"/>
        <w:rPr>
          <w:sz w:val="13"/>
        </w:rPr>
      </w:pPr>
    </w:p>
    <w:p>
      <w:pPr>
        <w:spacing w:after="0"/>
        <w:rPr>
          <w:sz w:val="13"/>
        </w:rPr>
        <w:sectPr>
          <w:type w:val="continuous"/>
          <w:pgSz w:w="11900" w:h="16840"/>
          <w:pgMar w:top="1220" w:bottom="280" w:left="620" w:right="520"/>
        </w:sectPr>
      </w:pPr>
    </w:p>
    <w:p>
      <w:pPr>
        <w:spacing w:line="249" w:lineRule="auto" w:before="92"/>
        <w:ind w:left="454" w:right="-19" w:firstLine="0"/>
        <w:jc w:val="left"/>
        <w:rPr>
          <w:sz w:val="20"/>
        </w:rPr>
      </w:pPr>
      <w:r>
        <w:rPr>
          <w:sz w:val="20"/>
        </w:rPr>
        <w:t>Night workers must work only 8 hours, on average, out of each 24.</w:t>
      </w:r>
    </w:p>
    <w:p>
      <w:pPr>
        <w:spacing w:line="249" w:lineRule="auto" w:before="92"/>
        <w:ind w:left="346" w:right="550" w:firstLine="0"/>
        <w:jc w:val="left"/>
        <w:rPr>
          <w:sz w:val="20"/>
        </w:rPr>
      </w:pPr>
      <w:r>
        <w:rPr/>
        <w:br w:type="column"/>
      </w:r>
      <w:r>
        <w:rPr>
          <w:sz w:val="20"/>
        </w:rPr>
        <w:t>250,000 night workers regularly work more than 48 hours per week and could fall within the scope of this regulation.</w:t>
      </w:r>
    </w:p>
    <w:p>
      <w:pPr>
        <w:spacing w:after="0" w:line="249" w:lineRule="auto"/>
        <w:jc w:val="left"/>
        <w:rPr>
          <w:sz w:val="20"/>
        </w:rPr>
        <w:sectPr>
          <w:type w:val="continuous"/>
          <w:pgSz w:w="11900" w:h="16840"/>
          <w:pgMar w:top="1220" w:bottom="280" w:left="620" w:right="520"/>
          <w:cols w:num="2" w:equalWidth="0">
            <w:col w:w="5099" w:space="40"/>
            <w:col w:w="5621"/>
          </w:cols>
        </w:sectPr>
      </w:pPr>
    </w:p>
    <w:p>
      <w:pPr>
        <w:pStyle w:val="BodyText"/>
        <w:rPr>
          <w:sz w:val="13"/>
        </w:rPr>
      </w:pPr>
    </w:p>
    <w:p>
      <w:pPr>
        <w:spacing w:after="0"/>
        <w:rPr>
          <w:sz w:val="13"/>
        </w:rPr>
        <w:sectPr>
          <w:type w:val="continuous"/>
          <w:pgSz w:w="11900" w:h="16840"/>
          <w:pgMar w:top="1220" w:bottom="280" w:left="620" w:right="520"/>
        </w:sectPr>
      </w:pPr>
    </w:p>
    <w:p>
      <w:pPr>
        <w:spacing w:line="249" w:lineRule="auto" w:before="92"/>
        <w:ind w:left="454" w:right="-20" w:firstLine="0"/>
        <w:jc w:val="left"/>
        <w:rPr>
          <w:sz w:val="20"/>
        </w:rPr>
      </w:pPr>
      <w:r>
        <w:rPr>
          <w:sz w:val="20"/>
        </w:rPr>
        <w:t>Night workers have the right to a health assessment, paid by the employer.</w:t>
      </w:r>
    </w:p>
    <w:p>
      <w:pPr>
        <w:pStyle w:val="BodyText"/>
        <w:spacing w:before="10"/>
        <w:rPr>
          <w:sz w:val="17"/>
        </w:rPr>
      </w:pPr>
    </w:p>
    <w:p>
      <w:pPr>
        <w:pStyle w:val="ListParagraph"/>
        <w:numPr>
          <w:ilvl w:val="2"/>
          <w:numId w:val="24"/>
        </w:numPr>
        <w:tabs>
          <w:tab w:pos="675" w:val="left" w:leader="none"/>
        </w:tabs>
        <w:spacing w:line="240" w:lineRule="auto" w:before="0" w:after="0"/>
        <w:ind w:left="674" w:right="0" w:hanging="241"/>
        <w:jc w:val="left"/>
        <w:rPr>
          <w:sz w:val="16"/>
        </w:rPr>
      </w:pPr>
      <w:r>
        <w:rPr>
          <w:sz w:val="16"/>
        </w:rPr>
        <w:t>Sources: LFS Spring 1997 Surveys and DTI (1998), </w:t>
      </w:r>
      <w:r>
        <w:rPr>
          <w:i/>
          <w:sz w:val="16"/>
        </w:rPr>
        <w:t>op</w:t>
      </w:r>
      <w:r>
        <w:rPr>
          <w:i/>
          <w:spacing w:val="-1"/>
          <w:sz w:val="16"/>
        </w:rPr>
        <w:t> </w:t>
      </w:r>
      <w:r>
        <w:rPr>
          <w:i/>
          <w:sz w:val="16"/>
        </w:rPr>
        <w:t>cit</w:t>
      </w:r>
      <w:r>
        <w:rPr>
          <w:sz w:val="16"/>
        </w:rPr>
        <w:t>.</w:t>
      </w:r>
    </w:p>
    <w:p>
      <w:pPr>
        <w:pStyle w:val="Heading8"/>
        <w:spacing w:before="92"/>
        <w:ind w:left="425"/>
      </w:pPr>
      <w:r>
        <w:rPr/>
        <w:br w:type="column"/>
      </w:r>
      <w:r>
        <w:rPr/>
        <w:t>Some 5 million workers are involved in working at night.</w:t>
      </w:r>
    </w:p>
    <w:p>
      <w:pPr>
        <w:spacing w:after="0"/>
        <w:sectPr>
          <w:type w:val="continuous"/>
          <w:pgSz w:w="11900" w:h="16840"/>
          <w:pgMar w:top="1220" w:bottom="280" w:left="620" w:right="520"/>
          <w:cols w:num="2" w:equalWidth="0">
            <w:col w:w="5020" w:space="40"/>
            <w:col w:w="5700"/>
          </w:cols>
        </w:sectPr>
      </w:pPr>
    </w:p>
    <w:p>
      <w:pPr>
        <w:pStyle w:val="BodyText"/>
        <w:rPr>
          <w:sz w:val="20"/>
        </w:rPr>
      </w:pPr>
    </w:p>
    <w:p>
      <w:pPr>
        <w:pStyle w:val="BodyText"/>
        <w:spacing w:before="2"/>
        <w:rPr>
          <w:sz w:val="24"/>
        </w:rPr>
      </w:pPr>
    </w:p>
    <w:p>
      <w:pPr>
        <w:spacing w:line="242" w:lineRule="auto" w:before="90"/>
        <w:ind w:left="4979" w:right="469" w:firstLine="0"/>
        <w:jc w:val="left"/>
        <w:rPr>
          <w:sz w:val="24"/>
        </w:rPr>
      </w:pPr>
      <w:r>
        <w:rPr>
          <w:sz w:val="24"/>
        </w:rPr>
        <w:t>The box above describes the main features of the Working Time Directive (WTD). The DTI has suggested that the maximum direct effect of the policy would be to increase the annual whole-economy wage bill by some 0.5%.</w:t>
      </w:r>
      <w:r>
        <w:rPr>
          <w:position w:val="5"/>
          <w:sz w:val="16"/>
        </w:rPr>
        <w:t>(1) </w:t>
      </w:r>
      <w:r>
        <w:rPr>
          <w:sz w:val="24"/>
        </w:rPr>
        <w:t>The Bank’s regional Agencies report that a number of their contacts in sectors such as</w:t>
      </w:r>
    </w:p>
    <w:p>
      <w:pPr>
        <w:pStyle w:val="BodyText"/>
        <w:spacing w:before="1"/>
        <w:rPr>
          <w:sz w:val="21"/>
        </w:rPr>
      </w:pPr>
      <w:r>
        <w:rPr/>
        <w:pict>
          <v:shape style="position:absolute;margin-left:279pt;margin-top:14.198916pt;width:277.75pt;height:.1pt;mso-position-horizontal-relative:page;mso-position-vertical-relative:paragraph;z-index:-15461376;mso-wrap-distance-left:0;mso-wrap-distance-right:0" coordorigin="5580,284" coordsize="5555,0" path="m5580,284l11135,284e" filled="false" stroked="true" strokeweight=".125pt" strokecolor="#000000">
            <v:path arrowok="t"/>
            <v:stroke dashstyle="solid"/>
            <w10:wrap type="topAndBottom"/>
          </v:shape>
        </w:pict>
      </w:r>
    </w:p>
    <w:p>
      <w:pPr>
        <w:pStyle w:val="ListParagraph"/>
        <w:numPr>
          <w:ilvl w:val="3"/>
          <w:numId w:val="24"/>
        </w:numPr>
        <w:tabs>
          <w:tab w:pos="5230" w:val="left" w:leader="none"/>
        </w:tabs>
        <w:spacing w:line="208" w:lineRule="auto" w:before="0" w:after="0"/>
        <w:ind w:left="5229" w:right="947" w:hanging="240"/>
        <w:jc w:val="left"/>
        <w:rPr>
          <w:sz w:val="16"/>
        </w:rPr>
      </w:pPr>
      <w:r>
        <w:rPr>
          <w:sz w:val="16"/>
        </w:rPr>
        <w:t>‘Measures to Implement Provisions of the Working Time Directive </w:t>
      </w:r>
      <w:r>
        <w:rPr>
          <w:spacing w:val="-6"/>
          <w:sz w:val="16"/>
        </w:rPr>
        <w:t>and </w:t>
      </w:r>
      <w:r>
        <w:rPr>
          <w:sz w:val="16"/>
        </w:rPr>
        <w:t>the Young Workers Directive’, Employment Relations Directorate, </w:t>
      </w:r>
      <w:r>
        <w:rPr>
          <w:i/>
          <w:sz w:val="16"/>
        </w:rPr>
        <w:t>Department of Trade and Industry</w:t>
      </w:r>
      <w:r>
        <w:rPr>
          <w:sz w:val="16"/>
        </w:rPr>
        <w:t>, April</w:t>
      </w:r>
      <w:r>
        <w:rPr>
          <w:spacing w:val="-1"/>
          <w:sz w:val="16"/>
        </w:rPr>
        <w:t> </w:t>
      </w:r>
      <w:r>
        <w:rPr>
          <w:sz w:val="16"/>
        </w:rPr>
        <w:t>1998.</w:t>
      </w:r>
    </w:p>
    <w:p>
      <w:pPr>
        <w:spacing w:after="0" w:line="208" w:lineRule="auto"/>
        <w:jc w:val="left"/>
        <w:rPr>
          <w:sz w:val="16"/>
        </w:rPr>
        <w:sectPr>
          <w:type w:val="continuous"/>
          <w:pgSz w:w="11900" w:h="16840"/>
          <w:pgMar w:top="1220" w:bottom="280" w:left="620" w:right="520"/>
        </w:sectPr>
      </w:pPr>
    </w:p>
    <w:p>
      <w:pPr>
        <w:pStyle w:val="BodyText"/>
        <w:rPr>
          <w:sz w:val="20"/>
        </w:rPr>
      </w:pPr>
    </w:p>
    <w:p>
      <w:pPr>
        <w:pStyle w:val="Heading4"/>
        <w:spacing w:line="242" w:lineRule="auto" w:before="207"/>
        <w:ind w:left="4960" w:right="288"/>
      </w:pPr>
      <w:bookmarkStart w:name="Summary" w:id="60"/>
      <w:bookmarkEnd w:id="60"/>
      <w:r>
        <w:rPr/>
      </w:r>
      <w:bookmarkStart w:name="_bookmark21" w:id="61"/>
      <w:bookmarkEnd w:id="61"/>
      <w:r>
        <w:rPr/>
      </w:r>
      <w:r>
        <w:rPr/>
        <w:t>construction expect to face increased wage bills due to more generous holiday entitlements. The effects of the WTD should be considered alongside other Government measures affecting the labour market. The MPC judges that the risks to inflation from the WTD are on the upside, relative to the central case, and this is reflected in an upward skew to the inflation projection.</w:t>
      </w:r>
    </w:p>
    <w:p>
      <w:pPr>
        <w:pStyle w:val="BodyText"/>
        <w:spacing w:before="5"/>
        <w:rPr>
          <w:sz w:val="19"/>
        </w:rPr>
      </w:pPr>
    </w:p>
    <w:p>
      <w:pPr>
        <w:tabs>
          <w:tab w:pos="9057" w:val="left" w:leader="none"/>
          <w:tab w:pos="10479" w:val="left" w:leader="none"/>
        </w:tabs>
        <w:spacing w:before="88"/>
        <w:ind w:left="4960" w:right="0" w:firstLine="0"/>
        <w:jc w:val="left"/>
        <w:rPr>
          <w:b/>
          <w:sz w:val="28"/>
        </w:rPr>
      </w:pPr>
      <w:r>
        <w:rPr>
          <w:b/>
          <w:color w:val="009483"/>
          <w:sz w:val="28"/>
          <w:u w:val="thick" w:color="0093C1"/>
        </w:rPr>
        <w:t>3.4</w:t>
        <w:tab/>
        <w:t>Summary</w:t>
        <w:tab/>
      </w:r>
    </w:p>
    <w:p>
      <w:pPr>
        <w:spacing w:line="242" w:lineRule="auto" w:before="264"/>
        <w:ind w:left="4960" w:right="281" w:firstLine="0"/>
        <w:jc w:val="left"/>
        <w:rPr>
          <w:sz w:val="24"/>
        </w:rPr>
      </w:pPr>
      <w:r>
        <w:rPr>
          <w:sz w:val="24"/>
        </w:rPr>
        <w:t>According to the latest AEI series, headline earnings growth slowed in </w:t>
      </w:r>
      <w:r>
        <w:rPr>
          <w:spacing w:val="-4"/>
          <w:sz w:val="24"/>
        </w:rPr>
        <w:t>July, </w:t>
      </w:r>
      <w:r>
        <w:rPr>
          <w:sz w:val="24"/>
        </w:rPr>
        <w:t>largely reflecting a moderation in regular </w:t>
      </w:r>
      <w:r>
        <w:rPr>
          <w:spacing w:val="-4"/>
          <w:sz w:val="24"/>
        </w:rPr>
        <w:t>pay. </w:t>
      </w:r>
      <w:r>
        <w:rPr>
          <w:sz w:val="24"/>
        </w:rPr>
        <w:t>Recent revisions and the rebasing of the </w:t>
      </w:r>
      <w:r>
        <w:rPr>
          <w:spacing w:val="-4"/>
          <w:sz w:val="24"/>
        </w:rPr>
        <w:t>Average </w:t>
      </w:r>
      <w:r>
        <w:rPr>
          <w:sz w:val="24"/>
        </w:rPr>
        <w:t>Earnings Index </w:t>
      </w:r>
      <w:r>
        <w:rPr>
          <w:spacing w:val="-3"/>
          <w:sz w:val="24"/>
        </w:rPr>
        <w:t>have </w:t>
      </w:r>
      <w:r>
        <w:rPr>
          <w:sz w:val="24"/>
        </w:rPr>
        <w:t>significantly altered the profile and behaviour of nominal earnings growth. They suggest that earnings growth slowed markedly during 1997, before picking up again in the spring of 1998. But the latest official earnings data are difficult to reconcile with other information on the state of the labour market, including the upward trend in wage settlements and other measures of nominal wage growth. On 2 November, the ONS announced that it was suspending publication of </w:t>
      </w:r>
      <w:r>
        <w:rPr>
          <w:spacing w:val="-6"/>
          <w:sz w:val="24"/>
        </w:rPr>
        <w:t>the </w:t>
      </w:r>
      <w:r>
        <w:rPr>
          <w:spacing w:val="-4"/>
          <w:sz w:val="24"/>
        </w:rPr>
        <w:t>Average </w:t>
      </w:r>
      <w:r>
        <w:rPr>
          <w:sz w:val="24"/>
        </w:rPr>
        <w:t>Earnings Index, pending the outcome of an independent review of the series announced by the Chancellor.  So there is more uncertainty than usual about the news on earnings growth since August, and the appropriate starting-point for use in the inflation projection.</w:t>
      </w:r>
    </w:p>
    <w:p>
      <w:pPr>
        <w:pStyle w:val="BodyText"/>
        <w:spacing w:before="4"/>
        <w:rPr>
          <w:sz w:val="26"/>
        </w:rPr>
      </w:pPr>
    </w:p>
    <w:p>
      <w:pPr>
        <w:spacing w:line="242" w:lineRule="auto" w:before="0"/>
        <w:ind w:left="4960" w:right="400" w:firstLine="0"/>
        <w:jc w:val="left"/>
        <w:rPr>
          <w:sz w:val="24"/>
        </w:rPr>
      </w:pPr>
      <w:r>
        <w:rPr>
          <w:sz w:val="24"/>
        </w:rPr>
        <w:t>The labour market remains tight. The LFS measure of unemployment was 6.3% in the three months to August. Claimant-count and short-term unemployment also remain very low by recent historical standards. Survey evidence suggests that employment intentions remain reasonably robust, but are now pointing to a moderation in labour demand. So labour market tightening may have come to an end. The expected slowdown in output growth is also likely to reduce the degree of labour market tightness. These factors should help to lessen inflationary pressures from the labour market over the next two years.</w:t>
      </w:r>
    </w:p>
    <w:p>
      <w:pPr>
        <w:spacing w:after="0" w:line="242" w:lineRule="auto"/>
        <w:jc w:val="left"/>
        <w:rPr>
          <w:sz w:val="24"/>
        </w:rPr>
        <w:sectPr>
          <w:pgSz w:w="11900" w:h="16840"/>
          <w:pgMar w:header="586" w:footer="617" w:top="780" w:bottom="800" w:left="620" w:right="520"/>
        </w:sectPr>
      </w:pPr>
    </w:p>
    <w:p>
      <w:pPr>
        <w:pStyle w:val="BodyText"/>
        <w:spacing w:line="20" w:lineRule="exact"/>
        <w:ind w:left="158"/>
        <w:rPr>
          <w:sz w:val="2"/>
        </w:rPr>
      </w:pPr>
      <w:r>
        <w:rPr>
          <w:sz w:val="2"/>
        </w:rPr>
        <w:pict>
          <v:group style="width:517pt;height:.15pt;mso-position-horizontal-relative:char;mso-position-vertical-relative:line" coordorigin="0,0" coordsize="10340,3">
            <v:line style="position:absolute" from="0,1" to="10340,1" stroked="true" strokeweight=".125pt" strokecolor="#000000">
              <v:stroke dashstyle="solid"/>
            </v:line>
          </v:group>
        </w:pict>
      </w:r>
      <w:r>
        <w:rPr>
          <w:sz w:val="2"/>
        </w:rPr>
      </w:r>
    </w:p>
    <w:p>
      <w:pPr>
        <w:pStyle w:val="BodyText"/>
        <w:rPr>
          <w:sz w:val="20"/>
        </w:rPr>
      </w:pPr>
    </w:p>
    <w:p>
      <w:pPr>
        <w:pStyle w:val="BodyText"/>
        <w:spacing w:before="5"/>
        <w:rPr>
          <w:sz w:val="17"/>
        </w:rPr>
      </w:pPr>
      <w:r>
        <w:rPr/>
        <w:pict>
          <v:group style="position:absolute;margin-left:40.090pt;margin-top:12.000977pt;width:516pt;height:48pt;mso-position-horizontal-relative:page;mso-position-vertical-relative:paragraph;z-index:-15458816;mso-wrap-distance-left:0;mso-wrap-distance-right:0" coordorigin="802,240" coordsize="10320,960">
            <v:rect style="position:absolute;left:801;top:240;width:10320;height:960" filled="true" fillcolor="#b5dad6" stroked="false">
              <v:fill type="solid"/>
            </v:rect>
            <v:shape style="position:absolute;left:1061;top:321;width:380;height:798" type="#_x0000_t202" filled="false" stroked="false">
              <v:textbox inset="0,0,0,0">
                <w:txbxContent>
                  <w:p>
                    <w:pPr>
                      <w:spacing w:line="797" w:lineRule="exact" w:before="0"/>
                      <w:ind w:left="0" w:right="0" w:firstLine="0"/>
                      <w:jc w:val="left"/>
                      <w:rPr>
                        <w:b/>
                        <w:sz w:val="72"/>
                      </w:rPr>
                    </w:pPr>
                    <w:bookmarkStart w:name="Costs and prices" w:id="62"/>
                    <w:bookmarkEnd w:id="62"/>
                    <w:r>
                      <w:rPr/>
                    </w:r>
                    <w:bookmarkStart w:name="Raw material and commodity prices" w:id="63"/>
                    <w:bookmarkEnd w:id="63"/>
                    <w:r>
                      <w:rPr/>
                    </w:r>
                    <w:bookmarkStart w:name="_bookmark22" w:id="64"/>
                    <w:bookmarkEnd w:id="64"/>
                    <w:r>
                      <w:rPr/>
                    </w:r>
                    <w:r>
                      <w:rPr>
                        <w:b/>
                        <w:color w:val="009483"/>
                        <w:sz w:val="72"/>
                      </w:rPr>
                      <w:t>4</w:t>
                    </w:r>
                  </w:p>
                </w:txbxContent>
              </v:textbox>
              <w10:wrap type="none"/>
            </v:shape>
            <v:shape style="position:absolute;left:7542;top:455;width:3381;height:532" type="#_x0000_t202" filled="false" stroked="false">
              <v:textbox inset="0,0,0,0">
                <w:txbxContent>
                  <w:p>
                    <w:pPr>
                      <w:spacing w:line="532" w:lineRule="exact" w:before="0"/>
                      <w:ind w:left="0" w:right="0" w:firstLine="0"/>
                      <w:jc w:val="left"/>
                      <w:rPr>
                        <w:b/>
                        <w:sz w:val="48"/>
                      </w:rPr>
                    </w:pPr>
                    <w:r>
                      <w:rPr>
                        <w:b/>
                        <w:color w:val="009483"/>
                        <w:sz w:val="48"/>
                      </w:rPr>
                      <w:t>Costs and prices</w:t>
                    </w:r>
                  </w:p>
                </w:txbxContent>
              </v:textbox>
              <w10:wrap type="none"/>
            </v:shape>
            <w10:wrap type="topAndBottom"/>
          </v:group>
        </w:pict>
      </w:r>
    </w:p>
    <w:p>
      <w:pPr>
        <w:pStyle w:val="BodyText"/>
        <w:rPr>
          <w:sz w:val="20"/>
        </w:rPr>
      </w:pPr>
    </w:p>
    <w:p>
      <w:pPr>
        <w:pStyle w:val="BodyText"/>
        <w:spacing w:before="2"/>
        <w:rPr>
          <w:sz w:val="28"/>
        </w:rPr>
      </w:pPr>
    </w:p>
    <w:p>
      <w:pPr>
        <w:spacing w:after="0"/>
        <w:rPr>
          <w:sz w:val="28"/>
        </w:rPr>
        <w:sectPr>
          <w:headerReference w:type="even" r:id="rId78"/>
          <w:footerReference w:type="even" r:id="rId79"/>
          <w:footerReference w:type="default" r:id="rId80"/>
          <w:pgSz w:w="11900" w:h="16840"/>
          <w:pgMar w:header="0" w:footer="597" w:top="780" w:bottom="780" w:left="620" w:right="520"/>
          <w:pgNumType w:start="32"/>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7"/>
        <w:spacing w:before="156"/>
        <w:ind w:left="196"/>
      </w:pPr>
      <w:r>
        <w:rPr>
          <w:color w:val="0093C1"/>
        </w:rPr>
        <w:t>Chart 4.1</w:t>
      </w:r>
    </w:p>
    <w:p>
      <w:pPr>
        <w:spacing w:before="10"/>
        <w:ind w:left="196" w:right="0" w:firstLine="0"/>
        <w:jc w:val="left"/>
        <w:rPr>
          <w:sz w:val="12"/>
        </w:rPr>
      </w:pPr>
      <w:r>
        <w:rPr>
          <w:b/>
          <w:color w:val="0093C1"/>
          <w:sz w:val="20"/>
        </w:rPr>
        <w:t>Bank’s sterling commodity price</w:t>
      </w:r>
      <w:r>
        <w:rPr>
          <w:b/>
          <w:color w:val="0093C1"/>
          <w:spacing w:val="-1"/>
          <w:sz w:val="20"/>
        </w:rPr>
        <w:t> </w:t>
      </w:r>
      <w:r>
        <w:rPr>
          <w:b/>
          <w:color w:val="0093C1"/>
          <w:sz w:val="20"/>
        </w:rPr>
        <w:t>index</w:t>
      </w:r>
      <w:r>
        <w:rPr>
          <w:position w:val="4"/>
          <w:sz w:val="12"/>
        </w:rPr>
        <w:t>(a)</w:t>
      </w:r>
    </w:p>
    <w:p>
      <w:pPr>
        <w:spacing w:before="115"/>
        <w:ind w:left="0" w:right="0" w:firstLine="0"/>
        <w:jc w:val="right"/>
        <w:rPr>
          <w:sz w:val="12"/>
        </w:rPr>
      </w:pPr>
      <w:r>
        <w:rPr>
          <w:sz w:val="12"/>
        </w:rPr>
        <w:t>1990 = 100</w:t>
      </w:r>
    </w:p>
    <w:p>
      <w:pPr>
        <w:pStyle w:val="BodyText"/>
        <w:spacing w:before="4"/>
        <w:rPr>
          <w:sz w:val="3"/>
        </w:rPr>
      </w:pPr>
    </w:p>
    <w:p>
      <w:pPr>
        <w:tabs>
          <w:tab w:pos="3531" w:val="left" w:leader="none"/>
        </w:tabs>
        <w:spacing w:line="20" w:lineRule="exact"/>
        <w:ind w:left="231" w:right="-58" w:firstLine="0"/>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r>
        <w:rPr>
          <w:sz w:val="2"/>
        </w:rPr>
        <w:tab/>
      </w: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before="105"/>
        <w:ind w:left="12" w:right="0" w:firstLine="0"/>
        <w:jc w:val="left"/>
        <w:rPr>
          <w:sz w:val="12"/>
        </w:rPr>
      </w:pPr>
      <w:r>
        <w:rPr>
          <w:sz w:val="12"/>
        </w:rPr>
        <w:t>110</w:t>
      </w:r>
    </w:p>
    <w:p>
      <w:pPr>
        <w:pStyle w:val="Heading4"/>
        <w:spacing w:line="242" w:lineRule="auto" w:before="90"/>
        <w:ind w:left="196" w:right="288"/>
      </w:pPr>
      <w:r>
        <w:rPr/>
        <w:br w:type="column"/>
      </w:r>
      <w:r>
        <w:rPr/>
        <w:t>Annual retail price inflation measured by RPIX fell to its target rate of 2.5% in 1998 Q3. World commodity prices fell further, partly as the result of events in Russia and Asia, and UK import prices continued to decline. But unit labour costs have been rising, and sterling has depreciated since the previous </w:t>
      </w:r>
      <w:r>
        <w:rPr>
          <w:i/>
          <w:color w:val="231F20"/>
        </w:rPr>
        <w:t>Report</w:t>
      </w:r>
      <w:r>
        <w:rPr>
          <w:color w:val="231F20"/>
        </w:rPr>
        <w:t>. Manufacturing output prices are falling, reflecting strong import competition and slower demand growth. Output price inflation in the service sector—which makes up two thirds of GDP—has been rather higher, but survey evidence suggests that this may also now be moderating.</w:t>
      </w:r>
    </w:p>
    <w:p>
      <w:pPr>
        <w:spacing w:after="0" w:line="242" w:lineRule="auto"/>
        <w:sectPr>
          <w:type w:val="continuous"/>
          <w:pgSz w:w="11900" w:h="16840"/>
          <w:pgMar w:top="1220" w:bottom="280" w:left="620" w:right="520"/>
          <w:cols w:num="3" w:equalWidth="0">
            <w:col w:w="3655" w:space="40"/>
            <w:col w:w="233" w:space="856"/>
            <w:col w:w="5976"/>
          </w:cols>
        </w:sectPr>
      </w:pPr>
    </w:p>
    <w:p>
      <w:pPr>
        <w:pStyle w:val="BodyText"/>
        <w:spacing w:before="10"/>
        <w:rPr>
          <w:sz w:val="9"/>
        </w:rPr>
      </w:pPr>
    </w:p>
    <w:p>
      <w:pPr>
        <w:spacing w:after="0"/>
        <w:rPr>
          <w:sz w:val="9"/>
        </w:rPr>
        <w:sectPr>
          <w:type w:val="continuous"/>
          <w:pgSz w:w="11900" w:h="16840"/>
          <w:pgMar w:top="1220" w:bottom="280" w:left="620" w:right="520"/>
        </w:sectPr>
      </w:pPr>
    </w:p>
    <w:p>
      <w:pPr>
        <w:pStyle w:val="BodyText"/>
        <w:spacing w:before="11"/>
        <w:rPr>
          <w:sz w:val="14"/>
        </w:rPr>
      </w:pPr>
    </w:p>
    <w:p>
      <w:pPr>
        <w:pStyle w:val="BodyText"/>
        <w:spacing w:line="20" w:lineRule="exact"/>
        <w:ind w:left="231"/>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rPr>
          <w:sz w:val="20"/>
        </w:rPr>
      </w:pPr>
    </w:p>
    <w:p>
      <w:pPr>
        <w:pStyle w:val="BodyText"/>
        <w:spacing w:before="4"/>
      </w:pPr>
      <w:r>
        <w:rPr/>
        <w:pict>
          <v:shape style="position:absolute;margin-left:42.830002pt;margin-top:12.750977pt;width:5pt;height:.1pt;mso-position-horizontal-relative:page;mso-position-vertical-relative:paragraph;z-index:-15456768;mso-wrap-distance-left:0;mso-wrap-distance-right:0" coordorigin="857,255" coordsize="100,0" path="m957,255l857,255e" filled="false" stroked="true" strokeweight=".5pt" strokecolor="#000000">
            <v:path arrowok="t"/>
            <v:stroke dashstyle="solid"/>
            <w10:wrap type="topAndBottom"/>
          </v:shape>
        </w:pict>
      </w:r>
    </w:p>
    <w:p>
      <w:pPr>
        <w:pStyle w:val="BodyText"/>
        <w:rPr>
          <w:sz w:val="20"/>
        </w:rPr>
      </w:pPr>
    </w:p>
    <w:p>
      <w:pPr>
        <w:pStyle w:val="BodyText"/>
        <w:spacing w:before="8"/>
        <w:rPr>
          <w:sz w:val="16"/>
        </w:rPr>
      </w:pPr>
      <w:r>
        <w:rPr/>
        <w:pict>
          <v:shape style="position:absolute;margin-left:42.830002pt;margin-top:11.800977pt;width:5pt;height:.1pt;mso-position-horizontal-relative:page;mso-position-vertical-relative:paragraph;z-index:-15456256;mso-wrap-distance-left:0;mso-wrap-distance-right:0" coordorigin="857,236" coordsize="100,0" path="m957,236l857,236e" filled="false" stroked="true" strokeweight=".5pt" strokecolor="#000000">
            <v:path arrowok="t"/>
            <v:stroke dashstyle="solid"/>
            <w10:wrap type="topAndBottom"/>
          </v:shape>
        </w:pict>
      </w:r>
    </w:p>
    <w:p>
      <w:pPr>
        <w:pStyle w:val="BodyText"/>
        <w:rPr>
          <w:sz w:val="20"/>
        </w:rPr>
      </w:pPr>
    </w:p>
    <w:p>
      <w:pPr>
        <w:pStyle w:val="BodyText"/>
        <w:spacing w:before="5"/>
      </w:pPr>
      <w:r>
        <w:rPr/>
        <w:pict>
          <v:shape style="position:absolute;margin-left:42.830002pt;margin-top:12.800977pt;width:5pt;height:.1pt;mso-position-horizontal-relative:page;mso-position-vertical-relative:paragraph;z-index:-15455744;mso-wrap-distance-left:0;mso-wrap-distance-right:0" coordorigin="857,256" coordsize="100,0" path="m957,256l857,256e" filled="false" stroked="true" strokeweight=".5pt" strokecolor="#000000">
            <v:path arrowok="t"/>
            <v:stroke dashstyle="solid"/>
            <w10:wrap type="topAndBottom"/>
          </v:shape>
        </w:pict>
      </w:r>
    </w:p>
    <w:p>
      <w:pPr>
        <w:pStyle w:val="BodyText"/>
        <w:rPr>
          <w:sz w:val="20"/>
        </w:rPr>
      </w:pPr>
    </w:p>
    <w:p>
      <w:pPr>
        <w:pStyle w:val="BodyText"/>
        <w:spacing w:before="8"/>
        <w:rPr>
          <w:sz w:val="16"/>
        </w:rPr>
      </w:pPr>
      <w:r>
        <w:rPr/>
        <w:pict>
          <v:shape style="position:absolute;margin-left:42.830002pt;margin-top:11.800977pt;width:5pt;height:.1pt;mso-position-horizontal-relative:page;mso-position-vertical-relative:paragraph;z-index:-15455232;mso-wrap-distance-left:0;mso-wrap-distance-right:0" coordorigin="857,236" coordsize="100,0" path="m957,236l857,236e" filled="false" stroked="true" strokeweight=".5pt" strokecolor="#000000">
            <v:path arrowok="t"/>
            <v:stroke dashstyle="solid"/>
            <w10:wrap type="topAndBottom"/>
          </v:shape>
        </w:pict>
      </w:r>
    </w:p>
    <w:p>
      <w:pPr>
        <w:pStyle w:val="BodyText"/>
        <w:rPr>
          <w:sz w:val="20"/>
        </w:rPr>
      </w:pPr>
    </w:p>
    <w:p>
      <w:pPr>
        <w:pStyle w:val="BodyText"/>
        <w:spacing w:before="8"/>
        <w:rPr>
          <w:sz w:val="16"/>
        </w:rPr>
      </w:pPr>
      <w:r>
        <w:rPr/>
        <w:pict>
          <v:shape style="position:absolute;margin-left:42.830002pt;margin-top:11.800977pt;width:5pt;height:.1pt;mso-position-horizontal-relative:page;mso-position-vertical-relative:paragraph;z-index:-15454720;mso-wrap-distance-left:0;mso-wrap-distance-right:0" coordorigin="857,236" coordsize="100,0" path="m957,236l857,236e" filled="false" stroked="true" strokeweight=".5pt" strokecolor="#000000">
            <v:path arrowok="t"/>
            <v:stroke dashstyle="solid"/>
            <w10:wrap type="topAndBottom"/>
          </v:shape>
        </w:pict>
      </w:r>
    </w:p>
    <w:p>
      <w:pPr>
        <w:tabs>
          <w:tab w:pos="966" w:val="left" w:leader="none"/>
          <w:tab w:pos="1366" w:val="left" w:leader="none"/>
          <w:tab w:pos="1746" w:val="left" w:leader="none"/>
          <w:tab w:pos="2146" w:val="left" w:leader="none"/>
          <w:tab w:pos="2546" w:val="left" w:leader="none"/>
          <w:tab w:pos="2926" w:val="left" w:leader="none"/>
          <w:tab w:pos="3326" w:val="left" w:leader="none"/>
        </w:tabs>
        <w:spacing w:before="0"/>
        <w:ind w:left="506" w:right="0" w:firstLine="0"/>
        <w:jc w:val="left"/>
        <w:rPr>
          <w:sz w:val="12"/>
        </w:rPr>
      </w:pPr>
      <w:r>
        <w:rPr>
          <w:sz w:val="12"/>
        </w:rPr>
        <w:t>1991</w:t>
        <w:tab/>
        <w:t>92</w:t>
        <w:tab/>
        <w:t>93</w:t>
        <w:tab/>
        <w:t>94</w:t>
        <w:tab/>
        <w:t>95</w:t>
        <w:tab/>
        <w:t>96</w:t>
        <w:tab/>
        <w:t>97</w:t>
        <w:tab/>
      </w:r>
      <w:r>
        <w:rPr>
          <w:spacing w:val="-10"/>
          <w:sz w:val="12"/>
        </w:rPr>
        <w:t>98</w:t>
      </w:r>
    </w:p>
    <w:p>
      <w:pPr>
        <w:spacing w:before="46"/>
        <w:ind w:left="196" w:right="0" w:firstLine="0"/>
        <w:jc w:val="left"/>
        <w:rPr>
          <w:sz w:val="12"/>
        </w:rPr>
      </w:pPr>
      <w:r>
        <w:rPr>
          <w:sz w:val="12"/>
        </w:rPr>
        <w:t>Source: Bank of England.</w:t>
      </w:r>
    </w:p>
    <w:p>
      <w:pPr>
        <w:spacing w:before="95"/>
        <w:ind w:left="196" w:right="0" w:firstLine="0"/>
        <w:jc w:val="left"/>
        <w:rPr>
          <w:sz w:val="12"/>
        </w:rPr>
      </w:pPr>
      <w:r>
        <w:rPr/>
        <w:br w:type="column"/>
      </w:r>
      <w:r>
        <w:rPr>
          <w:sz w:val="12"/>
        </w:rPr>
        <w:t>105</w:t>
      </w:r>
    </w:p>
    <w:p>
      <w:pPr>
        <w:pStyle w:val="BodyText"/>
        <w:rPr>
          <w:sz w:val="12"/>
        </w:rPr>
      </w:pPr>
    </w:p>
    <w:p>
      <w:pPr>
        <w:pStyle w:val="BodyText"/>
        <w:rPr>
          <w:sz w:val="12"/>
        </w:rPr>
      </w:pPr>
    </w:p>
    <w:p>
      <w:pPr>
        <w:spacing w:before="86"/>
        <w:ind w:left="196" w:right="0" w:firstLine="0"/>
        <w:jc w:val="left"/>
        <w:rPr>
          <w:sz w:val="12"/>
        </w:rPr>
      </w:pPr>
      <w:r>
        <w:rPr/>
        <w:pict>
          <v:group style="position:absolute;margin-left:52.330002pt;margin-top:-18.098438pt;width:160.5pt;height:127.75pt;mso-position-horizontal-relative:page;mso-position-vertical-relative:paragraph;z-index:16004096" coordorigin="1047,-362" coordsize="3210,2555">
            <v:shape style="position:absolute;left:1056;top:-352;width:3020;height:2460" coordorigin="1057,-352" coordsize="3020,2460" path="m1057,588l1097,968,1117,728,1157,528,1197,508,1217,408,1257,348,1297,468,1317,508,1357,268,1377,448,1417,788,1457,708,1477,568,1517,528,1557,468,1577,528,1617,568,1637,608,1677,768,1717,648,1737,328,1777,308,1817,388,1837,348,1877,-52,1917,-132,1937,248,1977,408,2017,448,2037,528,2077,608,2097,868,2137,768,2177,968,2197,1148,2237,1128,2277,1048,2297,1028,2337,808,2357,528,2397,508,2437,408,2457,568,2497,568,2537,708,2557,448,2597,428,2637,268,2657,68,2697,108,2737,-32,2757,-12,2797,288,2817,448,2897,208,2917,328,2957,188,2977,-32,3017,8,3057,28,3077,-232,3117,-352,3157,-132,3177,8,3217,-32,3257,-12,3277,-232,3317,-272,3357,28,3377,-132,3417,-112,3457,268,3477,248,3517,688,3537,608,3577,688,3617,688,3637,668,3677,728,3697,648,3737,988,3777,1148,3797,1428,3837,1588,3877,1728,3897,1888,3937,1788,3997,1908,4037,2108,4077,2048e" filled="false" stroked="true" strokeweight="1pt" strokecolor="#a790c4">
              <v:path arrowok="t"/>
              <v:stroke dashstyle="solid"/>
            </v:shape>
            <v:shape style="position:absolute;left:1056;top:-332;width:3200;height:2520" coordorigin="1057,-332" coordsize="3200,2520" path="m4257,2188l4157,2188m4257,1688l4157,1688m4257,1188l4157,1188m4257,668l4157,668m4257,168l4157,168m4257,-332l4157,-332m1057,2188l4057,2188m1057,2188l1057,2148m1157,2188l1157,2148m1257,2188l1257,2148m1357,2188l1357,2148m1457,2188l1457,2148m1557,2188l1557,2148m1637,2188l1637,2148m1737,2188l1737,2148m1837,2188l1837,2148m1937,2188l1937,2148m2037,2188l2037,2148m2137,2188l2137,2148m2237,2188l2237,2148m2337,2188l2337,2148m2437,2188l2437,2148m2537,2188l2537,2148m2617,2188l2617,2148m2717,2188l2717,2148m2817,2188l2817,2148m2917,2188l2917,2148m3017,2188l3017,2148m3117,2188l3117,2148m3217,2188l3217,2148m3317,2188l3317,2148m3417,2188l3417,2148m3517,2188l3517,2148m3617,2188l3617,2148m3717,2188l3717,2148m3797,2188l3797,2148m3897,2188l3897,2148m3997,2188l3997,2148m1057,2188l1057,2088m1457,2188l1457,2088m1837,2188l1837,2088m2237,2188l2237,2088m2617,2188l2617,2088m3017,2188l3017,2088m3417,2188l3417,2088m3797,2188l3797,2088e" filled="false" stroked="true" strokeweight=".5pt" strokecolor="#000000">
              <v:path arrowok="t"/>
              <v:stroke dashstyle="solid"/>
            </v:shape>
            <w10:wrap type="none"/>
          </v:group>
        </w:pict>
      </w:r>
      <w:r>
        <w:rPr>
          <w:sz w:val="12"/>
        </w:rPr>
        <w:t>100</w:t>
      </w:r>
    </w:p>
    <w:p>
      <w:pPr>
        <w:pStyle w:val="BodyText"/>
        <w:rPr>
          <w:sz w:val="12"/>
        </w:rPr>
      </w:pPr>
    </w:p>
    <w:p>
      <w:pPr>
        <w:pStyle w:val="BodyText"/>
        <w:rPr>
          <w:sz w:val="12"/>
        </w:rPr>
      </w:pPr>
    </w:p>
    <w:p>
      <w:pPr>
        <w:spacing w:before="86"/>
        <w:ind w:left="256" w:right="0" w:firstLine="0"/>
        <w:jc w:val="left"/>
        <w:rPr>
          <w:sz w:val="12"/>
        </w:rPr>
      </w:pPr>
      <w:r>
        <w:rPr>
          <w:sz w:val="12"/>
        </w:rPr>
        <w:t>95</w:t>
      </w:r>
    </w:p>
    <w:p>
      <w:pPr>
        <w:pStyle w:val="BodyText"/>
        <w:rPr>
          <w:sz w:val="12"/>
        </w:rPr>
      </w:pPr>
    </w:p>
    <w:p>
      <w:pPr>
        <w:pStyle w:val="BodyText"/>
        <w:rPr>
          <w:sz w:val="12"/>
        </w:rPr>
      </w:pPr>
    </w:p>
    <w:p>
      <w:pPr>
        <w:spacing w:before="86"/>
        <w:ind w:left="256" w:right="0" w:firstLine="0"/>
        <w:jc w:val="left"/>
        <w:rPr>
          <w:sz w:val="12"/>
        </w:rPr>
      </w:pPr>
      <w:r>
        <w:rPr>
          <w:sz w:val="12"/>
        </w:rPr>
        <w:t>90</w:t>
      </w:r>
    </w:p>
    <w:p>
      <w:pPr>
        <w:pStyle w:val="BodyText"/>
        <w:rPr>
          <w:sz w:val="12"/>
        </w:rPr>
      </w:pPr>
    </w:p>
    <w:p>
      <w:pPr>
        <w:pStyle w:val="BodyText"/>
        <w:rPr>
          <w:sz w:val="12"/>
        </w:rPr>
      </w:pPr>
    </w:p>
    <w:p>
      <w:pPr>
        <w:spacing w:before="86"/>
        <w:ind w:left="256" w:right="0" w:firstLine="0"/>
        <w:jc w:val="left"/>
        <w:rPr>
          <w:sz w:val="12"/>
        </w:rPr>
      </w:pPr>
      <w:r>
        <w:rPr>
          <w:sz w:val="12"/>
        </w:rPr>
        <w:t>85</w:t>
      </w:r>
    </w:p>
    <w:p>
      <w:pPr>
        <w:pStyle w:val="BodyText"/>
        <w:rPr>
          <w:sz w:val="12"/>
        </w:rPr>
      </w:pPr>
    </w:p>
    <w:p>
      <w:pPr>
        <w:pStyle w:val="BodyText"/>
        <w:rPr>
          <w:sz w:val="12"/>
        </w:rPr>
      </w:pPr>
    </w:p>
    <w:p>
      <w:pPr>
        <w:spacing w:before="86"/>
        <w:ind w:left="256" w:right="0" w:firstLine="0"/>
        <w:jc w:val="left"/>
        <w:rPr>
          <w:sz w:val="12"/>
        </w:rPr>
      </w:pPr>
      <w:r>
        <w:rPr>
          <w:sz w:val="12"/>
        </w:rPr>
        <w:t>80</w:t>
      </w:r>
    </w:p>
    <w:p>
      <w:pPr>
        <w:pStyle w:val="Heading2"/>
        <w:numPr>
          <w:ilvl w:val="1"/>
          <w:numId w:val="25"/>
        </w:numPr>
        <w:tabs>
          <w:tab w:pos="1138" w:val="left" w:leader="none"/>
          <w:tab w:pos="1139" w:val="left" w:leader="none"/>
        </w:tabs>
        <w:spacing w:line="240" w:lineRule="auto" w:before="224" w:after="0"/>
        <w:ind w:left="1138" w:right="0" w:hanging="943"/>
        <w:jc w:val="left"/>
        <w:rPr>
          <w:color w:val="009483"/>
        </w:rPr>
      </w:pPr>
      <w:r>
        <w:rPr>
          <w:color w:val="009483"/>
        </w:rPr>
        <w:br w:type="column"/>
        <w:t>Raw material and commodity prices</w:t>
      </w:r>
    </w:p>
    <w:p>
      <w:pPr>
        <w:pStyle w:val="BodyText"/>
        <w:spacing w:line="40" w:lineRule="exact"/>
        <w:ind w:left="176"/>
        <w:rPr>
          <w:sz w:val="4"/>
        </w:rPr>
      </w:pPr>
      <w:r>
        <w:rPr>
          <w:position w:val="0"/>
          <w:sz w:val="4"/>
        </w:rPr>
        <w:pict>
          <v:group style="width:275pt;height:2pt;mso-position-horizontal-relative:char;mso-position-vertical-relative:line" coordorigin="0,0" coordsize="5500,40">
            <v:line style="position:absolute" from="0,20" to="5500,20" stroked="true" strokeweight="2pt" strokecolor="#0093c1">
              <v:stroke dashstyle="solid"/>
            </v:line>
          </v:group>
        </w:pict>
      </w:r>
      <w:r>
        <w:rPr>
          <w:position w:val="0"/>
          <w:sz w:val="4"/>
        </w:rPr>
      </w:r>
    </w:p>
    <w:p>
      <w:pPr>
        <w:pStyle w:val="Heading4"/>
        <w:spacing w:line="242" w:lineRule="auto" w:before="223"/>
        <w:ind w:left="196" w:right="375"/>
      </w:pPr>
      <w:r>
        <w:rPr/>
        <w:t>Prices of raw materials and commodities—which account for a little less than one tenth of economy-wide costs—have fallen sharply over the past two and a half years. The </w:t>
      </w:r>
      <w:r>
        <w:rPr>
          <w:i/>
        </w:rPr>
        <w:t>Economist </w:t>
      </w:r>
      <w:r>
        <w:rPr/>
        <w:t>dollar index of world commodity prices has declined by nearly 30% from its peak in</w:t>
      </w:r>
    </w:p>
    <w:p>
      <w:pPr>
        <w:spacing w:line="242" w:lineRule="auto" w:before="7"/>
        <w:ind w:left="196" w:right="375" w:firstLine="0"/>
        <w:jc w:val="left"/>
        <w:rPr>
          <w:sz w:val="24"/>
        </w:rPr>
      </w:pPr>
      <w:r>
        <w:rPr>
          <w:sz w:val="24"/>
        </w:rPr>
        <w:t>May 1996. The Bank’s oil-inclusive sterling index, which is weighted by UK demand, has also fallen markedly (see Chart 4.1). Prices of all the major groups</w:t>
      </w:r>
    </w:p>
    <w:p>
      <w:pPr>
        <w:spacing w:after="0" w:line="242" w:lineRule="auto"/>
        <w:jc w:val="left"/>
        <w:rPr>
          <w:sz w:val="24"/>
        </w:rPr>
        <w:sectPr>
          <w:type w:val="continuous"/>
          <w:pgSz w:w="11900" w:h="16840"/>
          <w:pgMar w:top="1220" w:bottom="280" w:left="620" w:right="520"/>
          <w:cols w:num="3" w:equalWidth="0">
            <w:col w:w="3447" w:space="63"/>
            <w:col w:w="417" w:space="856"/>
            <w:col w:w="5977"/>
          </w:cols>
        </w:sectPr>
      </w:pPr>
    </w:p>
    <w:p>
      <w:pPr>
        <w:spacing w:line="208" w:lineRule="auto" w:before="108"/>
        <w:ind w:left="436" w:right="256" w:hanging="240"/>
        <w:jc w:val="left"/>
        <w:rPr>
          <w:sz w:val="12"/>
        </w:rPr>
      </w:pPr>
      <w:r>
        <w:rPr>
          <w:sz w:val="12"/>
        </w:rPr>
        <w:t>(a) Monthly average of prices of primary commodities, weighted by their importance in UK demand.</w:t>
      </w:r>
    </w:p>
    <w:p>
      <w:pPr>
        <w:pStyle w:val="BodyText"/>
        <w:rPr>
          <w:sz w:val="12"/>
        </w:rPr>
      </w:pPr>
    </w:p>
    <w:p>
      <w:pPr>
        <w:pStyle w:val="BodyText"/>
        <w:rPr>
          <w:sz w:val="12"/>
        </w:rPr>
      </w:pPr>
    </w:p>
    <w:p>
      <w:pPr>
        <w:pStyle w:val="BodyText"/>
        <w:rPr>
          <w:sz w:val="12"/>
        </w:rPr>
      </w:pPr>
    </w:p>
    <w:p>
      <w:pPr>
        <w:pStyle w:val="BodyText"/>
        <w:spacing w:before="4"/>
        <w:rPr>
          <w:sz w:val="12"/>
        </w:rPr>
      </w:pPr>
    </w:p>
    <w:p>
      <w:pPr>
        <w:pStyle w:val="Heading7"/>
        <w:spacing w:before="0"/>
        <w:ind w:left="196"/>
      </w:pPr>
      <w:r>
        <w:rPr>
          <w:color w:val="0093C1"/>
        </w:rPr>
        <w:t>Table 4.A</w:t>
      </w:r>
    </w:p>
    <w:p>
      <w:pPr>
        <w:spacing w:line="249" w:lineRule="auto" w:before="10"/>
        <w:ind w:left="196" w:right="256" w:firstLine="0"/>
        <w:jc w:val="left"/>
        <w:rPr>
          <w:sz w:val="12"/>
        </w:rPr>
      </w:pPr>
      <w:r>
        <w:rPr>
          <w:b/>
          <w:color w:val="0093C1"/>
          <w:sz w:val="20"/>
        </w:rPr>
        <w:t>Changes in sub-components of the Bank’s commodity price index between May 1996 and September 1998</w:t>
      </w:r>
      <w:r>
        <w:rPr>
          <w:position w:val="4"/>
          <w:sz w:val="12"/>
        </w:rPr>
        <w:t>(a)</w:t>
      </w:r>
    </w:p>
    <w:p>
      <w:pPr>
        <w:spacing w:line="208" w:lineRule="auto" w:before="164"/>
        <w:ind w:left="3130" w:right="504" w:firstLine="0"/>
        <w:jc w:val="right"/>
        <w:rPr>
          <w:sz w:val="14"/>
        </w:rPr>
      </w:pPr>
      <w:r>
        <w:rPr>
          <w:sz w:val="14"/>
        </w:rPr>
        <w:t>Contribution to change in</w:t>
      </w:r>
    </w:p>
    <w:tbl>
      <w:tblPr>
        <w:tblW w:w="0" w:type="auto"/>
        <w:jc w:val="left"/>
        <w:tblInd w:w="1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5"/>
        <w:gridCol w:w="628"/>
        <w:gridCol w:w="116"/>
        <w:gridCol w:w="573"/>
        <w:gridCol w:w="196"/>
        <w:gridCol w:w="1083"/>
      </w:tblGrid>
      <w:tr>
        <w:trPr>
          <w:trHeight w:val="314" w:hRule="atLeast"/>
        </w:trPr>
        <w:tc>
          <w:tcPr>
            <w:tcW w:w="1555" w:type="dxa"/>
          </w:tcPr>
          <w:p>
            <w:pPr>
              <w:pStyle w:val="TableParagraph"/>
              <w:rPr>
                <w:sz w:val="20"/>
              </w:rPr>
            </w:pPr>
          </w:p>
        </w:tc>
        <w:tc>
          <w:tcPr>
            <w:tcW w:w="628" w:type="dxa"/>
            <w:tcBorders>
              <w:bottom w:val="single" w:sz="2" w:space="0" w:color="000000"/>
            </w:tcBorders>
          </w:tcPr>
          <w:p>
            <w:pPr>
              <w:pStyle w:val="TableParagraph"/>
              <w:spacing w:before="123"/>
              <w:ind w:left="4"/>
              <w:rPr>
                <w:sz w:val="12"/>
              </w:rPr>
            </w:pPr>
            <w:r>
              <w:rPr>
                <w:b/>
                <w:sz w:val="14"/>
              </w:rPr>
              <w:t>Weight </w:t>
            </w:r>
            <w:r>
              <w:rPr>
                <w:sz w:val="12"/>
              </w:rPr>
              <w:t>(b)</w:t>
            </w:r>
          </w:p>
        </w:tc>
        <w:tc>
          <w:tcPr>
            <w:tcW w:w="116" w:type="dxa"/>
          </w:tcPr>
          <w:p>
            <w:pPr>
              <w:pStyle w:val="TableParagraph"/>
              <w:rPr>
                <w:sz w:val="20"/>
              </w:rPr>
            </w:pPr>
          </w:p>
        </w:tc>
        <w:tc>
          <w:tcPr>
            <w:tcW w:w="573" w:type="dxa"/>
            <w:tcBorders>
              <w:bottom w:val="single" w:sz="2" w:space="0" w:color="000000"/>
            </w:tcBorders>
          </w:tcPr>
          <w:p>
            <w:pPr>
              <w:pStyle w:val="TableParagraph"/>
              <w:spacing w:line="208" w:lineRule="auto"/>
              <w:ind w:right="12"/>
              <w:rPr>
                <w:sz w:val="14"/>
              </w:rPr>
            </w:pPr>
            <w:r>
              <w:rPr>
                <w:sz w:val="14"/>
              </w:rPr>
              <w:t>Change (per cent)</w:t>
            </w:r>
          </w:p>
        </w:tc>
        <w:tc>
          <w:tcPr>
            <w:tcW w:w="196" w:type="dxa"/>
          </w:tcPr>
          <w:p>
            <w:pPr>
              <w:pStyle w:val="TableParagraph"/>
              <w:rPr>
                <w:sz w:val="20"/>
              </w:rPr>
            </w:pPr>
          </w:p>
        </w:tc>
        <w:tc>
          <w:tcPr>
            <w:tcW w:w="1083" w:type="dxa"/>
            <w:tcBorders>
              <w:bottom w:val="single" w:sz="2" w:space="0" w:color="000000"/>
            </w:tcBorders>
          </w:tcPr>
          <w:p>
            <w:pPr>
              <w:pStyle w:val="TableParagraph"/>
              <w:spacing w:line="208" w:lineRule="auto"/>
              <w:ind w:left="2" w:right="-16" w:hanging="1"/>
              <w:rPr>
                <w:sz w:val="14"/>
              </w:rPr>
            </w:pPr>
            <w:r>
              <w:rPr>
                <w:sz w:val="14"/>
              </w:rPr>
              <w:t>total index (percentage points)</w:t>
            </w:r>
          </w:p>
        </w:tc>
      </w:tr>
      <w:tr>
        <w:trPr>
          <w:trHeight w:val="248" w:hRule="atLeast"/>
        </w:trPr>
        <w:tc>
          <w:tcPr>
            <w:tcW w:w="1555" w:type="dxa"/>
          </w:tcPr>
          <w:p>
            <w:pPr>
              <w:pStyle w:val="TableParagraph"/>
              <w:spacing w:line="145" w:lineRule="exact" w:before="83"/>
              <w:ind w:left="50"/>
              <w:rPr>
                <w:sz w:val="14"/>
              </w:rPr>
            </w:pPr>
            <w:r>
              <w:rPr>
                <w:sz w:val="14"/>
              </w:rPr>
              <w:t>Fuels (including oil)</w:t>
            </w:r>
          </w:p>
        </w:tc>
        <w:tc>
          <w:tcPr>
            <w:tcW w:w="628" w:type="dxa"/>
            <w:tcBorders>
              <w:top w:val="single" w:sz="2" w:space="0" w:color="000000"/>
            </w:tcBorders>
          </w:tcPr>
          <w:p>
            <w:pPr>
              <w:pStyle w:val="TableParagraph"/>
              <w:spacing w:line="145" w:lineRule="exact" w:before="83"/>
              <w:ind w:left="70"/>
              <w:rPr>
                <w:b/>
                <w:sz w:val="14"/>
              </w:rPr>
            </w:pPr>
            <w:r>
              <w:rPr>
                <w:b/>
                <w:sz w:val="14"/>
              </w:rPr>
              <w:t>51.6</w:t>
            </w:r>
          </w:p>
        </w:tc>
        <w:tc>
          <w:tcPr>
            <w:tcW w:w="116" w:type="dxa"/>
          </w:tcPr>
          <w:p>
            <w:pPr>
              <w:pStyle w:val="TableParagraph"/>
              <w:rPr>
                <w:sz w:val="18"/>
              </w:rPr>
            </w:pPr>
          </w:p>
        </w:tc>
        <w:tc>
          <w:tcPr>
            <w:tcW w:w="573" w:type="dxa"/>
            <w:tcBorders>
              <w:top w:val="single" w:sz="2" w:space="0" w:color="000000"/>
            </w:tcBorders>
          </w:tcPr>
          <w:p>
            <w:pPr>
              <w:pStyle w:val="TableParagraph"/>
              <w:spacing w:line="145" w:lineRule="exact" w:before="83"/>
              <w:ind w:left="49"/>
              <w:rPr>
                <w:sz w:val="14"/>
              </w:rPr>
            </w:pPr>
            <w:r>
              <w:rPr>
                <w:sz w:val="14"/>
              </w:rPr>
              <w:t>-19.6</w:t>
            </w:r>
          </w:p>
        </w:tc>
        <w:tc>
          <w:tcPr>
            <w:tcW w:w="196" w:type="dxa"/>
          </w:tcPr>
          <w:p>
            <w:pPr>
              <w:pStyle w:val="TableParagraph"/>
              <w:rPr>
                <w:sz w:val="18"/>
              </w:rPr>
            </w:pPr>
          </w:p>
        </w:tc>
        <w:tc>
          <w:tcPr>
            <w:tcW w:w="1083" w:type="dxa"/>
            <w:tcBorders>
              <w:top w:val="single" w:sz="2" w:space="0" w:color="000000"/>
            </w:tcBorders>
          </w:tcPr>
          <w:p>
            <w:pPr>
              <w:pStyle w:val="TableParagraph"/>
              <w:spacing w:line="145" w:lineRule="exact" w:before="83"/>
              <w:ind w:left="40"/>
              <w:rPr>
                <w:sz w:val="14"/>
              </w:rPr>
            </w:pPr>
            <w:r>
              <w:rPr>
                <w:sz w:val="14"/>
              </w:rPr>
              <w:t>-10.3</w:t>
            </w:r>
          </w:p>
        </w:tc>
      </w:tr>
      <w:tr>
        <w:trPr>
          <w:trHeight w:val="140" w:hRule="atLeast"/>
        </w:trPr>
        <w:tc>
          <w:tcPr>
            <w:tcW w:w="1555" w:type="dxa"/>
          </w:tcPr>
          <w:p>
            <w:pPr>
              <w:pStyle w:val="TableParagraph"/>
              <w:spacing w:line="120" w:lineRule="exact"/>
              <w:ind w:left="50"/>
              <w:rPr>
                <w:sz w:val="14"/>
              </w:rPr>
            </w:pPr>
            <w:r>
              <w:rPr>
                <w:sz w:val="14"/>
              </w:rPr>
              <w:t>Domestic foods</w:t>
            </w:r>
          </w:p>
        </w:tc>
        <w:tc>
          <w:tcPr>
            <w:tcW w:w="628" w:type="dxa"/>
          </w:tcPr>
          <w:p>
            <w:pPr>
              <w:pStyle w:val="TableParagraph"/>
              <w:spacing w:line="120" w:lineRule="exact"/>
              <w:ind w:left="70"/>
              <w:rPr>
                <w:b/>
                <w:sz w:val="14"/>
              </w:rPr>
            </w:pPr>
            <w:r>
              <w:rPr>
                <w:b/>
                <w:sz w:val="14"/>
              </w:rPr>
              <w:t>35.0</w:t>
            </w:r>
          </w:p>
        </w:tc>
        <w:tc>
          <w:tcPr>
            <w:tcW w:w="116" w:type="dxa"/>
          </w:tcPr>
          <w:p>
            <w:pPr>
              <w:pStyle w:val="TableParagraph"/>
              <w:rPr>
                <w:sz w:val="8"/>
              </w:rPr>
            </w:pPr>
          </w:p>
        </w:tc>
        <w:tc>
          <w:tcPr>
            <w:tcW w:w="573" w:type="dxa"/>
          </w:tcPr>
          <w:p>
            <w:pPr>
              <w:pStyle w:val="TableParagraph"/>
              <w:spacing w:line="120" w:lineRule="exact"/>
              <w:ind w:left="49"/>
              <w:rPr>
                <w:sz w:val="14"/>
              </w:rPr>
            </w:pPr>
            <w:r>
              <w:rPr>
                <w:sz w:val="14"/>
              </w:rPr>
              <w:t>-23.2</w:t>
            </w:r>
          </w:p>
        </w:tc>
        <w:tc>
          <w:tcPr>
            <w:tcW w:w="196" w:type="dxa"/>
          </w:tcPr>
          <w:p>
            <w:pPr>
              <w:pStyle w:val="TableParagraph"/>
              <w:rPr>
                <w:sz w:val="8"/>
              </w:rPr>
            </w:pPr>
          </w:p>
        </w:tc>
        <w:tc>
          <w:tcPr>
            <w:tcW w:w="1083" w:type="dxa"/>
          </w:tcPr>
          <w:p>
            <w:pPr>
              <w:pStyle w:val="TableParagraph"/>
              <w:spacing w:line="120" w:lineRule="exact"/>
              <w:ind w:left="110"/>
              <w:rPr>
                <w:sz w:val="14"/>
              </w:rPr>
            </w:pPr>
            <w:r>
              <w:rPr>
                <w:sz w:val="14"/>
              </w:rPr>
              <w:t>-7.9</w:t>
            </w:r>
          </w:p>
        </w:tc>
      </w:tr>
      <w:tr>
        <w:trPr>
          <w:trHeight w:val="140" w:hRule="atLeast"/>
        </w:trPr>
        <w:tc>
          <w:tcPr>
            <w:tcW w:w="1555" w:type="dxa"/>
          </w:tcPr>
          <w:p>
            <w:pPr>
              <w:pStyle w:val="TableParagraph"/>
              <w:spacing w:line="120" w:lineRule="exact"/>
              <w:ind w:left="50"/>
              <w:rPr>
                <w:sz w:val="14"/>
              </w:rPr>
            </w:pPr>
            <w:r>
              <w:rPr>
                <w:sz w:val="14"/>
              </w:rPr>
              <w:t>Metals</w:t>
            </w:r>
          </w:p>
        </w:tc>
        <w:tc>
          <w:tcPr>
            <w:tcW w:w="628" w:type="dxa"/>
          </w:tcPr>
          <w:p>
            <w:pPr>
              <w:pStyle w:val="TableParagraph"/>
              <w:spacing w:line="120" w:lineRule="exact"/>
              <w:ind w:left="140"/>
              <w:rPr>
                <w:b/>
                <w:sz w:val="14"/>
              </w:rPr>
            </w:pPr>
            <w:r>
              <w:rPr>
                <w:b/>
                <w:sz w:val="14"/>
              </w:rPr>
              <w:t>5.6</w:t>
            </w:r>
          </w:p>
        </w:tc>
        <w:tc>
          <w:tcPr>
            <w:tcW w:w="116" w:type="dxa"/>
          </w:tcPr>
          <w:p>
            <w:pPr>
              <w:pStyle w:val="TableParagraph"/>
              <w:rPr>
                <w:sz w:val="8"/>
              </w:rPr>
            </w:pPr>
          </w:p>
        </w:tc>
        <w:tc>
          <w:tcPr>
            <w:tcW w:w="573" w:type="dxa"/>
          </w:tcPr>
          <w:p>
            <w:pPr>
              <w:pStyle w:val="TableParagraph"/>
              <w:spacing w:line="120" w:lineRule="exact"/>
              <w:ind w:left="49"/>
              <w:rPr>
                <w:sz w:val="14"/>
              </w:rPr>
            </w:pPr>
            <w:r>
              <w:rPr>
                <w:sz w:val="14"/>
              </w:rPr>
              <w:t>-33.1</w:t>
            </w:r>
          </w:p>
        </w:tc>
        <w:tc>
          <w:tcPr>
            <w:tcW w:w="196" w:type="dxa"/>
          </w:tcPr>
          <w:p>
            <w:pPr>
              <w:pStyle w:val="TableParagraph"/>
              <w:rPr>
                <w:sz w:val="8"/>
              </w:rPr>
            </w:pPr>
          </w:p>
        </w:tc>
        <w:tc>
          <w:tcPr>
            <w:tcW w:w="1083" w:type="dxa"/>
          </w:tcPr>
          <w:p>
            <w:pPr>
              <w:pStyle w:val="TableParagraph"/>
              <w:spacing w:line="120" w:lineRule="exact"/>
              <w:ind w:left="110"/>
              <w:rPr>
                <w:sz w:val="14"/>
              </w:rPr>
            </w:pPr>
            <w:r>
              <w:rPr>
                <w:sz w:val="14"/>
              </w:rPr>
              <w:t>-1.8</w:t>
            </w:r>
          </w:p>
        </w:tc>
      </w:tr>
      <w:tr>
        <w:trPr>
          <w:trHeight w:val="140" w:hRule="atLeast"/>
        </w:trPr>
        <w:tc>
          <w:tcPr>
            <w:tcW w:w="1555" w:type="dxa"/>
          </w:tcPr>
          <w:p>
            <w:pPr>
              <w:pStyle w:val="TableParagraph"/>
              <w:spacing w:line="120" w:lineRule="exact"/>
              <w:ind w:left="50"/>
              <w:rPr>
                <w:sz w:val="14"/>
              </w:rPr>
            </w:pPr>
            <w:r>
              <w:rPr>
                <w:sz w:val="14"/>
              </w:rPr>
              <w:t>Non-food agriculture</w:t>
            </w:r>
          </w:p>
        </w:tc>
        <w:tc>
          <w:tcPr>
            <w:tcW w:w="628" w:type="dxa"/>
          </w:tcPr>
          <w:p>
            <w:pPr>
              <w:pStyle w:val="TableParagraph"/>
              <w:spacing w:line="120" w:lineRule="exact"/>
              <w:ind w:left="140"/>
              <w:rPr>
                <w:b/>
                <w:sz w:val="14"/>
              </w:rPr>
            </w:pPr>
            <w:r>
              <w:rPr>
                <w:b/>
                <w:sz w:val="14"/>
              </w:rPr>
              <w:t>5.5</w:t>
            </w:r>
          </w:p>
        </w:tc>
        <w:tc>
          <w:tcPr>
            <w:tcW w:w="116" w:type="dxa"/>
          </w:tcPr>
          <w:p>
            <w:pPr>
              <w:pStyle w:val="TableParagraph"/>
              <w:rPr>
                <w:sz w:val="8"/>
              </w:rPr>
            </w:pPr>
          </w:p>
        </w:tc>
        <w:tc>
          <w:tcPr>
            <w:tcW w:w="573" w:type="dxa"/>
          </w:tcPr>
          <w:p>
            <w:pPr>
              <w:pStyle w:val="TableParagraph"/>
              <w:spacing w:line="120" w:lineRule="exact"/>
              <w:ind w:left="49"/>
              <w:rPr>
                <w:sz w:val="14"/>
              </w:rPr>
            </w:pPr>
            <w:r>
              <w:rPr>
                <w:sz w:val="14"/>
              </w:rPr>
              <w:t>-10.7</w:t>
            </w:r>
          </w:p>
        </w:tc>
        <w:tc>
          <w:tcPr>
            <w:tcW w:w="196" w:type="dxa"/>
          </w:tcPr>
          <w:p>
            <w:pPr>
              <w:pStyle w:val="TableParagraph"/>
              <w:rPr>
                <w:sz w:val="8"/>
              </w:rPr>
            </w:pPr>
          </w:p>
        </w:tc>
        <w:tc>
          <w:tcPr>
            <w:tcW w:w="1083" w:type="dxa"/>
          </w:tcPr>
          <w:p>
            <w:pPr>
              <w:pStyle w:val="TableParagraph"/>
              <w:spacing w:line="120" w:lineRule="exact"/>
              <w:ind w:left="110"/>
              <w:rPr>
                <w:sz w:val="14"/>
              </w:rPr>
            </w:pPr>
            <w:r>
              <w:rPr>
                <w:sz w:val="14"/>
              </w:rPr>
              <w:t>-0.6</w:t>
            </w:r>
          </w:p>
        </w:tc>
      </w:tr>
      <w:tr>
        <w:trPr>
          <w:trHeight w:val="210" w:hRule="atLeast"/>
        </w:trPr>
        <w:tc>
          <w:tcPr>
            <w:tcW w:w="1555" w:type="dxa"/>
          </w:tcPr>
          <w:p>
            <w:pPr>
              <w:pStyle w:val="TableParagraph"/>
              <w:spacing w:line="136" w:lineRule="exact"/>
              <w:ind w:left="50"/>
              <w:rPr>
                <w:sz w:val="14"/>
              </w:rPr>
            </w:pPr>
            <w:r>
              <w:rPr>
                <w:sz w:val="14"/>
              </w:rPr>
              <w:t>Non-domestic foods</w:t>
            </w:r>
          </w:p>
        </w:tc>
        <w:tc>
          <w:tcPr>
            <w:tcW w:w="628" w:type="dxa"/>
          </w:tcPr>
          <w:p>
            <w:pPr>
              <w:pStyle w:val="TableParagraph"/>
              <w:spacing w:line="136" w:lineRule="exact"/>
              <w:ind w:left="140"/>
              <w:rPr>
                <w:b/>
                <w:sz w:val="14"/>
              </w:rPr>
            </w:pPr>
            <w:r>
              <w:rPr>
                <w:b/>
                <w:sz w:val="14"/>
              </w:rPr>
              <w:t>2.2</w:t>
            </w:r>
          </w:p>
        </w:tc>
        <w:tc>
          <w:tcPr>
            <w:tcW w:w="116" w:type="dxa"/>
          </w:tcPr>
          <w:p>
            <w:pPr>
              <w:pStyle w:val="TableParagraph"/>
              <w:rPr>
                <w:sz w:val="14"/>
              </w:rPr>
            </w:pPr>
          </w:p>
        </w:tc>
        <w:tc>
          <w:tcPr>
            <w:tcW w:w="573" w:type="dxa"/>
          </w:tcPr>
          <w:p>
            <w:pPr>
              <w:pStyle w:val="TableParagraph"/>
              <w:spacing w:line="136" w:lineRule="exact"/>
              <w:ind w:left="49"/>
              <w:rPr>
                <w:sz w:val="14"/>
              </w:rPr>
            </w:pPr>
            <w:r>
              <w:rPr>
                <w:sz w:val="14"/>
              </w:rPr>
              <w:t>-16.6</w:t>
            </w:r>
          </w:p>
        </w:tc>
        <w:tc>
          <w:tcPr>
            <w:tcW w:w="196" w:type="dxa"/>
          </w:tcPr>
          <w:p>
            <w:pPr>
              <w:pStyle w:val="TableParagraph"/>
              <w:rPr>
                <w:sz w:val="14"/>
              </w:rPr>
            </w:pPr>
          </w:p>
        </w:tc>
        <w:tc>
          <w:tcPr>
            <w:tcW w:w="1083" w:type="dxa"/>
          </w:tcPr>
          <w:p>
            <w:pPr>
              <w:pStyle w:val="TableParagraph"/>
              <w:spacing w:line="136" w:lineRule="exact"/>
              <w:ind w:left="110"/>
              <w:rPr>
                <w:sz w:val="14"/>
              </w:rPr>
            </w:pPr>
            <w:r>
              <w:rPr>
                <w:sz w:val="14"/>
              </w:rPr>
              <w:t>-0.4</w:t>
            </w:r>
          </w:p>
        </w:tc>
      </w:tr>
      <w:tr>
        <w:trPr>
          <w:trHeight w:val="217" w:hRule="atLeast"/>
        </w:trPr>
        <w:tc>
          <w:tcPr>
            <w:tcW w:w="1555" w:type="dxa"/>
          </w:tcPr>
          <w:p>
            <w:pPr>
              <w:pStyle w:val="TableParagraph"/>
              <w:spacing w:line="152" w:lineRule="exact" w:before="45"/>
              <w:ind w:left="50"/>
              <w:rPr>
                <w:b/>
                <w:sz w:val="14"/>
              </w:rPr>
            </w:pPr>
            <w:r>
              <w:rPr>
                <w:b/>
                <w:sz w:val="14"/>
              </w:rPr>
              <w:t>Total index</w:t>
            </w:r>
          </w:p>
        </w:tc>
        <w:tc>
          <w:tcPr>
            <w:tcW w:w="628" w:type="dxa"/>
          </w:tcPr>
          <w:p>
            <w:pPr>
              <w:pStyle w:val="TableParagraph"/>
              <w:spacing w:line="152" w:lineRule="exact" w:before="45"/>
              <w:rPr>
                <w:b/>
                <w:sz w:val="14"/>
              </w:rPr>
            </w:pPr>
            <w:r>
              <w:rPr>
                <w:b/>
                <w:sz w:val="14"/>
              </w:rPr>
              <w:t>100.0</w:t>
            </w:r>
          </w:p>
        </w:tc>
        <w:tc>
          <w:tcPr>
            <w:tcW w:w="116" w:type="dxa"/>
          </w:tcPr>
          <w:p>
            <w:pPr>
              <w:pStyle w:val="TableParagraph"/>
              <w:rPr>
                <w:sz w:val="14"/>
              </w:rPr>
            </w:pPr>
          </w:p>
        </w:tc>
        <w:tc>
          <w:tcPr>
            <w:tcW w:w="573" w:type="dxa"/>
          </w:tcPr>
          <w:p>
            <w:pPr>
              <w:pStyle w:val="TableParagraph"/>
              <w:spacing w:line="152" w:lineRule="exact" w:before="45"/>
              <w:ind w:left="49"/>
              <w:rPr>
                <w:b/>
                <w:sz w:val="14"/>
              </w:rPr>
            </w:pPr>
            <w:r>
              <w:rPr>
                <w:b/>
                <w:sz w:val="14"/>
              </w:rPr>
              <w:t>-21.0</w:t>
            </w:r>
          </w:p>
        </w:tc>
        <w:tc>
          <w:tcPr>
            <w:tcW w:w="196" w:type="dxa"/>
          </w:tcPr>
          <w:p>
            <w:pPr>
              <w:pStyle w:val="TableParagraph"/>
              <w:rPr>
                <w:sz w:val="14"/>
              </w:rPr>
            </w:pPr>
          </w:p>
        </w:tc>
        <w:tc>
          <w:tcPr>
            <w:tcW w:w="1083" w:type="dxa"/>
          </w:tcPr>
          <w:p>
            <w:pPr>
              <w:pStyle w:val="TableParagraph"/>
              <w:spacing w:line="152" w:lineRule="exact" w:before="45"/>
              <w:ind w:left="40"/>
              <w:rPr>
                <w:b/>
                <w:sz w:val="14"/>
              </w:rPr>
            </w:pPr>
            <w:r>
              <w:rPr>
                <w:b/>
                <w:sz w:val="14"/>
              </w:rPr>
              <w:t>-21.0</w:t>
            </w:r>
          </w:p>
        </w:tc>
      </w:tr>
    </w:tbl>
    <w:p>
      <w:pPr>
        <w:spacing w:before="132"/>
        <w:ind w:left="196" w:right="0" w:firstLine="0"/>
        <w:jc w:val="left"/>
        <w:rPr>
          <w:sz w:val="12"/>
        </w:rPr>
      </w:pPr>
      <w:r>
        <w:rPr>
          <w:sz w:val="12"/>
        </w:rPr>
        <w:t>Source: Bank of England.</w:t>
      </w:r>
    </w:p>
    <w:p>
      <w:pPr>
        <w:pStyle w:val="ListParagraph"/>
        <w:numPr>
          <w:ilvl w:val="0"/>
          <w:numId w:val="26"/>
        </w:numPr>
        <w:tabs>
          <w:tab w:pos="437" w:val="left" w:leader="none"/>
        </w:tabs>
        <w:spacing w:line="129" w:lineRule="exact" w:before="102" w:after="0"/>
        <w:ind w:left="436" w:right="0" w:hanging="241"/>
        <w:jc w:val="left"/>
        <w:rPr>
          <w:sz w:val="12"/>
        </w:rPr>
      </w:pPr>
      <w:r>
        <w:rPr>
          <w:sz w:val="12"/>
        </w:rPr>
        <w:t>Price data for September 1998 are provisional.</w:t>
      </w:r>
    </w:p>
    <w:p>
      <w:pPr>
        <w:pStyle w:val="ListParagraph"/>
        <w:numPr>
          <w:ilvl w:val="0"/>
          <w:numId w:val="26"/>
        </w:numPr>
        <w:tabs>
          <w:tab w:pos="437" w:val="left" w:leader="none"/>
        </w:tabs>
        <w:spacing w:line="208" w:lineRule="auto" w:before="6" w:after="0"/>
        <w:ind w:left="436" w:right="38" w:hanging="240"/>
        <w:jc w:val="left"/>
        <w:rPr>
          <w:sz w:val="12"/>
        </w:rPr>
      </w:pPr>
      <w:r>
        <w:rPr>
          <w:sz w:val="12"/>
        </w:rPr>
        <w:t>Weights reflect estimates of the value of demand for each sub-component in </w:t>
      </w:r>
      <w:r>
        <w:rPr>
          <w:spacing w:val="-4"/>
          <w:sz w:val="12"/>
        </w:rPr>
        <w:t>1990. </w:t>
      </w:r>
      <w:r>
        <w:rPr>
          <w:sz w:val="12"/>
        </w:rPr>
        <w:t>Column does not sum because of rounding.</w:t>
      </w:r>
    </w:p>
    <w:p>
      <w:pPr>
        <w:pStyle w:val="Heading4"/>
        <w:spacing w:line="242" w:lineRule="auto" w:before="3"/>
        <w:ind w:left="196" w:right="320"/>
        <w:jc w:val="both"/>
      </w:pPr>
      <w:r>
        <w:rPr/>
        <w:br w:type="column"/>
      </w:r>
      <w:r>
        <w:rPr/>
        <w:t>within the index </w:t>
      </w:r>
      <w:r>
        <w:rPr>
          <w:spacing w:val="-3"/>
        </w:rPr>
        <w:t>have </w:t>
      </w:r>
      <w:r>
        <w:rPr/>
        <w:t>fallen, but the largest </w:t>
      </w:r>
      <w:r>
        <w:rPr>
          <w:spacing w:val="-3"/>
        </w:rPr>
        <w:t>contributions </w:t>
      </w:r>
      <w:r>
        <w:rPr/>
        <w:t>to the decline </w:t>
      </w:r>
      <w:r>
        <w:rPr>
          <w:spacing w:val="-3"/>
        </w:rPr>
        <w:t>have </w:t>
      </w:r>
      <w:r>
        <w:rPr/>
        <w:t>come from lower prices for fuels and domestically produced food (see </w:t>
      </w:r>
      <w:r>
        <w:rPr>
          <w:spacing w:val="-4"/>
        </w:rPr>
        <w:t>Table</w:t>
      </w:r>
      <w:r>
        <w:rPr/>
        <w:t> 4.A).</w:t>
      </w:r>
    </w:p>
    <w:p>
      <w:pPr>
        <w:pStyle w:val="BodyText"/>
        <w:rPr>
          <w:sz w:val="23"/>
        </w:rPr>
      </w:pPr>
    </w:p>
    <w:p>
      <w:pPr>
        <w:spacing w:line="242" w:lineRule="auto" w:before="0"/>
        <w:ind w:left="196" w:right="270" w:firstLine="0"/>
        <w:jc w:val="left"/>
        <w:rPr>
          <w:sz w:val="24"/>
        </w:rPr>
      </w:pPr>
      <w:r>
        <w:rPr>
          <w:sz w:val="24"/>
        </w:rPr>
        <w:t>Wholesale food prices have been depressed by the strength of sterling against European currencies. The Bank’s regional Agencies report increasing competition from imports, and support prices under the Common Agriculture Policy have fallen. The ‘green’ exchange rate, used to translate intervention prices from Ecu into sterling, was devalued by 3.0% in October, reflecting the fall in sterling’s market value against European currencies; but it was still 19.4% higher than in</w:t>
      </w:r>
    </w:p>
    <w:p>
      <w:pPr>
        <w:spacing w:line="242" w:lineRule="auto" w:before="11"/>
        <w:ind w:left="196" w:right="375" w:firstLine="0"/>
        <w:jc w:val="left"/>
        <w:rPr>
          <w:sz w:val="24"/>
        </w:rPr>
      </w:pPr>
      <w:r>
        <w:rPr>
          <w:sz w:val="24"/>
        </w:rPr>
        <w:t>August 1996.</w:t>
      </w:r>
      <w:r>
        <w:rPr>
          <w:position w:val="5"/>
          <w:sz w:val="16"/>
        </w:rPr>
        <w:t>(1) </w:t>
      </w:r>
      <w:r>
        <w:rPr>
          <w:sz w:val="24"/>
        </w:rPr>
        <w:t>Some intervention prices may fall further from 2000, if the European Commission’s Agenda 2000 proposals are adopted.</w:t>
      </w:r>
    </w:p>
    <w:p>
      <w:pPr>
        <w:pStyle w:val="BodyText"/>
        <w:spacing w:before="11"/>
        <w:rPr>
          <w:sz w:val="22"/>
        </w:rPr>
      </w:pPr>
    </w:p>
    <w:p>
      <w:pPr>
        <w:spacing w:line="242" w:lineRule="auto" w:before="0"/>
        <w:ind w:left="196" w:right="475" w:firstLine="0"/>
        <w:jc w:val="left"/>
        <w:rPr>
          <w:sz w:val="24"/>
        </w:rPr>
      </w:pPr>
      <w:r>
        <w:rPr>
          <w:sz w:val="24"/>
        </w:rPr>
        <w:t>Much of the decline in world non-agricultural commodity prices since mid 1997 probably reflects the</w:t>
      </w:r>
    </w:p>
    <w:p>
      <w:pPr>
        <w:spacing w:after="0" w:line="242" w:lineRule="auto"/>
        <w:jc w:val="left"/>
        <w:rPr>
          <w:sz w:val="24"/>
        </w:rPr>
        <w:sectPr>
          <w:type w:val="continuous"/>
          <w:pgSz w:w="11900" w:h="16840"/>
          <w:pgMar w:top="1220" w:bottom="280" w:left="620" w:right="520"/>
          <w:cols w:num="2" w:equalWidth="0">
            <w:col w:w="4439" w:space="344"/>
            <w:col w:w="5977"/>
          </w:cols>
        </w:sectPr>
      </w:pPr>
    </w:p>
    <w:p>
      <w:pPr>
        <w:pStyle w:val="BodyText"/>
        <w:spacing w:before="4"/>
        <w:rPr>
          <w:sz w:val="16"/>
        </w:rPr>
      </w:pPr>
    </w:p>
    <w:p>
      <w:pPr>
        <w:pStyle w:val="BodyText"/>
        <w:spacing w:line="20" w:lineRule="exact"/>
        <w:ind w:left="4968"/>
        <w:rPr>
          <w:sz w:val="2"/>
        </w:rPr>
      </w:pPr>
      <w:r>
        <w:rPr>
          <w:sz w:val="2"/>
        </w:rPr>
        <w:pict>
          <v:group style="width:277pt;height:.15pt;mso-position-horizontal-relative:char;mso-position-vertical-relative:line" coordorigin="0,0" coordsize="5540,3">
            <v:line style="position:absolute" from="0,1" to="5540,1" stroked="true" strokeweight=".125pt" strokecolor="#000000">
              <v:stroke dashstyle="solid"/>
            </v:line>
          </v:group>
        </w:pict>
      </w:r>
      <w:r>
        <w:rPr>
          <w:sz w:val="2"/>
        </w:rPr>
      </w:r>
    </w:p>
    <w:p>
      <w:pPr>
        <w:pStyle w:val="ListParagraph"/>
        <w:numPr>
          <w:ilvl w:val="1"/>
          <w:numId w:val="26"/>
        </w:numPr>
        <w:tabs>
          <w:tab w:pos="5261" w:val="left" w:leader="none"/>
        </w:tabs>
        <w:spacing w:line="208" w:lineRule="auto" w:before="34" w:after="0"/>
        <w:ind w:left="5259" w:right="753" w:hanging="240"/>
        <w:jc w:val="left"/>
        <w:rPr>
          <w:sz w:val="16"/>
        </w:rPr>
      </w:pPr>
      <w:r>
        <w:rPr>
          <w:sz w:val="16"/>
        </w:rPr>
        <w:t>The operation of the ‘green’ exchange rate system is described in the box on page 46 of the May 1995 </w:t>
      </w:r>
      <w:r>
        <w:rPr>
          <w:i/>
          <w:sz w:val="16"/>
        </w:rPr>
        <w:t>Report</w:t>
      </w:r>
      <w:r>
        <w:rPr>
          <w:sz w:val="16"/>
        </w:rPr>
        <w:t>. Under the rules of this system, devaluations in the ‘green pound’ occur more frequently and more </w:t>
      </w:r>
      <w:r>
        <w:rPr>
          <w:spacing w:val="-3"/>
          <w:sz w:val="16"/>
        </w:rPr>
        <w:t>rapidly </w:t>
      </w:r>
      <w:r>
        <w:rPr>
          <w:sz w:val="16"/>
        </w:rPr>
        <w:t>when the market exchange rate is depreciating than revaluations occur when the market rate is appreciating. From 1 January 1999, intervention prices will be translated using the market exchange rate against the euro.</w:t>
      </w:r>
    </w:p>
    <w:p>
      <w:pPr>
        <w:spacing w:after="0" w:line="208" w:lineRule="auto"/>
        <w:jc w:val="left"/>
        <w:rPr>
          <w:sz w:val="16"/>
        </w:rPr>
        <w:sectPr>
          <w:type w:val="continuous"/>
          <w:pgSz w:w="11900" w:h="16840"/>
          <w:pgMar w:top="1220" w:bottom="280" w:left="620" w:right="520"/>
        </w:sectPr>
      </w:pPr>
    </w:p>
    <w:p>
      <w:pPr>
        <w:pStyle w:val="BodyText"/>
        <w:rPr>
          <w:sz w:val="20"/>
        </w:rPr>
      </w:pPr>
    </w:p>
    <w:p>
      <w:pPr>
        <w:spacing w:after="0"/>
        <w:rPr>
          <w:sz w:val="20"/>
        </w:rPr>
        <w:sectPr>
          <w:headerReference w:type="default" r:id="rId81"/>
          <w:headerReference w:type="even" r:id="rId82"/>
          <w:pgSz w:w="11900" w:h="16840"/>
          <w:pgMar w:header="586" w:footer="617" w:top="780" w:bottom="800" w:left="620" w:right="52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7"/>
        <w:spacing w:before="161"/>
        <w:ind w:left="185"/>
      </w:pPr>
      <w:bookmarkStart w:name="Import prices and the exchange rate" w:id="65"/>
      <w:bookmarkEnd w:id="65"/>
      <w:r>
        <w:rPr>
          <w:b w:val="0"/>
        </w:rPr>
      </w:r>
      <w:bookmarkStart w:name="_bookmark23" w:id="66"/>
      <w:bookmarkEnd w:id="66"/>
      <w:r>
        <w:rPr>
          <w:b w:val="0"/>
        </w:rPr>
      </w:r>
      <w:r>
        <w:rPr>
          <w:color w:val="0093C1"/>
        </w:rPr>
        <w:t>Chart 4.2</w:t>
      </w:r>
    </w:p>
    <w:p>
      <w:pPr>
        <w:spacing w:before="10"/>
        <w:ind w:left="185" w:right="0" w:firstLine="0"/>
        <w:jc w:val="left"/>
        <w:rPr>
          <w:sz w:val="12"/>
        </w:rPr>
      </w:pPr>
      <w:r>
        <w:rPr>
          <w:b/>
          <w:color w:val="0093C1"/>
          <w:sz w:val="20"/>
        </w:rPr>
        <w:t>The relative price of commodities</w:t>
      </w:r>
      <w:r>
        <w:rPr>
          <w:position w:val="4"/>
          <w:sz w:val="12"/>
        </w:rPr>
        <w:t>(a)</w:t>
      </w:r>
    </w:p>
    <w:p>
      <w:pPr>
        <w:spacing w:before="72"/>
        <w:ind w:left="3043" w:right="0" w:firstLine="0"/>
        <w:jc w:val="left"/>
        <w:rPr>
          <w:sz w:val="12"/>
        </w:rPr>
      </w:pPr>
      <w:r>
        <w:rPr/>
        <w:pict>
          <v:group style="position:absolute;margin-left:43.349998pt;margin-top:18.701576pt;width:167pt;height:120pt;mso-position-horizontal-relative:page;mso-position-vertical-relative:paragraph;z-index:16006144" coordorigin="867,374" coordsize="3340,2400">
            <v:shape style="position:absolute;left:1027;top:384;width:1460;height:1620" coordorigin="1027,384" coordsize="1460,1620" path="m1027,1604l1027,1624,1047,1584,1047,1644,1067,1624,1067,1584,1087,1584,1087,1564,1087,1604,1107,1624,1107,1564,1127,1544,1127,1604,1147,1624,1147,1544,1147,1584,1167,1604,1167,1624,1167,1584,1187,1584,1187,1564,1207,1584,1207,1644,1227,1624,1227,1604,1227,1684,1247,1704,1247,1664,1267,1644m1267,1644l1267,1664,1267,1644,1287,1684,1287,1644,1307,1624,1307,1664,1327,1644,1347,1644,1347,1664,1347,1604,1347,1624,1367,1644,1367,1624,1387,1644m1387,1644l1387,1604,1387,1644,1387,1624,1407,1644,1407,1624,1427,1604,1427,1584,1427,1624,1447,1624,1447,1584,1467,1604,1467,1624,1487,1604,1487,1524,1507,1504m1507,1504l1507,1544,1507,1484,1527,1444,1527,1384,1527,1424,1547,1464,1547,1564,1547,1504,1567,1484,1587,1484,1587,1564,1587,1524,1607,1504,1607,1464,1607,1504,1627,1484m1627,1484l1627,1344,1647,1364m1647,1364l1647,1404,1647,1364,1667,1384,1667,1484,1687,1504,1687,1524,1707,1524,1707,1544,1727,1564,1727,1524,1727,1584,1747,1584,1747,1564,1767,1524m1767,1524l1767,1464,1787,1384,1787,1524,1807,1544,1807,1624,1827,1584,1827,1604,1827,1564,1847,1584,1847,1524,1867,1524,1867,1464,1887,1424m1887,1424l1887,1464,1887,1444,1887,1464,1907,1464,1907,1524,1927,1504,1927,1484,1947,1484,1947,1524,1967,1564,1967,1584,1987,1584,1987,1604,2007,1624m2007,1624l2007,1644,2027,1664,2027,1684,2047,1724,2047,1864,2067,1864,2067,1824,2067,1864,2087,1864,2087,1804,2087,1824,2107,1844,2107,1864,2127,1824m2127,1824l2127,1624,2147,1464,2147,1244,2167,1204,2167,1224,2167,1064,2187,824,2187,864,2187,624,2207,824,2207,864,2207,564,2227,384,2227,624m2227,624l2247,884,2247,1204,2267,1164m2267,1164l2267,1124,2267,1224,2287,1184,2287,1684,2307,1824,2307,1864,2327,1964,2327,2004,2327,1864,2347,1664,2347,1724,2367,1844,2367,1804,2387,1724m2367,1724l2387,1684,2387,1524,2407,1424,2407,1404,2407,1484,2427,1464,2427,1524,2447,1484,2447,1284,2467,1084,2467,1424,2487,1604,2487,1744e" filled="false" stroked="true" strokeweight="1pt" strokecolor="#0099d8">
              <v:path arrowok="t"/>
              <v:stroke dashstyle="solid"/>
            </v:shape>
            <v:shape style="position:absolute;left:2477;top:1654;width:140;height:240" type="#_x0000_t75" stroked="false">
              <v:imagedata r:id="rId83" o:title=""/>
            </v:shape>
            <v:shape style="position:absolute;left:2607;top:1504;width:120;height:400" coordorigin="2607,1504" coordsize="120,400" path="m2607,1684l2627,1644,2627,1504,2627,1564,2647,1624,2647,1584,2647,1624,2667,1664,2667,1704,2667,1624,2687,1704,2687,1824,2707,1904,2707,1864,2727,1824,2727,1864,2727,1804e" filled="false" stroked="true" strokeweight="1pt" strokecolor="#0099d8">
              <v:path arrowok="t"/>
              <v:stroke dashstyle="solid"/>
            </v:shape>
            <v:shape style="position:absolute;left:2717;top:1794;width:160;height:400" type="#_x0000_t75" stroked="false">
              <v:imagedata r:id="rId84" o:title=""/>
            </v:shape>
            <v:shape style="position:absolute;left:2867;top:1824;width:600;height:840" coordorigin="2867,1824" coordsize="600,840" path="m2867,2164l2887,2144,2887,2284,2907,2224,2907,2104,2927,2044,2927,1984,2947,1844,2947,1824,2947,1864,2967,1844,2967,1824,2967,1904,2987,1904,2987,1824m2987,1824l3007,1884,3007,2004,3027,1984,3027,2044,3047,2064,3047,2024,3067,2104,3067,2184,3087,2284,3087,2364,3107,2424,3107,2364m3107,2364l3127,2344,3127,2404,3147,2444,3147,2604,3167,2624,3167,2584,3167,2604,3187,2584,3187,2664,3207,2644,3207,2624,3227,2584,3227,2484,3247,2464,3247,2424,3247,2464,3267,2444,3267,2404,3287,2344,3287,2244,3307,2044,3307,2184,3327,2224,3327,2284,3327,2224,3347,2204,3347,2244m3347,2244l3347,2204,3367,2244,3367,2184,3367,2224,3387,2324,3387,2304,3407,2344,3407,2524,3427,2544,3427,2464,3447,2464,3447,2564,3467,2584e" filled="false" stroked="true" strokeweight="1pt" strokecolor="#0099d8">
              <v:path arrowok="t"/>
              <v:stroke dashstyle="solid"/>
            </v:shape>
            <v:shape style="position:absolute;left:3457;top:2294;width:600;height:480" type="#_x0000_t75" stroked="false">
              <v:imagedata r:id="rId85" o:title=""/>
            </v:shape>
            <v:shape style="position:absolute;left:867;top:564;width:3340;height:2000" coordorigin="867,564" coordsize="3340,2000" path="m967,2564l867,2564m967,2244l867,2244m967,1904l867,1904m967,1564l867,1564m967,1224l867,1224m967,904l867,904m967,564l867,564m4207,2564l4107,2564m4207,2244l4107,2244m4207,1904l4107,1904m4207,1564l4107,1564m4207,1224l4107,1224m4207,904l4107,904m4207,564l4107,564e" filled="false" stroked="true" strokeweight=".5pt" strokecolor="#000000">
              <v:path arrowok="t"/>
              <v:stroke dashstyle="solid"/>
            </v:shape>
            <w10:wrap type="none"/>
          </v:group>
        </w:pict>
      </w:r>
      <w:r>
        <w:rPr/>
        <w:pict>
          <v:line style="position:absolute;mso-position-horizontal-relative:page;mso-position-vertical-relative:paragraph;z-index:16006656" from="48.349998pt,11.201577pt" to="43.349998pt,11.201577pt" stroked="true" strokeweight=".5pt" strokecolor="#000000">
            <v:stroke dashstyle="solid"/>
            <w10:wrap type="none"/>
          </v:line>
        </w:pict>
      </w:r>
      <w:r>
        <w:rPr>
          <w:sz w:val="12"/>
        </w:rPr>
        <w:t>1990 = 1</w:t>
      </w:r>
      <w:r>
        <w:rPr>
          <w:sz w:val="12"/>
          <w:u w:val="single"/>
        </w:rPr>
        <w:t>00</w:t>
      </w:r>
      <w:r>
        <w:rPr>
          <w:spacing w:val="6"/>
          <w:sz w:val="12"/>
        </w:rPr>
        <w:t> </w:t>
      </w:r>
      <w:r>
        <w:rPr>
          <w:position w:val="-7"/>
          <w:sz w:val="12"/>
        </w:rPr>
        <w:t>240</w:t>
      </w:r>
    </w:p>
    <w:p>
      <w:pPr>
        <w:pStyle w:val="BodyText"/>
        <w:spacing w:before="6"/>
        <w:rPr>
          <w:sz w:val="17"/>
        </w:rPr>
      </w:pPr>
    </w:p>
    <w:p>
      <w:pPr>
        <w:spacing w:before="0"/>
        <w:ind w:left="3627" w:right="0" w:firstLine="0"/>
        <w:jc w:val="left"/>
        <w:rPr>
          <w:sz w:val="12"/>
        </w:rPr>
      </w:pPr>
      <w:r>
        <w:rPr>
          <w:sz w:val="12"/>
        </w:rPr>
        <w:t>220</w:t>
      </w:r>
    </w:p>
    <w:p>
      <w:pPr>
        <w:pStyle w:val="BodyText"/>
        <w:spacing w:before="7"/>
        <w:rPr>
          <w:sz w:val="17"/>
        </w:rPr>
      </w:pPr>
    </w:p>
    <w:p>
      <w:pPr>
        <w:spacing w:before="0"/>
        <w:ind w:left="3627" w:right="0" w:firstLine="0"/>
        <w:jc w:val="left"/>
        <w:rPr>
          <w:sz w:val="12"/>
        </w:rPr>
      </w:pPr>
      <w:r>
        <w:rPr>
          <w:sz w:val="12"/>
        </w:rPr>
        <w:t>200</w:t>
      </w:r>
    </w:p>
    <w:p>
      <w:pPr>
        <w:pStyle w:val="Heading4"/>
        <w:spacing w:line="242" w:lineRule="auto" w:before="207"/>
        <w:ind w:left="185" w:right="401"/>
      </w:pPr>
      <w:r>
        <w:rPr/>
        <w:br w:type="column"/>
      </w:r>
      <w:r>
        <w:rPr/>
        <w:t>direct and indirect effects of weaker current and future expected growth in Asia. Prior to the downturn, the region accounted for a large share of the growth in commodity demand. For example, between 1992–96, around two thirds of the increase in world consumption of petroleum products, aluminium, zinc and lead came from Asian developing countries.</w:t>
      </w:r>
      <w:r>
        <w:rPr>
          <w:position w:val="5"/>
          <w:sz w:val="16"/>
        </w:rPr>
        <w:t>(1) </w:t>
      </w:r>
      <w:r>
        <w:rPr/>
        <w:t>Lower commodity prices also played a part in precipitating the recent turbulence in Russia: well over half of Russian export revenues in 1995 came from sales of oil, gas and other basic materials. Dollar oil prices rose in September, amid market perceptions of a reduction in supply. But this partly unwound in October, and futures markets suggested that prices over the next six months were expected to remain considerably below their 1997 levels.</w:t>
      </w:r>
    </w:p>
    <w:p>
      <w:pPr>
        <w:spacing w:after="0" w:line="242" w:lineRule="auto"/>
        <w:sectPr>
          <w:type w:val="continuous"/>
          <w:pgSz w:w="11900" w:h="16840"/>
          <w:pgMar w:top="1220" w:bottom="280" w:left="620" w:right="520"/>
          <w:cols w:num="2" w:equalWidth="0">
            <w:col w:w="3848" w:space="932"/>
            <w:col w:w="5980"/>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5"/>
        </w:rPr>
      </w:pPr>
    </w:p>
    <w:p>
      <w:pPr>
        <w:pStyle w:val="BodyText"/>
        <w:spacing w:line="20" w:lineRule="exact"/>
        <w:ind w:left="242"/>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rPr>
          <w:sz w:val="12"/>
        </w:rPr>
      </w:pPr>
    </w:p>
    <w:p>
      <w:pPr>
        <w:pStyle w:val="BodyText"/>
        <w:spacing w:before="6"/>
        <w:rPr>
          <w:sz w:val="16"/>
        </w:rPr>
      </w:pPr>
    </w:p>
    <w:p>
      <w:pPr>
        <w:tabs>
          <w:tab w:pos="856" w:val="left" w:leader="none"/>
          <w:tab w:pos="1236" w:val="left" w:leader="none"/>
          <w:tab w:pos="1616" w:val="left" w:leader="none"/>
          <w:tab w:pos="1976" w:val="left" w:leader="none"/>
          <w:tab w:pos="2357" w:val="left" w:leader="none"/>
          <w:tab w:pos="2737" w:val="left" w:leader="none"/>
          <w:tab w:pos="3097" w:val="left" w:leader="none"/>
        </w:tabs>
        <w:spacing w:before="0"/>
        <w:ind w:left="407" w:right="0" w:firstLine="0"/>
        <w:jc w:val="left"/>
        <w:rPr>
          <w:sz w:val="12"/>
        </w:rPr>
      </w:pPr>
      <w:r>
        <w:rPr/>
        <w:pict>
          <v:shape style="position:absolute;margin-left:43.349998pt;margin-top:-5.148423pt;width:158pt;height:5pt;mso-position-horizontal-relative:page;mso-position-vertical-relative:paragraph;z-index:16005632" coordorigin="867,-103" coordsize="3160,100" path="m3787,-3l3787,-103m2667,-3l2667,-103m2287,-3l2287,-103m1927,-3l1927,-103m1547,-3l1547,-103m967,-3l867,-3m1027,-3l4027,-3m1027,-3l1027,-43m1097,-3l1097,-43m1243,-3l1243,-43m1319,-3l1319,-43m1395,-3l1395,-43m1471,-3l1471,-43m1623,-3l1623,-43m1699,-3l1699,-43m1775,-3l1775,-43m1851,-3l1851,-43m1999,-3l1999,-43m2071,-3l2071,-43m2143,-3l2143,-43m2215,-3l2215,-43m2363,-3l2363,-43m2439,-3l2439,-43m2515,-3l2515,-43m2591,-3l2591,-43m2743,-3l2743,-43m2819,-3l2819,-43m2895,-3l2895,-43m2971,-3l2971,-43m3119,-3l3119,-43m3191,-3l3191,-43m3263,-3l3263,-43m3335,-3l3335,-43m3483,-3l3483,-43m3559,-3l3559,-43m3635,-3l3635,-43m3711,-3l3711,-43m3867,-3l3867,-43m3947,-3l3947,-43m4027,-3l4027,-43m1167,-3l1167,-103m3047,-3l3047,-103m3407,-3l3407,-103e" filled="false" stroked="true" strokeweight=".5pt" strokecolor="#000000">
            <v:path arrowok="t"/>
            <v:stroke dashstyle="solid"/>
            <w10:wrap type="none"/>
          </v:shape>
        </w:pict>
      </w:r>
      <w:r>
        <w:rPr>
          <w:sz w:val="12"/>
        </w:rPr>
        <w:t>1960</w:t>
        <w:tab/>
        <w:t>65</w:t>
        <w:tab/>
        <w:t>70</w:t>
        <w:tab/>
        <w:t>75</w:t>
        <w:tab/>
        <w:t>80</w:t>
        <w:tab/>
        <w:t>85</w:t>
        <w:tab/>
        <w:t>90</w:t>
        <w:tab/>
        <w:t>95</w:t>
      </w:r>
    </w:p>
    <w:p>
      <w:pPr>
        <w:spacing w:before="93"/>
        <w:ind w:left="205" w:right="0" w:firstLine="0"/>
        <w:jc w:val="left"/>
        <w:rPr>
          <w:sz w:val="12"/>
        </w:rPr>
      </w:pPr>
      <w:r>
        <w:rPr>
          <w:sz w:val="12"/>
        </w:rPr>
        <w:t>Sources: United Nations and International Monetary Fund.</w:t>
      </w:r>
    </w:p>
    <w:p>
      <w:pPr>
        <w:pStyle w:val="BodyText"/>
        <w:spacing w:before="2"/>
        <w:rPr>
          <w:sz w:val="13"/>
        </w:rPr>
      </w:pPr>
      <w:r>
        <w:rPr/>
        <w:br w:type="column"/>
      </w:r>
      <w:r>
        <w:rPr>
          <w:sz w:val="13"/>
        </w:rPr>
      </w:r>
    </w:p>
    <w:p>
      <w:pPr>
        <w:spacing w:before="0"/>
        <w:ind w:left="205" w:right="0" w:firstLine="0"/>
        <w:jc w:val="left"/>
        <w:rPr>
          <w:sz w:val="12"/>
        </w:rPr>
      </w:pPr>
      <w:r>
        <w:rPr>
          <w:sz w:val="12"/>
        </w:rPr>
        <w:t>180</w:t>
      </w:r>
    </w:p>
    <w:p>
      <w:pPr>
        <w:pStyle w:val="BodyText"/>
        <w:spacing w:before="7"/>
        <w:rPr>
          <w:sz w:val="17"/>
        </w:rPr>
      </w:pPr>
    </w:p>
    <w:p>
      <w:pPr>
        <w:spacing w:before="0"/>
        <w:ind w:left="205" w:right="0" w:firstLine="0"/>
        <w:jc w:val="left"/>
        <w:rPr>
          <w:sz w:val="12"/>
        </w:rPr>
      </w:pPr>
      <w:r>
        <w:rPr>
          <w:sz w:val="12"/>
        </w:rPr>
        <w:t>160</w:t>
      </w:r>
    </w:p>
    <w:p>
      <w:pPr>
        <w:pStyle w:val="BodyText"/>
        <w:spacing w:before="6"/>
        <w:rPr>
          <w:sz w:val="17"/>
        </w:rPr>
      </w:pPr>
    </w:p>
    <w:p>
      <w:pPr>
        <w:spacing w:before="0"/>
        <w:ind w:left="205" w:right="0" w:firstLine="0"/>
        <w:jc w:val="left"/>
        <w:rPr>
          <w:sz w:val="12"/>
        </w:rPr>
      </w:pPr>
      <w:r>
        <w:rPr>
          <w:sz w:val="12"/>
        </w:rPr>
        <w:t>140</w:t>
      </w:r>
    </w:p>
    <w:p>
      <w:pPr>
        <w:pStyle w:val="BodyText"/>
        <w:spacing w:before="7"/>
        <w:rPr>
          <w:sz w:val="17"/>
        </w:rPr>
      </w:pPr>
    </w:p>
    <w:p>
      <w:pPr>
        <w:spacing w:before="0"/>
        <w:ind w:left="205" w:right="0" w:firstLine="0"/>
        <w:jc w:val="left"/>
        <w:rPr>
          <w:sz w:val="12"/>
        </w:rPr>
      </w:pPr>
      <w:r>
        <w:rPr>
          <w:sz w:val="12"/>
        </w:rPr>
        <w:t>120</w:t>
      </w:r>
    </w:p>
    <w:p>
      <w:pPr>
        <w:pStyle w:val="BodyText"/>
        <w:spacing w:before="9"/>
        <w:rPr>
          <w:sz w:val="15"/>
        </w:rPr>
      </w:pPr>
    </w:p>
    <w:p>
      <w:pPr>
        <w:spacing w:before="0"/>
        <w:ind w:left="205" w:right="0" w:firstLine="0"/>
        <w:jc w:val="left"/>
        <w:rPr>
          <w:sz w:val="12"/>
        </w:rPr>
      </w:pPr>
      <w:r>
        <w:rPr>
          <w:sz w:val="12"/>
        </w:rPr>
        <w:t>100</w:t>
      </w:r>
    </w:p>
    <w:p>
      <w:pPr>
        <w:pStyle w:val="BodyText"/>
        <w:spacing w:before="7"/>
        <w:rPr>
          <w:sz w:val="17"/>
        </w:rPr>
      </w:pPr>
    </w:p>
    <w:p>
      <w:pPr>
        <w:spacing w:before="0"/>
        <w:ind w:left="250" w:right="0" w:firstLine="0"/>
        <w:jc w:val="left"/>
        <w:rPr>
          <w:sz w:val="12"/>
        </w:rPr>
      </w:pPr>
      <w:r>
        <w:rPr/>
        <w:pict>
          <v:line style="position:absolute;mso-position-horizontal-relative:page;mso-position-vertical-relative:paragraph;z-index:16007168" from="210.350006pt,3.601577pt" to="205.350006pt,3.601577pt" stroked="true" strokeweight=".5pt" strokecolor="#000000">
            <v:stroke dashstyle="solid"/>
            <w10:wrap type="none"/>
          </v:line>
        </w:pict>
      </w:r>
      <w:r>
        <w:rPr>
          <w:sz w:val="12"/>
        </w:rPr>
        <w:t>80</w:t>
      </w:r>
    </w:p>
    <w:p>
      <w:pPr>
        <w:pStyle w:val="BodyText"/>
        <w:spacing w:before="6"/>
        <w:rPr>
          <w:sz w:val="17"/>
        </w:rPr>
      </w:pPr>
    </w:p>
    <w:p>
      <w:pPr>
        <w:spacing w:before="0"/>
        <w:ind w:left="250" w:right="0" w:firstLine="0"/>
        <w:jc w:val="left"/>
        <w:rPr>
          <w:sz w:val="12"/>
        </w:rPr>
      </w:pPr>
      <w:r>
        <w:rPr/>
        <w:pict>
          <v:line style="position:absolute;mso-position-horizontal-relative:page;mso-position-vertical-relative:paragraph;z-index:16007680" from="210.350006pt,3.60176pt" to="205.350006pt,3.60176pt" stroked="true" strokeweight=".5pt" strokecolor="#000000">
            <v:stroke dashstyle="solid"/>
            <w10:wrap type="none"/>
          </v:line>
        </w:pict>
      </w:r>
      <w:r>
        <w:rPr>
          <w:sz w:val="12"/>
        </w:rPr>
        <w:t>60</w:t>
      </w:r>
    </w:p>
    <w:p>
      <w:pPr>
        <w:pStyle w:val="BodyText"/>
        <w:rPr>
          <w:sz w:val="24"/>
        </w:rPr>
      </w:pPr>
      <w:r>
        <w:rPr/>
        <w:br w:type="column"/>
      </w:r>
      <w:r>
        <w:rPr>
          <w:sz w:val="24"/>
        </w:rPr>
      </w:r>
    </w:p>
    <w:p>
      <w:pPr>
        <w:pStyle w:val="Heading4"/>
        <w:spacing w:line="280" w:lineRule="atLeast"/>
        <w:ind w:left="205" w:right="236"/>
      </w:pPr>
      <w:r>
        <w:rPr/>
        <w:t>In the longer term, improvements in commodity extraction and production technologies, together with attempts by industries in advanced economies to economise on commodity use, have led to a trend decline in commodity prices relative to those of other goods (see Chart 4.2). Despite their recent sharp falls, commodity prices do not appear unusually low relative to this trend. The MPC’s central projection assumes that world commodity prices will be broadly flat through the</w:t>
      </w:r>
    </w:p>
    <w:p>
      <w:pPr>
        <w:spacing w:after="0" w:line="280" w:lineRule="atLeast"/>
        <w:sectPr>
          <w:type w:val="continuous"/>
          <w:pgSz w:w="11900" w:h="16840"/>
          <w:pgMar w:top="1220" w:bottom="280" w:left="620" w:right="520"/>
          <w:cols w:num="3" w:equalWidth="0">
            <w:col w:w="3258" w:space="164"/>
            <w:col w:w="426" w:space="912"/>
            <w:col w:w="6000"/>
          </w:cols>
        </w:sectPr>
      </w:pPr>
    </w:p>
    <w:p>
      <w:pPr>
        <w:spacing w:line="52" w:lineRule="exact" w:before="0"/>
        <w:ind w:left="205" w:right="0" w:firstLine="0"/>
        <w:jc w:val="left"/>
        <w:rPr>
          <w:sz w:val="12"/>
        </w:rPr>
      </w:pPr>
      <w:r>
        <w:rPr>
          <w:sz w:val="12"/>
        </w:rPr>
        <w:t>(a) United Nations commodity price index divided by industrialised countries’</w:t>
      </w:r>
    </w:p>
    <w:p>
      <w:pPr>
        <w:spacing w:line="129" w:lineRule="exact" w:before="0"/>
        <w:ind w:left="445" w:right="0" w:firstLine="0"/>
        <w:jc w:val="left"/>
        <w:rPr>
          <w:sz w:val="12"/>
        </w:rPr>
      </w:pPr>
      <w:r>
        <w:rPr>
          <w:sz w:val="12"/>
        </w:rPr>
        <w:t>export prices (both in dollars).</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0"/>
        <w:rPr>
          <w:sz w:val="9"/>
        </w:rPr>
      </w:pPr>
    </w:p>
    <w:p>
      <w:pPr>
        <w:pStyle w:val="Heading7"/>
        <w:spacing w:before="1"/>
        <w:ind w:left="185"/>
      </w:pPr>
      <w:r>
        <w:rPr>
          <w:color w:val="0093C1"/>
        </w:rPr>
        <w:t>Chart 4.3</w:t>
      </w:r>
    </w:p>
    <w:p>
      <w:pPr>
        <w:spacing w:before="10"/>
        <w:ind w:left="185" w:right="0" w:firstLine="0"/>
        <w:jc w:val="left"/>
        <w:rPr>
          <w:b/>
          <w:sz w:val="20"/>
        </w:rPr>
      </w:pPr>
      <w:r>
        <w:rPr>
          <w:b/>
          <w:color w:val="0093C1"/>
          <w:sz w:val="20"/>
        </w:rPr>
        <w:t>Goods import prices and the exchange rate</w:t>
      </w:r>
    </w:p>
    <w:p>
      <w:pPr>
        <w:tabs>
          <w:tab w:pos="3204" w:val="left" w:leader="none"/>
        </w:tabs>
        <w:spacing w:line="85" w:lineRule="exact" w:before="118"/>
        <w:ind w:left="391" w:right="0" w:firstLine="0"/>
        <w:jc w:val="left"/>
        <w:rPr>
          <w:sz w:val="12"/>
        </w:rPr>
      </w:pPr>
      <w:r>
        <w:rPr/>
        <w:pict>
          <v:group style="position:absolute;margin-left:51.779999pt;margin-top:19.155071pt;width:167pt;height:130pt;mso-position-horizontal-relative:page;mso-position-vertical-relative:paragraph;z-index:16010240" coordorigin="1036,383" coordsize="3340,2600">
            <v:shape style="position:absolute;left:1035;top:700;width:100;height:2160" coordorigin="1036,700" coordsize="100,2160" path="m1136,2860l1036,2860m1136,2420l1036,2420m1136,2000l1036,2000m1136,1560l1036,1560m1136,1140l1036,1140m1136,700l1036,700e" filled="false" stroked="true" strokeweight=".5pt" strokecolor="#000000">
              <v:path arrowok="t"/>
              <v:stroke dashstyle="solid"/>
            </v:shape>
            <v:shape style="position:absolute;left:1195;top:520;width:3020;height:2440" coordorigin="1196,520" coordsize="3020,2440" path="m1196,1440l1256,1280,1316,1200,1356,1160,1416,1120,1476,1140,1516,1020,1576,1000,1636,1040,1676,1140,1796,1140,1836,1080,1896,960,1956,800,1996,680,2116,640,2176,580,2216,660,2276,700,2336,660,2376,560,2436,520,2496,540,2556,600,2596,580,2656,600,2716,680,2756,820,2816,800,2876,700,2916,840,2976,1060,3036,1440,3096,1620,3136,1820,3196,1980,3256,1980,3296,2200,3356,2160,3416,2280,3456,2700,3516,2500,3576,2280,3616,2360,3676,2640,3736,2700,3776,2720,3836,2720,3896,2940,3936,2960,3996,2600,4056,2800,4096,2780,4156,2720,4216,2580e" filled="false" stroked="true" strokeweight="1pt" strokecolor="#f7a08b">
              <v:path arrowok="t"/>
              <v:stroke dashstyle="solid"/>
            </v:shape>
            <v:shape style="position:absolute;left:4295;top:700;width:80;height:2160" coordorigin="4296,700" coordsize="80,2160" path="m4296,2860l4376,2860m4296,2420l4376,2420m4296,2000l4376,2000m4296,1560l4376,1560m4296,1140l4376,1140m4296,700l4376,700e" filled="false" stroked="true" strokeweight=".5pt" strokecolor="#000000">
              <v:path arrowok="t"/>
              <v:stroke dashstyle="solid"/>
            </v:shape>
            <v:shape style="position:absolute;left:1195;top:520;width:2860;height:1220" coordorigin="1196,520" coordsize="2860,1220" path="m1196,1740l1256,1740,1316,1680,1356,1540,1416,1540,1476,1340,1516,1300,1576,1440,1636,1400,1676,1480,1736,1420,1796,1280,1836,1040,1896,940,1956,900,1996,720,2056,680,2116,620,2176,580,2216,560,2276,560,2336,640,2376,620,2496,580,2556,620,2656,520,2716,540,2756,620,2816,660,2876,640,2916,620,2976,680,3036,920,3096,940,3136,1020,3196,1020,3256,1040,3296,1180,3356,1160,3416,1220,3456,1320,3516,1240,3576,1240,3616,1260,3676,1340,3736,1380,3776,1400,3836,1420,3936,1520,3996,1440,4056,1520e" filled="false" stroked="true" strokeweight="1pt" strokecolor="#522e91">
              <v:path arrowok="t"/>
              <v:stroke dashstyle="solid"/>
            </v:shape>
            <v:shape style="position:absolute;left:1195;top:480;width:2960;height:1340" coordorigin="1196,480" coordsize="2960,1340" path="m1196,1360l1256,1420,1316,1340,1356,1300,1416,1320,1476,1180,1516,1080,1576,960,1636,1140,1676,1180,1736,1120,1796,1020,1836,920,1896,840,1956,880,1996,760,2056,760,2116,680,2176,620,2216,560,2276,540,2336,640,2376,640,2436,620,2496,560,2556,560,2596,540,2656,480,2716,540,2756,640,2816,760,2876,760,2916,800,2976,760,3036,960,3096,1000,3136,1060,3196,1080,3256,1120,3296,1200,3356,1200,3416,1260,3456,1320,3516,1240,3576,1260,3616,1320,3676,1420,3736,1420,3776,1520,3896,1640,3936,1700,3996,1640,4056,1700,4096,1820,4156,1820e" filled="false" stroked="true" strokeweight="1pt" strokecolor="#9aca3c">
              <v:path arrowok="t"/>
              <v:stroke dashstyle="solid"/>
            </v:shape>
            <v:line style="position:absolute" from="2839,1803" to="3706,1583" stroked="true" strokeweight=".5pt" strokecolor="#000000">
              <v:stroke dashstyle="solid"/>
            </v:line>
            <v:shape style="position:absolute;left:3682;top:1563;width:89;height:49" coordorigin="3683,1563" coordsize="89,49" path="m3683,1563l3695,1612,3709,1602,3720,1595,3771,1567,3762,1567,3752,1568,3739,1568,3726,1568,3714,1567,3683,1563xe" filled="true" fillcolor="#000000" stroked="false">
              <v:path arrowok="t"/>
              <v:fill type="solid"/>
            </v:shape>
            <v:shape style="position:absolute;left:2957;top:383;width:920;height:367" type="#_x0000_t202" filled="false" stroked="false">
              <v:textbox inset="0,0,0,0">
                <w:txbxContent>
                  <w:p>
                    <w:pPr>
                      <w:spacing w:line="204" w:lineRule="auto" w:before="11"/>
                      <w:ind w:left="50" w:right="18" w:hanging="51"/>
                      <w:jc w:val="left"/>
                      <w:rPr>
                        <w:sz w:val="12"/>
                      </w:rPr>
                    </w:pPr>
                    <w:r>
                      <w:rPr>
                        <w:sz w:val="12"/>
                      </w:rPr>
                      <w:t>Import prices before revisions (right-hand scale)</w:t>
                    </w:r>
                  </w:p>
                </w:txbxContent>
              </v:textbox>
              <w10:wrap type="none"/>
            </v:shape>
            <v:shape style="position:absolute;left:2048;top:1616;width:909;height:387" type="#_x0000_t202" filled="false" stroked="false">
              <v:textbox inset="0,0,0,0">
                <w:txbxContent>
                  <w:p>
                    <w:pPr>
                      <w:spacing w:line="220" w:lineRule="auto" w:before="4"/>
                      <w:ind w:left="38" w:right="18" w:hanging="39"/>
                      <w:jc w:val="left"/>
                      <w:rPr>
                        <w:sz w:val="12"/>
                      </w:rPr>
                    </w:pPr>
                    <w:r>
                      <w:rPr>
                        <w:sz w:val="12"/>
                      </w:rPr>
                      <w:t>Import prices after revisions (right-hand </w:t>
                    </w:r>
                    <w:r>
                      <w:rPr>
                        <w:spacing w:val="-3"/>
                        <w:sz w:val="12"/>
                      </w:rPr>
                      <w:t>scale)</w:t>
                    </w:r>
                  </w:p>
                </w:txbxContent>
              </v:textbox>
              <w10:wrap type="none"/>
            </v:shape>
            <v:shape style="position:absolute;left:2405;top:2723;width:1312;height:260" type="#_x0000_t202" filled="false" stroked="false">
              <v:textbox inset="0,0,0,0">
                <w:txbxContent>
                  <w:p>
                    <w:pPr>
                      <w:spacing w:line="220" w:lineRule="auto" w:before="4"/>
                      <w:ind w:left="55" w:right="0" w:hanging="56"/>
                      <w:jc w:val="left"/>
                      <w:rPr>
                        <w:sz w:val="12"/>
                      </w:rPr>
                    </w:pPr>
                    <w:r>
                      <w:rPr>
                        <w:sz w:val="12"/>
                      </w:rPr>
                      <w:t>Sterling effective index (a) (inverted, left-hand scale)</w:t>
                    </w:r>
                  </w:p>
                </w:txbxContent>
              </v:textbox>
              <w10:wrap type="none"/>
            </v:shape>
            <w10:wrap type="none"/>
          </v:group>
        </w:pict>
      </w:r>
      <w:r>
        <w:rPr/>
        <w:pict>
          <v:line style="position:absolute;mso-position-horizontal-relative:page;mso-position-vertical-relative:paragraph;z-index:16011776" from="214.779999pt,14.001551pt" to="218.779999pt,14.001551pt" stroked="true" strokeweight=".5pt" strokecolor="#000000">
            <v:stroke dashstyle="solid"/>
            <w10:wrap type="none"/>
          </v:line>
        </w:pict>
      </w:r>
      <w:r>
        <w:rPr>
          <w:sz w:val="12"/>
        </w:rPr>
        <w:t>1995 = 100</w:t>
        <w:tab/>
        <w:t>1995 = 100</w:t>
      </w:r>
    </w:p>
    <w:p>
      <w:pPr>
        <w:pStyle w:val="Heading4"/>
        <w:spacing w:before="4"/>
        <w:ind w:left="185"/>
      </w:pPr>
      <w:r>
        <w:rPr/>
        <w:br w:type="column"/>
      </w:r>
      <w:r>
        <w:rPr/>
        <w:t>remainder of 1998 and in 1999, before rising in 2000.</w:t>
      </w:r>
    </w:p>
    <w:p>
      <w:pPr>
        <w:pStyle w:val="BodyText"/>
        <w:spacing w:before="11"/>
        <w:rPr>
          <w:sz w:val="24"/>
        </w:rPr>
      </w:pPr>
    </w:p>
    <w:p>
      <w:pPr>
        <w:pStyle w:val="ListParagraph"/>
        <w:numPr>
          <w:ilvl w:val="1"/>
          <w:numId w:val="25"/>
        </w:numPr>
        <w:tabs>
          <w:tab w:pos="1134" w:val="left" w:leader="none"/>
          <w:tab w:pos="1135" w:val="left" w:leader="none"/>
          <w:tab w:pos="5687" w:val="left" w:leader="none"/>
        </w:tabs>
        <w:spacing w:line="240" w:lineRule="auto" w:before="0" w:after="0"/>
        <w:ind w:left="1134" w:right="0" w:hanging="950"/>
        <w:jc w:val="left"/>
        <w:rPr>
          <w:b/>
          <w:color w:val="009483"/>
          <w:sz w:val="28"/>
        </w:rPr>
      </w:pPr>
      <w:r>
        <w:rPr>
          <w:b/>
          <w:color w:val="009483"/>
          <w:sz w:val="28"/>
          <w:u w:val="thick" w:color="0093C1"/>
        </w:rPr>
        <w:t>Import prices and the exchange rate</w:t>
        <w:tab/>
      </w:r>
    </w:p>
    <w:p>
      <w:pPr>
        <w:spacing w:line="242" w:lineRule="auto" w:before="264"/>
        <w:ind w:left="185" w:right="596" w:firstLine="0"/>
        <w:jc w:val="left"/>
        <w:rPr>
          <w:sz w:val="24"/>
        </w:rPr>
      </w:pPr>
      <w:r>
        <w:rPr>
          <w:sz w:val="24"/>
        </w:rPr>
        <w:t>Imports account for about one tenth of economy-wide costs and (directly or indirectly) for about one fifth of</w:t>
      </w:r>
    </w:p>
    <w:p>
      <w:pPr>
        <w:spacing w:after="0" w:line="242" w:lineRule="auto"/>
        <w:jc w:val="left"/>
        <w:rPr>
          <w:sz w:val="24"/>
        </w:rPr>
        <w:sectPr>
          <w:type w:val="continuous"/>
          <w:pgSz w:w="11900" w:h="16840"/>
          <w:pgMar w:top="1220" w:bottom="280" w:left="620" w:right="520"/>
          <w:cols w:num="2" w:equalWidth="0">
            <w:col w:w="4085" w:space="695"/>
            <w:col w:w="5980"/>
          </w:cols>
        </w:sectPr>
      </w:pPr>
    </w:p>
    <w:p>
      <w:pPr>
        <w:spacing w:line="94" w:lineRule="exact" w:before="0"/>
        <w:ind w:left="237" w:right="0" w:firstLine="0"/>
        <w:jc w:val="left"/>
        <w:rPr>
          <w:sz w:val="12"/>
        </w:rPr>
      </w:pPr>
      <w:r>
        <w:rPr/>
        <w:pict>
          <v:line style="position:absolute;mso-position-horizontal-relative:page;mso-position-vertical-relative:paragraph;z-index:16010752" from="56.779999pt,1.222695pt" to="51.779999pt,1.222695pt" stroked="true" strokeweight=".5pt" strokecolor="#000000">
            <v:stroke dashstyle="solid"/>
            <w10:wrap type="none"/>
          </v:line>
        </w:pict>
      </w:r>
      <w:r>
        <w:rPr>
          <w:sz w:val="12"/>
        </w:rPr>
        <w:t>95</w:t>
      </w:r>
    </w:p>
    <w:p>
      <w:pPr>
        <w:pStyle w:val="BodyText"/>
        <w:rPr>
          <w:sz w:val="12"/>
        </w:rPr>
      </w:pPr>
    </w:p>
    <w:p>
      <w:pPr>
        <w:pStyle w:val="BodyText"/>
        <w:spacing w:before="6"/>
        <w:rPr>
          <w:sz w:val="12"/>
        </w:rPr>
      </w:pPr>
    </w:p>
    <w:p>
      <w:pPr>
        <w:spacing w:before="0"/>
        <w:ind w:left="177" w:right="0" w:firstLine="0"/>
        <w:jc w:val="left"/>
        <w:rPr>
          <w:sz w:val="12"/>
        </w:rPr>
      </w:pPr>
      <w:r>
        <w:rPr>
          <w:sz w:val="12"/>
        </w:rPr>
        <w:t>100</w:t>
      </w:r>
    </w:p>
    <w:p>
      <w:pPr>
        <w:pStyle w:val="BodyText"/>
        <w:rPr>
          <w:sz w:val="12"/>
        </w:rPr>
      </w:pPr>
    </w:p>
    <w:p>
      <w:pPr>
        <w:pStyle w:val="BodyText"/>
        <w:spacing w:before="3"/>
        <w:rPr>
          <w:sz w:val="14"/>
        </w:rPr>
      </w:pPr>
    </w:p>
    <w:p>
      <w:pPr>
        <w:spacing w:before="0"/>
        <w:ind w:left="177" w:right="0" w:firstLine="0"/>
        <w:jc w:val="left"/>
        <w:rPr>
          <w:sz w:val="12"/>
        </w:rPr>
      </w:pPr>
      <w:r>
        <w:rPr>
          <w:sz w:val="12"/>
        </w:rPr>
        <w:t>105</w:t>
      </w:r>
    </w:p>
    <w:p>
      <w:pPr>
        <w:pStyle w:val="BodyText"/>
        <w:rPr>
          <w:sz w:val="12"/>
        </w:rPr>
      </w:pPr>
    </w:p>
    <w:p>
      <w:pPr>
        <w:pStyle w:val="BodyText"/>
        <w:spacing w:before="6"/>
        <w:rPr>
          <w:sz w:val="12"/>
        </w:rPr>
      </w:pPr>
    </w:p>
    <w:p>
      <w:pPr>
        <w:spacing w:before="0"/>
        <w:ind w:left="177" w:right="0" w:firstLine="0"/>
        <w:jc w:val="left"/>
        <w:rPr>
          <w:sz w:val="12"/>
        </w:rPr>
      </w:pPr>
      <w:r>
        <w:rPr>
          <w:sz w:val="12"/>
        </w:rPr>
        <w:t>110</w:t>
      </w:r>
    </w:p>
    <w:p>
      <w:pPr>
        <w:pStyle w:val="BodyText"/>
        <w:rPr>
          <w:sz w:val="12"/>
        </w:rPr>
      </w:pPr>
    </w:p>
    <w:p>
      <w:pPr>
        <w:pStyle w:val="BodyText"/>
        <w:spacing w:before="3"/>
        <w:rPr>
          <w:sz w:val="14"/>
        </w:rPr>
      </w:pPr>
    </w:p>
    <w:p>
      <w:pPr>
        <w:spacing w:before="0"/>
        <w:ind w:left="177" w:right="0" w:firstLine="0"/>
        <w:jc w:val="left"/>
        <w:rPr>
          <w:sz w:val="12"/>
        </w:rPr>
      </w:pPr>
      <w:r>
        <w:rPr>
          <w:sz w:val="12"/>
        </w:rPr>
        <w:t>115</w:t>
      </w:r>
    </w:p>
    <w:p>
      <w:pPr>
        <w:pStyle w:val="BodyText"/>
        <w:rPr>
          <w:sz w:val="12"/>
        </w:rPr>
      </w:pPr>
    </w:p>
    <w:p>
      <w:pPr>
        <w:pStyle w:val="BodyText"/>
        <w:spacing w:before="6"/>
        <w:rPr>
          <w:sz w:val="12"/>
        </w:rPr>
      </w:pPr>
    </w:p>
    <w:p>
      <w:pPr>
        <w:spacing w:before="0"/>
        <w:ind w:left="177" w:right="0" w:firstLine="0"/>
        <w:jc w:val="left"/>
        <w:rPr>
          <w:sz w:val="12"/>
        </w:rPr>
      </w:pPr>
      <w:r>
        <w:rPr>
          <w:sz w:val="12"/>
        </w:rPr>
        <w:t>120</w:t>
      </w:r>
    </w:p>
    <w:p>
      <w:pPr>
        <w:pStyle w:val="BodyText"/>
        <w:rPr>
          <w:sz w:val="12"/>
        </w:rPr>
      </w:pPr>
    </w:p>
    <w:p>
      <w:pPr>
        <w:pStyle w:val="BodyText"/>
        <w:spacing w:before="3"/>
        <w:rPr>
          <w:sz w:val="14"/>
        </w:rPr>
      </w:pPr>
    </w:p>
    <w:p>
      <w:pPr>
        <w:spacing w:before="0"/>
        <w:ind w:left="177" w:right="0" w:firstLine="0"/>
        <w:jc w:val="left"/>
        <w:rPr>
          <w:sz w:val="12"/>
        </w:rPr>
      </w:pPr>
      <w:r>
        <w:rPr>
          <w:sz w:val="12"/>
        </w:rPr>
        <w:t>125</w:t>
      </w:r>
    </w:p>
    <w:p>
      <w:pPr>
        <w:pStyle w:val="BodyText"/>
        <w:rPr>
          <w:sz w:val="12"/>
        </w:rPr>
      </w:pPr>
    </w:p>
    <w:p>
      <w:pPr>
        <w:pStyle w:val="BodyText"/>
        <w:spacing w:before="6"/>
        <w:rPr>
          <w:sz w:val="12"/>
        </w:rPr>
      </w:pPr>
    </w:p>
    <w:p>
      <w:pPr>
        <w:spacing w:before="0"/>
        <w:ind w:left="177" w:right="0" w:firstLine="0"/>
        <w:jc w:val="left"/>
        <w:rPr>
          <w:sz w:val="12"/>
        </w:rPr>
      </w:pPr>
      <w:r>
        <w:rPr>
          <w:sz w:val="12"/>
        </w:rPr>
        <w:t>130</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6"/>
        <w:rPr>
          <w:sz w:val="12"/>
        </w:rPr>
      </w:pPr>
    </w:p>
    <w:p>
      <w:pPr>
        <w:spacing w:before="0"/>
        <w:ind w:left="177" w:right="0" w:firstLine="0"/>
        <w:jc w:val="left"/>
        <w:rPr>
          <w:sz w:val="12"/>
        </w:rPr>
      </w:pPr>
      <w:r>
        <w:rPr>
          <w:sz w:val="12"/>
        </w:rPr>
        <w:t>1994</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6"/>
        <w:rPr>
          <w:sz w:val="12"/>
        </w:rPr>
      </w:pPr>
    </w:p>
    <w:p>
      <w:pPr>
        <w:tabs>
          <w:tab w:pos="817" w:val="left" w:leader="none"/>
          <w:tab w:pos="1457" w:val="left" w:leader="none"/>
        </w:tabs>
        <w:spacing w:before="0"/>
        <w:ind w:left="177" w:right="0" w:firstLine="0"/>
        <w:jc w:val="left"/>
        <w:rPr>
          <w:sz w:val="12"/>
        </w:rPr>
      </w:pPr>
      <w:r>
        <w:rPr>
          <w:sz w:val="12"/>
        </w:rPr>
        <w:t>95</w:t>
        <w:tab/>
        <w:t>96</w:t>
        <w:tab/>
        <w:t>97</w:t>
      </w:r>
    </w:p>
    <w:p>
      <w:pPr>
        <w:spacing w:line="80" w:lineRule="exact" w:before="0"/>
        <w:ind w:left="527" w:right="0" w:firstLine="0"/>
        <w:jc w:val="left"/>
        <w:rPr>
          <w:sz w:val="12"/>
        </w:rPr>
      </w:pPr>
      <w:r>
        <w:rPr/>
        <w:br w:type="column"/>
      </w:r>
      <w:r>
        <w:rPr>
          <w:sz w:val="12"/>
        </w:rPr>
        <w:t>105</w:t>
      </w:r>
    </w:p>
    <w:p>
      <w:pPr>
        <w:pStyle w:val="BodyText"/>
        <w:rPr>
          <w:sz w:val="12"/>
        </w:rPr>
      </w:pPr>
    </w:p>
    <w:p>
      <w:pPr>
        <w:pStyle w:val="BodyText"/>
        <w:spacing w:before="6"/>
        <w:rPr>
          <w:sz w:val="12"/>
        </w:rPr>
      </w:pPr>
    </w:p>
    <w:p>
      <w:pPr>
        <w:spacing w:before="0"/>
        <w:ind w:left="0" w:right="38" w:firstLine="0"/>
        <w:jc w:val="right"/>
        <w:rPr>
          <w:sz w:val="12"/>
        </w:rPr>
      </w:pPr>
      <w:r>
        <w:rPr>
          <w:sz w:val="12"/>
        </w:rPr>
        <w:t>100</w:t>
      </w:r>
    </w:p>
    <w:p>
      <w:pPr>
        <w:pStyle w:val="BodyText"/>
        <w:rPr>
          <w:sz w:val="12"/>
        </w:rPr>
      </w:pPr>
    </w:p>
    <w:p>
      <w:pPr>
        <w:pStyle w:val="BodyText"/>
        <w:spacing w:before="3"/>
        <w:rPr>
          <w:sz w:val="14"/>
        </w:rPr>
      </w:pPr>
    </w:p>
    <w:p>
      <w:pPr>
        <w:spacing w:before="0"/>
        <w:ind w:left="0" w:right="38" w:firstLine="0"/>
        <w:jc w:val="right"/>
        <w:rPr>
          <w:sz w:val="12"/>
        </w:rPr>
      </w:pPr>
      <w:r>
        <w:rPr>
          <w:sz w:val="12"/>
        </w:rPr>
        <w:t>95</w:t>
      </w:r>
    </w:p>
    <w:p>
      <w:pPr>
        <w:pStyle w:val="BodyText"/>
        <w:rPr>
          <w:sz w:val="12"/>
        </w:rPr>
      </w:pPr>
    </w:p>
    <w:p>
      <w:pPr>
        <w:pStyle w:val="BodyText"/>
        <w:spacing w:before="6"/>
        <w:rPr>
          <w:sz w:val="12"/>
        </w:rPr>
      </w:pPr>
    </w:p>
    <w:p>
      <w:pPr>
        <w:spacing w:before="0"/>
        <w:ind w:left="0" w:right="38" w:firstLine="0"/>
        <w:jc w:val="right"/>
        <w:rPr>
          <w:sz w:val="12"/>
        </w:rPr>
      </w:pPr>
      <w:r>
        <w:rPr>
          <w:sz w:val="12"/>
        </w:rPr>
        <w:t>90</w:t>
      </w:r>
    </w:p>
    <w:p>
      <w:pPr>
        <w:pStyle w:val="BodyText"/>
        <w:rPr>
          <w:sz w:val="12"/>
        </w:rPr>
      </w:pPr>
    </w:p>
    <w:p>
      <w:pPr>
        <w:pStyle w:val="BodyText"/>
        <w:spacing w:before="3"/>
        <w:rPr>
          <w:sz w:val="14"/>
        </w:rPr>
      </w:pPr>
    </w:p>
    <w:p>
      <w:pPr>
        <w:spacing w:before="0"/>
        <w:ind w:left="0" w:right="38" w:firstLine="0"/>
        <w:jc w:val="right"/>
        <w:rPr>
          <w:sz w:val="12"/>
        </w:rPr>
      </w:pPr>
      <w:r>
        <w:rPr>
          <w:sz w:val="12"/>
        </w:rPr>
        <w:t>85</w:t>
      </w:r>
    </w:p>
    <w:p>
      <w:pPr>
        <w:pStyle w:val="BodyText"/>
        <w:rPr>
          <w:sz w:val="12"/>
        </w:rPr>
      </w:pPr>
    </w:p>
    <w:p>
      <w:pPr>
        <w:pStyle w:val="BodyText"/>
        <w:spacing w:before="6"/>
        <w:rPr>
          <w:sz w:val="12"/>
        </w:rPr>
      </w:pPr>
    </w:p>
    <w:p>
      <w:pPr>
        <w:spacing w:before="0"/>
        <w:ind w:left="0" w:right="38" w:firstLine="0"/>
        <w:jc w:val="right"/>
        <w:rPr>
          <w:sz w:val="12"/>
        </w:rPr>
      </w:pPr>
      <w:r>
        <w:rPr>
          <w:sz w:val="12"/>
        </w:rPr>
        <w:t>80</w:t>
      </w:r>
    </w:p>
    <w:p>
      <w:pPr>
        <w:pStyle w:val="BodyText"/>
        <w:rPr>
          <w:sz w:val="12"/>
        </w:rPr>
      </w:pPr>
    </w:p>
    <w:p>
      <w:pPr>
        <w:pStyle w:val="BodyText"/>
        <w:spacing w:before="3"/>
        <w:rPr>
          <w:sz w:val="14"/>
        </w:rPr>
      </w:pPr>
    </w:p>
    <w:p>
      <w:pPr>
        <w:spacing w:before="0"/>
        <w:ind w:left="0" w:right="38" w:firstLine="0"/>
        <w:jc w:val="right"/>
        <w:rPr>
          <w:sz w:val="12"/>
        </w:rPr>
      </w:pPr>
      <w:r>
        <w:rPr>
          <w:sz w:val="12"/>
        </w:rPr>
        <w:t>75</w:t>
      </w:r>
    </w:p>
    <w:p>
      <w:pPr>
        <w:pStyle w:val="BodyText"/>
        <w:rPr>
          <w:sz w:val="12"/>
        </w:rPr>
      </w:pPr>
    </w:p>
    <w:p>
      <w:pPr>
        <w:pStyle w:val="BodyText"/>
        <w:spacing w:before="6"/>
        <w:rPr>
          <w:sz w:val="12"/>
        </w:rPr>
      </w:pPr>
    </w:p>
    <w:p>
      <w:pPr>
        <w:spacing w:line="119" w:lineRule="exact" w:before="0"/>
        <w:ind w:left="587" w:right="0" w:firstLine="0"/>
        <w:jc w:val="left"/>
        <w:rPr>
          <w:sz w:val="12"/>
        </w:rPr>
      </w:pPr>
      <w:r>
        <w:rPr/>
        <w:pict>
          <v:shape style="position:absolute;margin-left:51.779999pt;margin-top:-1.398434pt;width:159pt;height:5.5pt;mso-position-horizontal-relative:page;mso-position-vertical-relative:paragraph;z-index:16008192" coordorigin="1036,-28" coordsize="3180,110" path="m3776,82l3776,2m3136,82l3136,2m2496,82l2496,2m1836,82l1836,2m1196,82l1196,2m1136,82l1036,82m1196,82l4216,82m1196,82l1196,42m1356,82l1356,42m1516,82l1516,42m1676,82l1676,42m1836,82l1836,42m1996,82l1996,42m2176,82l2176,42m2336,82l2336,42m2496,82l2496,42m2656,82l2656,42m2816,82l2816,42m2976,82l2976,42m3136,82l3136,42m3296,82l3296,42m3456,82l3456,42m3616,82l3616,42m3776,82l3776,42m3936,82l3936,42m4096,82l4096,42m1196,82l1196,-28m1836,82l1836,-28m2496,82l2496,-28m3136,82l3136,-28m3776,82l3776,-28m1196,82l4216,82m1356,82l1356,42m1516,82l1516,42m1676,82l1676,42m1996,82l1996,42m2176,82l2176,42m2336,82l2336,42m2656,82l2656,42m2816,82l2816,42m2976,82l2976,42m3296,82l3296,42m3456,82l3456,42m3616,82l3616,42m3936,82l3936,42m4096,82l4096,42e" filled="false" stroked="true" strokeweight=".5pt" strokecolor="#000000">
            <v:path arrowok="t"/>
            <v:stroke dashstyle="solid"/>
            <w10:wrap type="none"/>
          </v:shape>
        </w:pict>
      </w:r>
      <w:r>
        <w:rPr/>
        <w:pict>
          <v:line style="position:absolute;mso-position-horizontal-relative:page;mso-position-vertical-relative:paragraph;z-index:16011264" from="214.779999pt,4.101565pt" to="218.779999pt,4.101565pt" stroked="true" strokeweight=".5pt" strokecolor="#000000">
            <v:stroke dashstyle="solid"/>
            <w10:wrap type="none"/>
          </v:line>
        </w:pict>
      </w:r>
      <w:r>
        <w:rPr>
          <w:sz w:val="12"/>
        </w:rPr>
        <w:t>70</w:t>
      </w:r>
    </w:p>
    <w:p>
      <w:pPr>
        <w:spacing w:line="119" w:lineRule="exact" w:before="0"/>
        <w:ind w:left="177" w:right="0" w:firstLine="0"/>
        <w:jc w:val="left"/>
        <w:rPr>
          <w:sz w:val="12"/>
        </w:rPr>
      </w:pPr>
      <w:r>
        <w:rPr>
          <w:sz w:val="12"/>
        </w:rPr>
        <w:t>98</w:t>
      </w:r>
    </w:p>
    <w:p>
      <w:pPr>
        <w:pStyle w:val="Heading4"/>
        <w:spacing w:line="242" w:lineRule="auto" w:before="2"/>
        <w:ind w:left="177" w:right="302"/>
      </w:pPr>
      <w:r>
        <w:rPr/>
        <w:br w:type="column"/>
      </w:r>
      <w:r>
        <w:rPr/>
        <w:t>final demand. The prices of imported goods fell by </w:t>
      </w:r>
      <w:r>
        <w:rPr>
          <w:spacing w:val="-5"/>
        </w:rPr>
        <w:t>7.2% </w:t>
      </w:r>
      <w:r>
        <w:rPr/>
        <w:t>in the year to August, and were 12.3% lower than in August 1996, when sterling began to appreciate significantly. Following the revisions to trade and </w:t>
      </w:r>
      <w:hyperlink w:history="true" w:anchor="_bookmark8">
        <w:r>
          <w:rPr/>
          <w:t>National Accounts data (summarised in Section 2),</w:t>
        </w:r>
      </w:hyperlink>
      <w:r>
        <w:rPr/>
        <w:t> the falls in import prices at the end of 1997 and the first half of 1998 are now rather larger than previously recorded, and there is less sign of a slowdown in the rate of decline. But despite the recent depreciation of sterling, import prices </w:t>
      </w:r>
      <w:r>
        <w:rPr>
          <w:spacing w:val="-3"/>
        </w:rPr>
        <w:t>have </w:t>
      </w:r>
      <w:r>
        <w:rPr/>
        <w:t>still fallen by considerably less than the rise in sterling since 1996 (see Chart 4.3).</w:t>
      </w:r>
    </w:p>
    <w:p>
      <w:pPr>
        <w:spacing w:after="0" w:line="242" w:lineRule="auto"/>
        <w:sectPr>
          <w:type w:val="continuous"/>
          <w:pgSz w:w="11900" w:h="16840"/>
          <w:pgMar w:top="1220" w:bottom="280" w:left="620" w:right="520"/>
          <w:cols w:num="5" w:equalWidth="0">
            <w:col w:w="398" w:space="211"/>
            <w:col w:w="458" w:space="262"/>
            <w:col w:w="1618" w:space="302"/>
            <w:col w:w="748" w:space="792"/>
            <w:col w:w="5971"/>
          </w:cols>
        </w:sectPr>
      </w:pPr>
    </w:p>
    <w:p>
      <w:pPr>
        <w:pStyle w:val="BodyText"/>
        <w:spacing w:before="8"/>
        <w:rPr>
          <w:sz w:val="10"/>
        </w:rPr>
      </w:pPr>
    </w:p>
    <w:p>
      <w:pPr>
        <w:spacing w:line="129" w:lineRule="exact" w:before="0"/>
        <w:ind w:left="205" w:right="0" w:firstLine="0"/>
        <w:jc w:val="left"/>
        <w:rPr>
          <w:sz w:val="12"/>
        </w:rPr>
      </w:pPr>
      <w:r>
        <w:rPr>
          <w:sz w:val="12"/>
        </w:rPr>
        <w:t>Note: The ERI is measured against 20 other industrialised countries.</w:t>
      </w:r>
    </w:p>
    <w:p>
      <w:pPr>
        <w:spacing w:line="129" w:lineRule="exact" w:before="0"/>
        <w:ind w:left="565" w:right="0" w:firstLine="0"/>
        <w:jc w:val="left"/>
        <w:rPr>
          <w:sz w:val="12"/>
        </w:rPr>
      </w:pPr>
      <w:r>
        <w:rPr>
          <w:sz w:val="12"/>
        </w:rPr>
        <w:t>The import price index covers imports from all countries.</w:t>
      </w:r>
    </w:p>
    <w:p>
      <w:pPr>
        <w:pStyle w:val="ListParagraph"/>
        <w:numPr>
          <w:ilvl w:val="0"/>
          <w:numId w:val="27"/>
        </w:numPr>
        <w:tabs>
          <w:tab w:pos="446" w:val="left" w:leader="none"/>
        </w:tabs>
        <w:spacing w:line="240" w:lineRule="auto" w:before="102" w:after="0"/>
        <w:ind w:left="445" w:right="0" w:hanging="241"/>
        <w:jc w:val="left"/>
        <w:rPr>
          <w:sz w:val="12"/>
        </w:rPr>
      </w:pPr>
      <w:r>
        <w:rPr>
          <w:sz w:val="12"/>
        </w:rPr>
        <w:t>A fall in the line indicates an appreciation.</w:t>
      </w:r>
    </w:p>
    <w:p>
      <w:pPr>
        <w:pStyle w:val="Heading4"/>
        <w:spacing w:line="242" w:lineRule="auto" w:before="82"/>
        <w:ind w:left="205" w:right="540"/>
      </w:pPr>
      <w:r>
        <w:rPr/>
        <w:br w:type="column"/>
      </w:r>
      <w:r>
        <w:rPr/>
        <w:t>Part of this gap can be explained by world export </w:t>
      </w:r>
      <w:r>
        <w:rPr>
          <w:spacing w:val="-3"/>
        </w:rPr>
        <w:t>price </w:t>
      </w:r>
      <w:r>
        <w:rPr/>
        <w:t>inflation.  But as Chart 4.4 shows, when expressed in a common </w:t>
      </w:r>
      <w:r>
        <w:rPr>
          <w:spacing w:val="-3"/>
        </w:rPr>
        <w:t>currency, </w:t>
      </w:r>
      <w:r>
        <w:rPr/>
        <w:t>UK import prices </w:t>
      </w:r>
      <w:r>
        <w:rPr>
          <w:spacing w:val="-3"/>
        </w:rPr>
        <w:t>have </w:t>
      </w:r>
      <w:r>
        <w:rPr/>
        <w:t>risen relative to the average export prices of many of the United Kingdom’s major trading partners since</w:t>
      </w:r>
      <w:r>
        <w:rPr>
          <w:spacing w:val="-11"/>
        </w:rPr>
        <w:t> </w:t>
      </w:r>
      <w:r>
        <w:rPr/>
        <w:t>1996,</w:t>
      </w:r>
    </w:p>
    <w:p>
      <w:pPr>
        <w:spacing w:after="0" w:line="242" w:lineRule="auto"/>
        <w:sectPr>
          <w:type w:val="continuous"/>
          <w:pgSz w:w="11900" w:h="16840"/>
          <w:pgMar w:top="1220" w:bottom="280" w:left="620" w:right="520"/>
          <w:cols w:num="2" w:equalWidth="0">
            <w:col w:w="3589" w:space="1171"/>
            <w:col w:w="6000"/>
          </w:cols>
        </w:sectPr>
      </w:pPr>
    </w:p>
    <w:p>
      <w:pPr>
        <w:pStyle w:val="BodyText"/>
        <w:spacing w:before="8"/>
        <w:rPr>
          <w:sz w:val="23"/>
        </w:rPr>
      </w:pPr>
    </w:p>
    <w:p>
      <w:pPr>
        <w:pStyle w:val="BodyText"/>
        <w:spacing w:line="20" w:lineRule="exact"/>
        <w:ind w:left="4938"/>
        <w:rPr>
          <w:sz w:val="2"/>
        </w:rPr>
      </w:pPr>
      <w:r>
        <w:rPr>
          <w:sz w:val="2"/>
        </w:rPr>
        <w:pict>
          <v:group style="width:277.5pt;height:.15pt;mso-position-horizontal-relative:char;mso-position-vertical-relative:line" coordorigin="0,0" coordsize="5550,3">
            <v:line style="position:absolute" from="0,1" to="5550,1" stroked="true" strokeweight=".125pt" strokecolor="#000000">
              <v:stroke dashstyle="solid"/>
            </v:line>
          </v:group>
        </w:pict>
      </w:r>
      <w:r>
        <w:rPr>
          <w:sz w:val="2"/>
        </w:rPr>
      </w:r>
    </w:p>
    <w:p>
      <w:pPr>
        <w:pStyle w:val="ListParagraph"/>
        <w:numPr>
          <w:ilvl w:val="1"/>
          <w:numId w:val="27"/>
        </w:numPr>
        <w:tabs>
          <w:tab w:pos="5207" w:val="left" w:leader="none"/>
        </w:tabs>
        <w:spacing w:line="208" w:lineRule="auto" w:before="24" w:after="0"/>
        <w:ind w:left="5220" w:right="1366" w:hanging="240"/>
        <w:jc w:val="both"/>
        <w:rPr>
          <w:sz w:val="16"/>
        </w:rPr>
      </w:pPr>
      <w:r>
        <w:rPr>
          <w:sz w:val="16"/>
        </w:rPr>
        <w:t>See the International Monetary Fund’s </w:t>
      </w:r>
      <w:r>
        <w:rPr>
          <w:i/>
          <w:sz w:val="16"/>
        </w:rPr>
        <w:t>World Economic </w:t>
      </w:r>
      <w:r>
        <w:rPr>
          <w:i/>
          <w:spacing w:val="-4"/>
          <w:sz w:val="16"/>
        </w:rPr>
        <w:t>Outlook</w:t>
      </w:r>
      <w:r>
        <w:rPr>
          <w:spacing w:val="-4"/>
          <w:sz w:val="16"/>
        </w:rPr>
        <w:t>, </w:t>
      </w:r>
      <w:r>
        <w:rPr>
          <w:sz w:val="16"/>
        </w:rPr>
        <w:t>May 1998, pages 125–30. Similar consumption growth for other commodities was observed over this period.</w:t>
      </w:r>
    </w:p>
    <w:p>
      <w:pPr>
        <w:spacing w:after="0" w:line="208" w:lineRule="auto"/>
        <w:jc w:val="both"/>
        <w:rPr>
          <w:sz w:val="16"/>
        </w:rPr>
        <w:sectPr>
          <w:type w:val="continuous"/>
          <w:pgSz w:w="11900" w:h="16840"/>
          <w:pgMar w:top="1220" w:bottom="280" w:left="620" w:right="520"/>
        </w:sectPr>
      </w:pPr>
    </w:p>
    <w:p>
      <w:pPr>
        <w:pStyle w:val="BodyText"/>
        <w:rPr>
          <w:sz w:val="20"/>
        </w:rPr>
      </w:pPr>
    </w:p>
    <w:p>
      <w:pPr>
        <w:spacing w:after="0"/>
        <w:rPr>
          <w:sz w:val="20"/>
        </w:rPr>
        <w:sectPr>
          <w:footerReference w:type="even" r:id="rId86"/>
          <w:footerReference w:type="default" r:id="rId87"/>
          <w:pgSz w:w="11900" w:h="16840"/>
          <w:pgMar w:footer="597" w:header="586" w:top="780" w:bottom="780" w:left="620" w:right="520"/>
          <w:pgNumType w:start="34"/>
        </w:sectPr>
      </w:pPr>
    </w:p>
    <w:p>
      <w:pPr>
        <w:pStyle w:val="BodyText"/>
        <w:spacing w:before="6"/>
        <w:rPr>
          <w:sz w:val="20"/>
        </w:rPr>
      </w:pPr>
    </w:p>
    <w:p>
      <w:pPr>
        <w:pStyle w:val="Heading7"/>
        <w:spacing w:before="0"/>
      </w:pPr>
      <w:bookmarkStart w:name="Costs and prices in the service sector" w:id="67"/>
      <w:bookmarkEnd w:id="67"/>
      <w:r>
        <w:rPr>
          <w:b w:val="0"/>
        </w:rPr>
      </w:r>
      <w:bookmarkStart w:name="_bookmark24" w:id="68"/>
      <w:bookmarkEnd w:id="68"/>
      <w:r>
        <w:rPr>
          <w:b w:val="0"/>
        </w:rPr>
      </w:r>
      <w:r>
        <w:rPr>
          <w:color w:val="0093C1"/>
        </w:rPr>
        <w:t>Chart 4.4</w:t>
      </w:r>
    </w:p>
    <w:p>
      <w:pPr>
        <w:spacing w:line="249" w:lineRule="auto" w:before="10"/>
        <w:ind w:left="200" w:right="284" w:firstLine="0"/>
        <w:jc w:val="left"/>
        <w:rPr>
          <w:sz w:val="12"/>
        </w:rPr>
      </w:pPr>
      <w:r>
        <w:rPr>
          <w:b/>
          <w:color w:val="0093C1"/>
          <w:sz w:val="20"/>
        </w:rPr>
        <w:t>The ratio of UK import prices to major six overseas economies’ export prices</w:t>
      </w:r>
      <w:r>
        <w:rPr>
          <w:position w:val="4"/>
          <w:sz w:val="12"/>
        </w:rPr>
        <w:t>(a)</w:t>
      </w:r>
    </w:p>
    <w:p>
      <w:pPr>
        <w:spacing w:before="84"/>
        <w:ind w:left="3066" w:right="0" w:firstLine="0"/>
        <w:jc w:val="left"/>
        <w:rPr>
          <w:sz w:val="12"/>
        </w:rPr>
      </w:pPr>
      <w:r>
        <w:rPr/>
        <w:pict>
          <v:line style="position:absolute;mso-position-horizontal-relative:page;mso-position-vertical-relative:paragraph;z-index:16023552" from="47.854pt,11.968738pt" to="42.854pt,11.968738pt" stroked="true" strokeweight=".5pt" strokecolor="#000000">
            <v:stroke dashstyle="solid"/>
            <w10:wrap type="none"/>
          </v:line>
        </w:pict>
      </w:r>
      <w:r>
        <w:rPr>
          <w:sz w:val="12"/>
        </w:rPr>
        <w:t>1995 = 1</w:t>
      </w:r>
      <w:r>
        <w:rPr>
          <w:sz w:val="12"/>
          <w:u w:val="single"/>
        </w:rPr>
        <w:t>00</w:t>
      </w:r>
      <w:r>
        <w:rPr>
          <w:spacing w:val="-11"/>
          <w:sz w:val="12"/>
        </w:rPr>
        <w:t> </w:t>
      </w:r>
      <w:r>
        <w:rPr>
          <w:position w:val="-7"/>
          <w:sz w:val="12"/>
        </w:rPr>
        <w:t>125</w:t>
      </w:r>
    </w:p>
    <w:p>
      <w:pPr>
        <w:pStyle w:val="BodyText"/>
        <w:spacing w:before="6"/>
        <w:rPr>
          <w:sz w:val="26"/>
        </w:rPr>
      </w:pPr>
    </w:p>
    <w:p>
      <w:pPr>
        <w:spacing w:before="0"/>
        <w:ind w:left="0" w:right="38" w:firstLine="0"/>
        <w:jc w:val="right"/>
        <w:rPr>
          <w:sz w:val="12"/>
        </w:rPr>
      </w:pPr>
      <w:r>
        <w:rPr/>
        <w:pict>
          <v:group style="position:absolute;margin-left:42.854pt;margin-top:-3.897827pt;width:168.65pt;height:118pt;mso-position-horizontal-relative:page;mso-position-vertical-relative:paragraph;z-index:-21465600" coordorigin="857,-78" coordsize="3373,2360">
            <v:shape style="position:absolute;left:1030;top:-68;width:3020;height:2340" coordorigin="1030,-68" coordsize="3020,2340" path="m1030,1512l1070,1072,1090,1272,1130,1472,1150,1472,1190,1632,1230,1732,1250,1652,1290,1612,1310,1872,1350,1832,1370,2012,1410,1612,1470,1612,1490,1552,1530,1532,1570,2092,1590,1632,1630,1212,1650,1432,1690,932,1710,1052,1750,972,1770,532,1810,252,1830,192,1870,-48,1910,-68,1930,152,1970,612,1990,492,2030,632,2050,712,2090,592,2110,772,2150,1492,2170,992,2210,912,2250,1092,2270,1172,2310,1192,2330,1152,2370,1272,2390,1412,2430,872,2470,772,2490,1192,2530,1772,2550,1672,2590,1972,2610,2172,2650,2012,2670,1772,2710,1732,2730,1612,2770,1672,2810,1392,2830,1492,2870,1652,2890,1492,2950,1552,2990,1852,3010,1672,3050,1532,3090,1272,3110,1192,3150,1332,3170,1492,3210,1412,3230,1492,3270,1612,3290,1552,3330,1592,3350,2272,3390,2192,3430,1992,3450,1952,3490,1912,3510,1852,3550,1912,3570,1772,3610,1652,3650,1672,3670,1852,3710,1792,3730,1852,3770,1812,3790,1712,3830,1752,3850,1312,3890,1112,3910,1112,3950,972,3990,972,4010,1052,4050,1172e" filled="false" stroked="true" strokeweight="1pt" strokecolor="#008256">
              <v:path arrowok="t"/>
              <v:stroke dashstyle="solid"/>
            </v:shape>
            <v:shape style="position:absolute;left:857;top:72;width:3373;height:2140" coordorigin="857,72" coordsize="3373,2140" path="m957,2212l857,2212m957,1792l857,1792m957,1352l857,1352m957,932l857,932m957,512l857,512m957,72l857,72m4230,2212l4130,2212m4230,72l4130,72e" filled="false" stroked="true" strokeweight=".5pt" strokecolor="#000000">
              <v:path arrowok="t"/>
              <v:stroke dashstyle="solid"/>
            </v:shape>
            <w10:wrap type="none"/>
          </v:group>
        </w:pict>
      </w:r>
      <w:r>
        <w:rPr>
          <w:sz w:val="12"/>
        </w:rPr>
        <w:t>120</w:t>
      </w:r>
    </w:p>
    <w:p>
      <w:pPr>
        <w:pStyle w:val="Heading4"/>
        <w:spacing w:line="242" w:lineRule="auto" w:before="207"/>
        <w:ind w:right="321"/>
      </w:pPr>
      <w:r>
        <w:rPr/>
        <w:br w:type="column"/>
      </w:r>
      <w:r>
        <w:rPr/>
        <w:t>suggesting that foreign exporters may have used sterling’s appreciation as an opportunity to widen their margins on sales to the United Kingdom.</w:t>
      </w:r>
      <w:r>
        <w:rPr>
          <w:position w:val="5"/>
          <w:sz w:val="16"/>
        </w:rPr>
        <w:t>(1) </w:t>
      </w:r>
      <w:r>
        <w:rPr/>
        <w:t>Prices of imported finished manufactures—on which foreign exporters are likely to have more scope to widen margins—have, on average, fallen by less than prices of</w:t>
      </w:r>
    </w:p>
    <w:p>
      <w:pPr>
        <w:spacing w:after="0" w:line="242" w:lineRule="auto"/>
        <w:sectPr>
          <w:type w:val="continuous"/>
          <w:pgSz w:w="11900" w:h="16840"/>
          <w:pgMar w:top="1220" w:bottom="280" w:left="620" w:right="520"/>
          <w:cols w:num="2" w:equalWidth="0">
            <w:col w:w="3854" w:space="926"/>
            <w:col w:w="5980"/>
          </w:cols>
        </w:sectPr>
      </w:pPr>
    </w:p>
    <w:p>
      <w:pPr>
        <w:pStyle w:val="BodyText"/>
        <w:spacing w:before="5"/>
        <w:rPr>
          <w:sz w:val="16"/>
        </w:rPr>
      </w:pPr>
    </w:p>
    <w:p>
      <w:pPr>
        <w:pStyle w:val="BodyText"/>
        <w:spacing w:line="20" w:lineRule="exact"/>
        <w:ind w:left="3505"/>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rPr>
          <w:sz w:val="20"/>
        </w:rPr>
      </w:pPr>
    </w:p>
    <w:p>
      <w:pPr>
        <w:pStyle w:val="BodyText"/>
        <w:spacing w:before="4"/>
        <w:rPr>
          <w:sz w:val="11"/>
        </w:rPr>
      </w:pPr>
      <w:r>
        <w:rPr/>
        <w:pict>
          <v:shape style="position:absolute;margin-left:206.5pt;margin-top:8.750977pt;width:5pt;height:.1pt;mso-position-horizontal-relative:page;mso-position-vertical-relative:paragraph;z-index:-15444480;mso-wrap-distance-left:0;mso-wrap-distance-right:0" coordorigin="4130,175" coordsize="100,0" path="m4230,175l4130,175e" filled="false" stroked="true" strokeweight=".5pt" strokecolor="#000000">
            <v:path arrowok="t"/>
            <v:stroke dashstyle="solid"/>
            <w10:wrap type="topAndBottom"/>
          </v:shape>
        </w:pict>
      </w:r>
      <w:r>
        <w:rPr/>
        <w:pict>
          <v:shape style="position:absolute;margin-left:206.5pt;margin-top:29.750977pt;width:5pt;height:.1pt;mso-position-horizontal-relative:page;mso-position-vertical-relative:paragraph;z-index:-15443968;mso-wrap-distance-left:0;mso-wrap-distance-right:0" coordorigin="4130,595" coordsize="100,0" path="m4230,595l4130,595e" filled="false" stroked="true" strokeweight=".5pt" strokecolor="#000000">
            <v:path arrowok="t"/>
            <v:stroke dashstyle="solid"/>
            <w10:wrap type="topAndBottom"/>
          </v:shape>
        </w:pict>
      </w:r>
    </w:p>
    <w:p>
      <w:pPr>
        <w:pStyle w:val="BodyText"/>
        <w:spacing w:before="8"/>
        <w:rPr>
          <w:sz w:val="29"/>
        </w:rPr>
      </w:pPr>
    </w:p>
    <w:p>
      <w:pPr>
        <w:pStyle w:val="BodyText"/>
        <w:spacing w:before="9"/>
        <w:rPr>
          <w:sz w:val="20"/>
        </w:rPr>
      </w:pPr>
    </w:p>
    <w:p>
      <w:pPr>
        <w:spacing w:after="0"/>
        <w:rPr>
          <w:sz w:val="20"/>
        </w:rPr>
        <w:sectPr>
          <w:type w:val="continuous"/>
          <w:pgSz w:w="11900" w:h="16840"/>
          <w:pgMar w:top="1220" w:bottom="280" w:left="620" w:right="520"/>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tabs>
          <w:tab w:pos="1079" w:val="left" w:leader="none"/>
          <w:tab w:pos="1719" w:val="left" w:leader="none"/>
          <w:tab w:pos="2319" w:val="left" w:leader="none"/>
          <w:tab w:pos="2959" w:val="left" w:leader="none"/>
        </w:tabs>
        <w:spacing w:before="85"/>
        <w:ind w:left="360" w:right="0" w:firstLine="0"/>
        <w:jc w:val="left"/>
        <w:rPr>
          <w:sz w:val="12"/>
        </w:rPr>
      </w:pPr>
      <w:r>
        <w:rPr/>
        <w:pict>
          <v:shape style="position:absolute;margin-left:42.854pt;margin-top:-1.981445pt;width:159.65pt;height:5pt;mso-position-horizontal-relative:page;mso-position-vertical-relative:paragraph;z-index:16022528" coordorigin="857,-40" coordsize="3193,100" path="m3630,60l3630,-40m3010,60l3010,-40m2390,60l2390,-40m1770,60l1770,-40m1150,60l1150,-40m1030,60l4050,60m957,60l857,60m1030,60l1030,20m1274,60l1274,20m1398,60l1398,20m1522,60l1522,20m1646,60l1646,20m1894,60l1894,20m2018,60l2018,20m2142,60l2142,20m2266,60l2266,20m2514,60l2514,20m2638,60l2638,20m2762,60l2762,20m2886,60l2886,20m3134,60l3134,20m3258,60l3258,20m3382,60l3382,20m3506,60l3506,20m3757,60l3757,20m3883,60l3883,20m4010,60l4010,20e" filled="false" stroked="true" strokeweight=".5pt" strokecolor="#000000">
            <v:path arrowok="t"/>
            <v:stroke dashstyle="solid"/>
            <w10:wrap type="none"/>
          </v:shape>
        </w:pict>
      </w:r>
      <w:r>
        <w:rPr>
          <w:sz w:val="12"/>
        </w:rPr>
        <w:t>1974</w:t>
        <w:tab/>
        <w:t>80</w:t>
        <w:tab/>
        <w:t>85</w:t>
        <w:tab/>
        <w:t>90</w:t>
        <w:tab/>
        <w:t>95</w:t>
      </w:r>
    </w:p>
    <w:p>
      <w:pPr>
        <w:pStyle w:val="BodyText"/>
        <w:spacing w:before="4"/>
        <w:rPr>
          <w:sz w:val="10"/>
        </w:rPr>
      </w:pPr>
    </w:p>
    <w:p>
      <w:pPr>
        <w:spacing w:before="1"/>
        <w:ind w:left="200" w:right="0" w:firstLine="0"/>
        <w:jc w:val="left"/>
        <w:rPr>
          <w:sz w:val="12"/>
        </w:rPr>
      </w:pPr>
      <w:r>
        <w:rPr>
          <w:sz w:val="12"/>
        </w:rPr>
        <w:t>Sources: ONS and Bank for International Settlements.</w:t>
      </w:r>
    </w:p>
    <w:p>
      <w:pPr>
        <w:spacing w:before="95"/>
        <w:ind w:left="200" w:right="0" w:firstLine="0"/>
        <w:jc w:val="left"/>
        <w:rPr>
          <w:sz w:val="12"/>
        </w:rPr>
      </w:pPr>
      <w:r>
        <w:rPr/>
        <w:br w:type="column"/>
      </w:r>
      <w:r>
        <w:rPr>
          <w:sz w:val="12"/>
        </w:rPr>
        <w:t>100</w:t>
      </w:r>
    </w:p>
    <w:p>
      <w:pPr>
        <w:pStyle w:val="BodyText"/>
        <w:rPr>
          <w:sz w:val="12"/>
        </w:rPr>
      </w:pPr>
    </w:p>
    <w:p>
      <w:pPr>
        <w:pStyle w:val="BodyText"/>
        <w:spacing w:before="6"/>
        <w:rPr>
          <w:sz w:val="12"/>
        </w:rPr>
      </w:pPr>
    </w:p>
    <w:p>
      <w:pPr>
        <w:spacing w:before="0"/>
        <w:ind w:left="260" w:right="0" w:firstLine="0"/>
        <w:jc w:val="left"/>
        <w:rPr>
          <w:sz w:val="12"/>
        </w:rPr>
      </w:pPr>
      <w:r>
        <w:rPr/>
        <w:pict>
          <v:line style="position:absolute;mso-position-horizontal-relative:page;mso-position-vertical-relative:paragraph;z-index:16024576" from="211.5pt,-17.398254pt" to="206.5pt,-17.398254pt" stroked="true" strokeweight=".5pt" strokecolor="#000000">
            <v:stroke dashstyle="solid"/>
            <w10:wrap type="none"/>
          </v:line>
        </w:pict>
      </w:r>
      <w:r>
        <w:rPr/>
        <w:pict>
          <v:shape style="position:absolute;margin-left:207.083496pt;margin-top:-90.200012pt;width:323.4pt;height:73.1pt;mso-position-horizontal-relative:page;mso-position-vertical-relative:paragraph;z-index:1602508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5"/>
                    <w:gridCol w:w="5592"/>
                  </w:tblGrid>
                  <w:tr>
                    <w:trPr>
                      <w:trHeight w:val="272" w:hRule="atLeast"/>
                    </w:trPr>
                    <w:tc>
                      <w:tcPr>
                        <w:tcW w:w="875" w:type="dxa"/>
                      </w:tcPr>
                      <w:p>
                        <w:pPr>
                          <w:pStyle w:val="TableParagraph"/>
                          <w:spacing w:before="104"/>
                          <w:ind w:left="111"/>
                          <w:rPr>
                            <w:sz w:val="12"/>
                          </w:rPr>
                        </w:pPr>
                        <w:r>
                          <w:rPr>
                            <w:sz w:val="12"/>
                          </w:rPr>
                          <w:t>115</w:t>
                        </w:r>
                      </w:p>
                    </w:tc>
                    <w:tc>
                      <w:tcPr>
                        <w:tcW w:w="5592" w:type="dxa"/>
                      </w:tcPr>
                      <w:p>
                        <w:pPr>
                          <w:pStyle w:val="TableParagraph"/>
                          <w:spacing w:line="253" w:lineRule="exact"/>
                          <w:ind w:left="583"/>
                          <w:rPr>
                            <w:sz w:val="24"/>
                          </w:rPr>
                        </w:pPr>
                        <w:r>
                          <w:rPr>
                            <w:sz w:val="24"/>
                          </w:rPr>
                          <w:t>imported raw materials and semi-manufactures (see</w:t>
                        </w:r>
                      </w:p>
                    </w:tc>
                  </w:tr>
                  <w:tr>
                    <w:trPr>
                      <w:trHeight w:val="478" w:hRule="atLeast"/>
                    </w:trPr>
                    <w:tc>
                      <w:tcPr>
                        <w:tcW w:w="875" w:type="dxa"/>
                      </w:tcPr>
                      <w:p>
                        <w:pPr>
                          <w:pStyle w:val="TableParagraph"/>
                          <w:rPr>
                            <w:sz w:val="12"/>
                          </w:rPr>
                        </w:pPr>
                      </w:p>
                      <w:p>
                        <w:pPr>
                          <w:pStyle w:val="TableParagraph"/>
                          <w:spacing w:before="9"/>
                          <w:rPr>
                            <w:sz w:val="9"/>
                          </w:rPr>
                        </w:pPr>
                      </w:p>
                      <w:p>
                        <w:pPr>
                          <w:pStyle w:val="TableParagraph"/>
                          <w:ind w:left="111"/>
                          <w:rPr>
                            <w:sz w:val="12"/>
                          </w:rPr>
                        </w:pPr>
                        <w:r>
                          <w:rPr>
                            <w:sz w:val="12"/>
                          </w:rPr>
                          <w:t>110</w:t>
                        </w:r>
                      </w:p>
                    </w:tc>
                    <w:tc>
                      <w:tcPr>
                        <w:tcW w:w="5592" w:type="dxa"/>
                      </w:tcPr>
                      <w:p>
                        <w:pPr>
                          <w:pStyle w:val="TableParagraph"/>
                          <w:spacing w:line="273" w:lineRule="exact"/>
                          <w:ind w:left="583"/>
                          <w:rPr>
                            <w:sz w:val="24"/>
                          </w:rPr>
                        </w:pPr>
                        <w:r>
                          <w:rPr>
                            <w:sz w:val="24"/>
                          </w:rPr>
                          <w:t>Chart 4.5).</w:t>
                        </w:r>
                      </w:p>
                    </w:tc>
                  </w:tr>
                  <w:tr>
                    <w:trPr>
                      <w:trHeight w:val="361" w:hRule="atLeast"/>
                    </w:trPr>
                    <w:tc>
                      <w:tcPr>
                        <w:tcW w:w="875" w:type="dxa"/>
                      </w:tcPr>
                      <w:p>
                        <w:pPr>
                          <w:pStyle w:val="TableParagraph"/>
                          <w:spacing w:before="9"/>
                          <w:rPr>
                            <w:sz w:val="16"/>
                          </w:rPr>
                        </w:pPr>
                      </w:p>
                      <w:p>
                        <w:pPr>
                          <w:pStyle w:val="TableParagraph"/>
                          <w:ind w:left="111"/>
                          <w:rPr>
                            <w:sz w:val="12"/>
                          </w:rPr>
                        </w:pPr>
                        <w:r>
                          <w:rPr>
                            <w:sz w:val="12"/>
                          </w:rPr>
                          <w:t>105</w:t>
                        </w:r>
                      </w:p>
                    </w:tc>
                    <w:tc>
                      <w:tcPr>
                        <w:tcW w:w="5592" w:type="dxa"/>
                      </w:tcPr>
                      <w:p>
                        <w:pPr>
                          <w:pStyle w:val="TableParagraph"/>
                          <w:spacing w:line="263" w:lineRule="exact" w:before="79"/>
                          <w:ind w:left="583"/>
                          <w:rPr>
                            <w:sz w:val="24"/>
                          </w:rPr>
                        </w:pPr>
                        <w:r>
                          <w:rPr>
                            <w:sz w:val="24"/>
                          </w:rPr>
                          <w:t>The marked weakening in the prospects for global</w:t>
                        </w:r>
                      </w:p>
                    </w:tc>
                  </w:tr>
                  <w:tr>
                    <w:trPr>
                      <w:trHeight w:val="348" w:hRule="atLeast"/>
                    </w:trPr>
                    <w:tc>
                      <w:tcPr>
                        <w:tcW w:w="875" w:type="dxa"/>
                      </w:tcPr>
                      <w:p>
                        <w:pPr>
                          <w:pStyle w:val="TableParagraph"/>
                          <w:rPr>
                            <w:sz w:val="20"/>
                          </w:rPr>
                        </w:pPr>
                      </w:p>
                    </w:tc>
                    <w:tc>
                      <w:tcPr>
                        <w:tcW w:w="5592" w:type="dxa"/>
                      </w:tcPr>
                      <w:p>
                        <w:pPr>
                          <w:pStyle w:val="TableParagraph"/>
                          <w:spacing w:line="273" w:lineRule="exact"/>
                          <w:ind w:left="583"/>
                          <w:rPr>
                            <w:sz w:val="24"/>
                          </w:rPr>
                        </w:pPr>
                        <w:r>
                          <w:rPr>
                            <w:sz w:val="24"/>
                          </w:rPr>
                          <w:t>growth and inflation has, by itself, had a significant</w:t>
                        </w:r>
                      </w:p>
                    </w:tc>
                  </w:tr>
                </w:tbl>
                <w:p>
                  <w:pPr>
                    <w:pStyle w:val="BodyText"/>
                  </w:pPr>
                </w:p>
              </w:txbxContent>
            </v:textbox>
            <w10:wrap type="none"/>
          </v:shape>
        </w:pict>
      </w:r>
      <w:r>
        <w:rPr>
          <w:sz w:val="12"/>
        </w:rPr>
        <w:t>95</w:t>
      </w:r>
    </w:p>
    <w:p>
      <w:pPr>
        <w:pStyle w:val="BodyText"/>
        <w:rPr>
          <w:sz w:val="12"/>
        </w:rPr>
      </w:pPr>
    </w:p>
    <w:p>
      <w:pPr>
        <w:pStyle w:val="BodyText"/>
        <w:spacing w:before="3"/>
        <w:rPr>
          <w:sz w:val="14"/>
        </w:rPr>
      </w:pPr>
    </w:p>
    <w:p>
      <w:pPr>
        <w:spacing w:before="0"/>
        <w:ind w:left="260" w:right="0" w:firstLine="0"/>
        <w:jc w:val="left"/>
        <w:rPr>
          <w:sz w:val="12"/>
        </w:rPr>
      </w:pPr>
      <w:r>
        <w:rPr/>
        <w:pict>
          <v:line style="position:absolute;mso-position-horizontal-relative:page;mso-position-vertical-relative:paragraph;z-index:16024064" from="211.5pt,3.601563pt" to="206.5pt,3.601563pt" stroked="true" strokeweight=".5pt" strokecolor="#000000">
            <v:stroke dashstyle="solid"/>
            <w10:wrap type="none"/>
          </v:line>
        </w:pict>
      </w:r>
      <w:r>
        <w:rPr>
          <w:sz w:val="12"/>
        </w:rPr>
        <w:t>90</w:t>
      </w:r>
    </w:p>
    <w:p>
      <w:pPr>
        <w:pStyle w:val="Heading4"/>
        <w:spacing w:line="242" w:lineRule="auto" w:before="101"/>
        <w:ind w:right="221"/>
      </w:pPr>
      <w:r>
        <w:rPr/>
        <w:br w:type="column"/>
      </w:r>
      <w:r>
        <w:rPr/>
        <w:t>downward effect on the MPC’s projected path for import prices, relative to that in the August </w:t>
      </w:r>
      <w:r>
        <w:rPr>
          <w:i/>
        </w:rPr>
        <w:t>Report</w:t>
      </w:r>
      <w:r>
        <w:rPr/>
        <w:t>. Further downward pressure is also expected from a continued unwinding of foreign exporters’ margins. But these factors are expected to be offset by the impact of</w:t>
      </w:r>
    </w:p>
    <w:p>
      <w:pPr>
        <w:spacing w:after="0" w:line="242" w:lineRule="auto"/>
        <w:sectPr>
          <w:type w:val="continuous"/>
          <w:pgSz w:w="11900" w:h="16840"/>
          <w:pgMar w:top="1220" w:bottom="280" w:left="620" w:right="520"/>
          <w:cols w:num="3" w:equalWidth="0">
            <w:col w:w="3120" w:space="313"/>
            <w:col w:w="421" w:space="926"/>
            <w:col w:w="5980"/>
          </w:cols>
        </w:sectPr>
      </w:pPr>
    </w:p>
    <w:p>
      <w:pPr>
        <w:spacing w:line="208" w:lineRule="auto" w:before="68"/>
        <w:ind w:left="440" w:right="309" w:hanging="240"/>
        <w:jc w:val="left"/>
        <w:rPr>
          <w:sz w:val="12"/>
        </w:rPr>
      </w:pPr>
      <w:r>
        <w:rPr>
          <w:sz w:val="12"/>
        </w:rPr>
        <w:t>(a) Export prices are denominated in sterling and are UK trade-weighted. The major six economies are the G7 excluding the United Kingdom.</w:t>
      </w:r>
    </w:p>
    <w:p>
      <w:pPr>
        <w:pStyle w:val="BodyText"/>
        <w:rPr>
          <w:sz w:val="12"/>
        </w:rPr>
      </w:pPr>
    </w:p>
    <w:p>
      <w:pPr>
        <w:pStyle w:val="BodyText"/>
        <w:rPr>
          <w:sz w:val="12"/>
        </w:rPr>
      </w:pPr>
    </w:p>
    <w:p>
      <w:pPr>
        <w:pStyle w:val="BodyText"/>
        <w:spacing w:before="3"/>
        <w:rPr>
          <w:sz w:val="12"/>
        </w:rPr>
      </w:pPr>
    </w:p>
    <w:p>
      <w:pPr>
        <w:pStyle w:val="Heading7"/>
        <w:spacing w:before="0"/>
      </w:pPr>
      <w:r>
        <w:rPr>
          <w:color w:val="0093C1"/>
        </w:rPr>
        <w:t>Chart 4.5</w:t>
      </w:r>
    </w:p>
    <w:p>
      <w:pPr>
        <w:spacing w:line="249" w:lineRule="auto" w:before="10"/>
        <w:ind w:left="200" w:right="20" w:firstLine="0"/>
        <w:jc w:val="left"/>
        <w:rPr>
          <w:sz w:val="12"/>
        </w:rPr>
      </w:pPr>
      <w:r>
        <w:rPr>
          <w:b/>
          <w:color w:val="0093C1"/>
          <w:sz w:val="20"/>
        </w:rPr>
        <w:t>Distribution of changes in goods import prices between August 1996 and August 1998</w:t>
      </w:r>
      <w:r>
        <w:rPr>
          <w:position w:val="4"/>
          <w:sz w:val="12"/>
        </w:rPr>
        <w:t>(a)</w:t>
      </w:r>
    </w:p>
    <w:p>
      <w:pPr>
        <w:spacing w:line="381" w:lineRule="auto" w:before="140"/>
        <w:ind w:left="503" w:right="2589" w:firstLine="0"/>
        <w:jc w:val="left"/>
        <w:rPr>
          <w:sz w:val="12"/>
        </w:rPr>
      </w:pPr>
      <w:r>
        <w:rPr/>
        <w:pict>
          <v:group style="position:absolute;margin-left:42pt;margin-top:37.588089pt;width:166.75pt;height:160.85pt;mso-position-horizontal-relative:page;mso-position-vertical-relative:paragraph;z-index:-21473280" coordorigin="840,752" coordsize="3335,3217">
            <v:line style="position:absolute" from="920,3929" to="840,3929" stroked="true" strokeweight=".5pt" strokecolor="#000000">
              <v:stroke dashstyle="solid"/>
            </v:line>
            <v:line style="position:absolute" from="960,3926" to="1760,3926" stroked="true" strokeweight=".25pt" strokecolor="#000000">
              <v:stroke dashstyle="solid"/>
            </v:line>
            <v:shape style="position:absolute;left:2040;top:3924;width:1940;height:3" coordorigin="2040,3925" coordsize="1940,3" path="m2040,3925l2140,3925m2420,3925l2490,3925m2810,3925l3250,3925m3550,3925l3640,3925m2040,3927l3640,3927m3940,3925l3980,3925m3940,3927l3980,3927e" filled="false" stroked="true" strokeweight=".125pt" strokecolor="#000000">
              <v:path arrowok="t"/>
              <v:stroke dashstyle="solid"/>
            </v:shape>
            <v:line style="position:absolute" from="960,3931" to="3980,3931" stroked="true" strokeweight=".25pt" strokecolor="#000000">
              <v:stroke dashstyle="solid"/>
            </v:line>
            <v:rect style="position:absolute;left:1020;top:3748;width:280;height:180" filled="true" fillcolor="#ffe7bd" stroked="false">
              <v:fill type="solid"/>
            </v:rect>
            <v:rect style="position:absolute;left:1020;top:3748;width:280;height:180" filled="false" stroked="true" strokeweight=".5pt" strokecolor="#231f20">
              <v:stroke dashstyle="solid"/>
            </v:rect>
            <v:rect style="position:absolute;left:1400;top:3848;width:260;height:80" filled="true" fillcolor="#ffe7bd" stroked="false">
              <v:fill type="solid"/>
            </v:rect>
            <v:rect style="position:absolute;left:1400;top:3848;width:260;height:80" filled="false" stroked="true" strokeweight=".5pt" strokecolor="#231f20">
              <v:stroke dashstyle="solid"/>
            </v:rect>
            <v:shape style="position:absolute;left:960;top:3928;width:3180;height:40" coordorigin="960,3929" coordsize="3180,40" path="m960,3929l960,3969m1720,3929l1720,3969m2100,3929l2100,3969m2480,3929l2480,3969m2860,3929l2860,3969m3220,3929l3220,3969m3620,3929l3620,3969m1340,3929l1340,3969m4140,3929l4040,3929e" filled="false" stroked="true" strokeweight=".5pt" strokecolor="#000000">
              <v:path arrowok="t"/>
              <v:stroke dashstyle="solid"/>
            </v:shape>
            <v:rect style="position:absolute;left:1760;top:3808;width:280;height:120" filled="true" fillcolor="#b5e1e1" stroked="false">
              <v:fill type="solid"/>
            </v:rect>
            <v:rect style="position:absolute;left:1760;top:3808;width:280;height:120" filled="false" stroked="true" strokeweight=".5pt" strokecolor="#000000">
              <v:stroke dashstyle="solid"/>
            </v:rect>
            <v:rect style="position:absolute;left:2867;top:3338;width:300;height:588" filled="true" fillcolor="#0093c0" stroked="false">
              <v:fill type="solid"/>
            </v:rect>
            <v:rect style="position:absolute;left:2867;top:3338;width:300;height:588" filled="false" stroked="true" strokeweight=".5pt" strokecolor="#231f20">
              <v:stroke dashstyle="solid"/>
            </v:rect>
            <v:rect style="position:absolute;left:2870;top:2931;width:300;height:38" filled="true" fillcolor="#ffe7bd" stroked="false">
              <v:fill type="solid"/>
            </v:rect>
            <v:rect style="position:absolute;left:2870;top:2931;width:300;height:40" filled="false" stroked="true" strokeweight=".5pt" strokecolor="#231f20">
              <v:stroke dashstyle="solid"/>
            </v:rect>
            <v:rect style="position:absolute;left:2867;top:2968;width:303;height:365" filled="true" fillcolor="#b5e1e1" stroked="false">
              <v:fill type="solid"/>
            </v:rect>
            <v:rect style="position:absolute;left:2867;top:2968;width:303;height:365" filled="false" stroked="true" strokeweight=".5pt" strokecolor="#000000">
              <v:stroke dashstyle="solid"/>
            </v:rect>
            <v:rect style="position:absolute;left:3250;top:3578;width:300;height:40" filled="true" fillcolor="#ffe7bd" stroked="false">
              <v:fill type="solid"/>
            </v:rect>
            <v:rect style="position:absolute;left:3250;top:3578;width:300;height:40" filled="false" stroked="true" strokeweight=".5pt" strokecolor="#231f20">
              <v:stroke dashstyle="solid"/>
            </v:rect>
            <v:rect style="position:absolute;left:3250;top:3618;width:300;height:308" filled="true" fillcolor="#0093c0" stroked="false">
              <v:fill type="solid"/>
            </v:rect>
            <v:rect style="position:absolute;left:3250;top:3618;width:300;height:308" filled="false" stroked="true" strokeweight=".5pt" strokecolor="#231f20">
              <v:stroke dashstyle="solid"/>
            </v:rect>
            <v:rect style="position:absolute;left:3640;top:3738;width:300;height:80" filled="true" fillcolor="#ffe7bd" stroked="false">
              <v:fill type="solid"/>
            </v:rect>
            <v:rect style="position:absolute;left:3640;top:3738;width:300;height:80" filled="false" stroked="true" strokeweight=".5pt" strokecolor="#231f20">
              <v:stroke dashstyle="solid"/>
            </v:rect>
            <v:rect style="position:absolute;left:3640;top:3818;width:300;height:110" filled="true" fillcolor="#0093c0" stroked="false">
              <v:fill type="solid"/>
            </v:rect>
            <v:rect style="position:absolute;left:3640;top:3818;width:300;height:110" filled="false" stroked="true" strokeweight=".5pt" strokecolor="#231f20">
              <v:stroke dashstyle="solid"/>
            </v:rect>
            <v:shape style="position:absolute;left:3620;top:908;width:360;height:3060" coordorigin="3620,909" coordsize="360,3060" path="m3620,3929l3620,909m3980,3929l3980,3969e" filled="false" stroked="true" strokeweight=".5pt" strokecolor="#000000">
              <v:path arrowok="t"/>
              <v:stroke dashstyle="solid"/>
            </v:shape>
            <v:rect style="position:absolute;left:2140;top:3808;width:280;height:118" filled="true" fillcolor="#b5e1e1" stroked="false">
              <v:fill type="solid"/>
            </v:rect>
            <v:rect style="position:absolute;left:2140;top:3808;width:280;height:118" filled="false" stroked="true" strokeweight=".5pt" strokecolor="#000000">
              <v:stroke dashstyle="solid"/>
            </v:rect>
            <v:rect style="position:absolute;left:2140;top:3688;width:280;height:120" filled="true" fillcolor="#ffe7bd" stroked="false">
              <v:fill type="solid"/>
            </v:rect>
            <v:rect style="position:absolute;left:2140;top:3688;width:280;height:120" filled="false" stroked="true" strokeweight=".5pt" strokecolor="#231f20">
              <v:stroke dashstyle="solid"/>
            </v:rect>
            <v:rect style="position:absolute;left:2490;top:1268;width:327;height:260" filled="true" fillcolor="#ffe7bd" stroked="false">
              <v:fill type="solid"/>
            </v:rect>
            <v:rect style="position:absolute;left:2490;top:1268;width:327;height:260" filled="false" stroked="true" strokeweight=".5pt" strokecolor="#231f20">
              <v:stroke dashstyle="solid"/>
            </v:rect>
            <v:rect style="position:absolute;left:2490;top:2138;width:320;height:1788" filled="true" fillcolor="#0093c0" stroked="false">
              <v:fill type="solid"/>
            </v:rect>
            <v:rect style="position:absolute;left:2490;top:2138;width:320;height:1788" filled="false" stroked="true" strokeweight=".5pt" strokecolor="#231f20">
              <v:stroke dashstyle="solid"/>
            </v:rect>
            <v:rect style="position:absolute;left:2490;top:1528;width:324;height:600" filled="true" fillcolor="#b5e1e1" stroked="false">
              <v:fill type="solid"/>
            </v:rect>
            <v:rect style="position:absolute;left:2490;top:1528;width:324;height:600" filled="false" stroked="true" strokeweight=".5pt" strokecolor="#000000">
              <v:stroke dashstyle="solid"/>
            </v:rect>
            <v:line style="position:absolute" from="2680,3929" to="2680,909" stroked="true" strokeweight="1pt" strokecolor="#ed1b2d">
              <v:stroke dashstyle="dash"/>
            </v:line>
            <v:shape style="position:absolute;left:2562;top:1034;width:85;height:51" coordorigin="2562,1034" coordsize="85,51" path="m2562,1034l2562,1085,2578,1078,2590,1074,2647,1060,2638,1058,2628,1056,2616,1053,2603,1049,2591,1046,2562,1034xe" filled="true" fillcolor="#000000" stroked="false">
              <v:path arrowok="t"/>
              <v:fill type="solid"/>
            </v:shape>
            <v:shape style="position:absolute;left:2688;top:751;width:1487;height:133" type="#_x0000_t202" filled="false" stroked="false">
              <v:textbox inset="0,0,0,0">
                <w:txbxContent>
                  <w:p>
                    <w:pPr>
                      <w:spacing w:line="133" w:lineRule="exact" w:before="0"/>
                      <w:ind w:left="0" w:right="0" w:firstLine="0"/>
                      <w:jc w:val="left"/>
                      <w:rPr>
                        <w:sz w:val="12"/>
                      </w:rPr>
                    </w:pPr>
                    <w:r>
                      <w:rPr>
                        <w:sz w:val="12"/>
                      </w:rPr>
                      <w:t>Weight in index (out of 1,000)</w:t>
                    </w:r>
                  </w:p>
                </w:txbxContent>
              </v:textbox>
              <w10:wrap type="none"/>
            </v:shape>
            <v:shape style="position:absolute;left:1590;top:931;width:1010;height:273" type="#_x0000_t202" filled="false" stroked="false">
              <v:textbox inset="0,0,0,0">
                <w:txbxContent>
                  <w:p>
                    <w:pPr>
                      <w:tabs>
                        <w:tab w:pos="989" w:val="left" w:leader="none"/>
                      </w:tabs>
                      <w:spacing w:line="242" w:lineRule="auto" w:before="0"/>
                      <w:ind w:left="0" w:right="18" w:firstLine="0"/>
                      <w:jc w:val="left"/>
                      <w:rPr>
                        <w:sz w:val="12"/>
                      </w:rPr>
                    </w:pPr>
                    <w:r>
                      <w:rPr>
                        <w:sz w:val="12"/>
                      </w:rPr>
                      <w:t>Aggregate</w:t>
                    </w:r>
                    <w:r>
                      <w:rPr>
                        <w:sz w:val="12"/>
                        <w:u w:val="single"/>
                      </w:rPr>
                      <w:tab/>
                    </w:r>
                    <w:r>
                      <w:rPr>
                        <w:sz w:val="12"/>
                      </w:rPr>
                      <w:t> import prices</w:t>
                    </w:r>
                  </w:p>
                </w:txbxContent>
              </v:textbox>
              <w10:wrap type="none"/>
            </v:shape>
            <w10:wrap type="none"/>
          </v:group>
        </w:pict>
      </w:r>
      <w:r>
        <w:rPr/>
        <w:drawing>
          <wp:anchor distT="0" distB="0" distL="0" distR="0" allowOverlap="1" layoutInCell="1" locked="0" behindDoc="0" simplePos="0" relativeHeight="16022016">
            <wp:simplePos x="0" y="0"/>
            <wp:positionH relativeFrom="page">
              <wp:posOffset>530225</wp:posOffset>
            </wp:positionH>
            <wp:positionV relativeFrom="paragraph">
              <wp:posOffset>74302</wp:posOffset>
            </wp:positionV>
            <wp:extent cx="141820" cy="416991"/>
            <wp:effectExtent l="0" t="0" r="0" b="0"/>
            <wp:wrapNone/>
            <wp:docPr id="5" name="image27.png"/>
            <wp:cNvGraphicFramePr>
              <a:graphicFrameLocks noChangeAspect="1"/>
            </wp:cNvGraphicFramePr>
            <a:graphic>
              <a:graphicData uri="http://schemas.openxmlformats.org/drawingml/2006/picture">
                <pic:pic>
                  <pic:nvPicPr>
                    <pic:cNvPr id="6" name="image27.png"/>
                    <pic:cNvPicPr/>
                  </pic:nvPicPr>
                  <pic:blipFill>
                    <a:blip r:embed="rId88" cstate="print"/>
                    <a:stretch>
                      <a:fillRect/>
                    </a:stretch>
                  </pic:blipFill>
                  <pic:spPr>
                    <a:xfrm>
                      <a:off x="0" y="0"/>
                      <a:ext cx="141820" cy="416991"/>
                    </a:xfrm>
                    <a:prstGeom prst="rect">
                      <a:avLst/>
                    </a:prstGeom>
                  </pic:spPr>
                </pic:pic>
              </a:graphicData>
            </a:graphic>
          </wp:anchor>
        </w:drawing>
      </w:r>
      <w:r>
        <w:rPr>
          <w:color w:val="231F20"/>
          <w:sz w:val="12"/>
        </w:rPr>
        <w:t>Non-manufactures Semi-manufactures Finished manufactures</w:t>
      </w:r>
    </w:p>
    <w:p>
      <w:pPr>
        <w:spacing w:before="28"/>
        <w:ind w:left="3570" w:right="0" w:firstLine="0"/>
        <w:jc w:val="left"/>
        <w:rPr>
          <w:sz w:val="12"/>
        </w:rPr>
      </w:pPr>
      <w:r>
        <w:rPr/>
        <w:pict>
          <v:line style="position:absolute;mso-position-horizontal-relative:page;mso-position-vertical-relative:paragraph;z-index:16018432" from="46pt,6.501563pt" to="42pt,6.501563pt" stroked="true" strokeweight=".5pt" strokecolor="#000000">
            <v:stroke dashstyle="solid"/>
            <w10:wrap type="none"/>
          </v:line>
        </w:pict>
      </w:r>
      <w:r>
        <w:rPr/>
        <w:pict>
          <v:line style="position:absolute;mso-position-horizontal-relative:page;mso-position-vertical-relative:paragraph;z-index:16021504" from="207pt,6.501563pt" to="202pt,6.501563pt" stroked="true" strokeweight=".5pt" strokecolor="#000000">
            <v:stroke dashstyle="solid"/>
            <w10:wrap type="none"/>
          </v:line>
        </w:pict>
      </w:r>
      <w:r>
        <w:rPr>
          <w:sz w:val="12"/>
        </w:rPr>
        <w:t>600</w:t>
      </w:r>
    </w:p>
    <w:p>
      <w:pPr>
        <w:pStyle w:val="BodyText"/>
        <w:rPr>
          <w:sz w:val="12"/>
        </w:rPr>
      </w:pPr>
    </w:p>
    <w:p>
      <w:pPr>
        <w:pStyle w:val="BodyText"/>
        <w:rPr>
          <w:sz w:val="12"/>
        </w:rPr>
      </w:pPr>
    </w:p>
    <w:p>
      <w:pPr>
        <w:spacing w:before="86"/>
        <w:ind w:left="3570" w:right="0" w:firstLine="0"/>
        <w:jc w:val="left"/>
        <w:rPr>
          <w:sz w:val="12"/>
        </w:rPr>
      </w:pPr>
      <w:r>
        <w:rPr/>
        <w:pict>
          <v:line style="position:absolute;mso-position-horizontal-relative:page;mso-position-vertical-relative:paragraph;z-index:16017920" from="46pt,9.401563pt" to="42pt,9.401563pt" stroked="true" strokeweight=".5pt" strokecolor="#000000">
            <v:stroke dashstyle="solid"/>
            <w10:wrap type="none"/>
          </v:line>
        </w:pict>
      </w:r>
      <w:r>
        <w:rPr/>
        <w:pict>
          <v:line style="position:absolute;mso-position-horizontal-relative:page;mso-position-vertical-relative:paragraph;z-index:16020992" from="207pt,9.401563pt" to="202pt,9.401563pt" stroked="true" strokeweight=".5pt" strokecolor="#000000">
            <v:stroke dashstyle="solid"/>
            <w10:wrap type="none"/>
          </v:line>
        </w:pict>
      </w:r>
      <w:r>
        <w:rPr>
          <w:sz w:val="12"/>
        </w:rPr>
        <w:t>500</w:t>
      </w:r>
    </w:p>
    <w:p>
      <w:pPr>
        <w:pStyle w:val="BodyText"/>
        <w:rPr>
          <w:sz w:val="12"/>
        </w:rPr>
      </w:pPr>
    </w:p>
    <w:p>
      <w:pPr>
        <w:pStyle w:val="BodyText"/>
        <w:rPr>
          <w:sz w:val="12"/>
        </w:rPr>
      </w:pPr>
    </w:p>
    <w:p>
      <w:pPr>
        <w:spacing w:before="86"/>
        <w:ind w:left="3570" w:right="0" w:firstLine="0"/>
        <w:jc w:val="left"/>
        <w:rPr>
          <w:sz w:val="12"/>
        </w:rPr>
      </w:pPr>
      <w:r>
        <w:rPr/>
        <w:pict>
          <v:line style="position:absolute;mso-position-horizontal-relative:page;mso-position-vertical-relative:paragraph;z-index:16017408" from="46pt,9.401563pt" to="42pt,9.401563pt" stroked="true" strokeweight=".5pt" strokecolor="#000000">
            <v:stroke dashstyle="solid"/>
            <w10:wrap type="none"/>
          </v:line>
        </w:pict>
      </w:r>
      <w:r>
        <w:rPr/>
        <w:pict>
          <v:line style="position:absolute;mso-position-horizontal-relative:page;mso-position-vertical-relative:paragraph;z-index:16020480" from="207pt,9.401563pt" to="202pt,9.401563pt" stroked="true" strokeweight=".5pt" strokecolor="#000000">
            <v:stroke dashstyle="solid"/>
            <w10:wrap type="none"/>
          </v:line>
        </w:pict>
      </w:r>
      <w:r>
        <w:rPr>
          <w:sz w:val="12"/>
        </w:rPr>
        <w:t>400</w:t>
      </w:r>
    </w:p>
    <w:p>
      <w:pPr>
        <w:pStyle w:val="BodyText"/>
        <w:rPr>
          <w:sz w:val="12"/>
        </w:rPr>
      </w:pPr>
    </w:p>
    <w:p>
      <w:pPr>
        <w:pStyle w:val="BodyText"/>
        <w:rPr>
          <w:sz w:val="12"/>
        </w:rPr>
      </w:pPr>
    </w:p>
    <w:p>
      <w:pPr>
        <w:spacing w:before="87"/>
        <w:ind w:left="3570" w:right="0" w:firstLine="0"/>
        <w:jc w:val="left"/>
        <w:rPr>
          <w:sz w:val="12"/>
        </w:rPr>
      </w:pPr>
      <w:r>
        <w:rPr/>
        <w:pict>
          <v:line style="position:absolute;mso-position-horizontal-relative:page;mso-position-vertical-relative:paragraph;z-index:16016896" from="46pt,9.451563pt" to="42pt,9.451563pt" stroked="true" strokeweight=".5pt" strokecolor="#000000">
            <v:stroke dashstyle="solid"/>
            <w10:wrap type="none"/>
          </v:line>
        </w:pict>
      </w:r>
      <w:r>
        <w:rPr/>
        <w:pict>
          <v:line style="position:absolute;mso-position-horizontal-relative:page;mso-position-vertical-relative:paragraph;z-index:16019968" from="207pt,9.451563pt" to="202pt,9.451563pt" stroked="true" strokeweight=".5pt" strokecolor="#000000">
            <v:stroke dashstyle="solid"/>
            <w10:wrap type="none"/>
          </v:line>
        </w:pict>
      </w:r>
      <w:r>
        <w:rPr>
          <w:sz w:val="12"/>
        </w:rPr>
        <w:t>300</w:t>
      </w:r>
    </w:p>
    <w:p>
      <w:pPr>
        <w:pStyle w:val="BodyText"/>
        <w:rPr>
          <w:sz w:val="12"/>
        </w:rPr>
      </w:pPr>
    </w:p>
    <w:p>
      <w:pPr>
        <w:pStyle w:val="BodyText"/>
        <w:rPr>
          <w:sz w:val="12"/>
        </w:rPr>
      </w:pPr>
    </w:p>
    <w:p>
      <w:pPr>
        <w:spacing w:before="106"/>
        <w:ind w:left="3570" w:right="0" w:firstLine="0"/>
        <w:jc w:val="left"/>
        <w:rPr>
          <w:sz w:val="12"/>
        </w:rPr>
      </w:pPr>
      <w:r>
        <w:rPr/>
        <w:pict>
          <v:line style="position:absolute;mso-position-horizontal-relative:page;mso-position-vertical-relative:paragraph;z-index:16016384" from="46pt,9.401563pt" to="42pt,9.401563pt" stroked="true" strokeweight=".5pt" strokecolor="#000000">
            <v:stroke dashstyle="solid"/>
            <w10:wrap type="none"/>
          </v:line>
        </w:pict>
      </w:r>
      <w:r>
        <w:rPr/>
        <w:pict>
          <v:line style="position:absolute;mso-position-horizontal-relative:page;mso-position-vertical-relative:paragraph;z-index:16019456" from="207pt,9.401563pt" to="202pt,9.401563pt" stroked="true" strokeweight=".5pt" strokecolor="#000000">
            <v:stroke dashstyle="solid"/>
            <w10:wrap type="none"/>
          </v:line>
        </w:pict>
      </w:r>
      <w:r>
        <w:rPr>
          <w:sz w:val="12"/>
        </w:rPr>
        <w:t>200</w:t>
      </w:r>
    </w:p>
    <w:p>
      <w:pPr>
        <w:pStyle w:val="BodyText"/>
        <w:rPr>
          <w:sz w:val="12"/>
        </w:rPr>
      </w:pPr>
    </w:p>
    <w:p>
      <w:pPr>
        <w:pStyle w:val="BodyText"/>
        <w:rPr>
          <w:sz w:val="12"/>
        </w:rPr>
      </w:pPr>
    </w:p>
    <w:p>
      <w:pPr>
        <w:spacing w:before="86"/>
        <w:ind w:left="3570" w:right="0" w:firstLine="0"/>
        <w:jc w:val="left"/>
        <w:rPr>
          <w:sz w:val="12"/>
        </w:rPr>
      </w:pPr>
      <w:r>
        <w:rPr/>
        <w:pict>
          <v:line style="position:absolute;mso-position-horizontal-relative:page;mso-position-vertical-relative:paragraph;z-index:16015872" from="46pt,8.401563pt" to="42pt,8.401563pt" stroked="true" strokeweight=".5pt" strokecolor="#000000">
            <v:stroke dashstyle="solid"/>
            <w10:wrap type="none"/>
          </v:line>
        </w:pict>
      </w:r>
      <w:r>
        <w:rPr/>
        <w:pict>
          <v:line style="position:absolute;mso-position-horizontal-relative:page;mso-position-vertical-relative:paragraph;z-index:16018944" from="207pt,8.401563pt" to="202pt,8.401563pt" stroked="true" strokeweight=".5pt" strokecolor="#000000">
            <v:stroke dashstyle="solid"/>
            <w10:wrap type="none"/>
          </v:line>
        </w:pict>
      </w:r>
      <w:r>
        <w:rPr>
          <w:sz w:val="12"/>
        </w:rPr>
        <w:t>100</w:t>
      </w:r>
    </w:p>
    <w:p>
      <w:pPr>
        <w:pStyle w:val="Heading4"/>
        <w:spacing w:line="242" w:lineRule="auto" w:before="6"/>
        <w:ind w:right="466"/>
        <w:jc w:val="both"/>
      </w:pPr>
      <w:r>
        <w:rPr/>
        <w:br w:type="column"/>
      </w:r>
      <w:r>
        <w:rPr/>
        <w:t>sterling’s recent and projected future depreciation, </w:t>
      </w:r>
      <w:r>
        <w:rPr>
          <w:spacing w:val="-5"/>
        </w:rPr>
        <w:t>with </w:t>
      </w:r>
      <w:r>
        <w:rPr/>
        <w:t>import price inflation assumed to become positive over the forecast period.</w:t>
      </w:r>
    </w:p>
    <w:p>
      <w:pPr>
        <w:pStyle w:val="BodyText"/>
        <w:spacing w:before="7"/>
        <w:rPr>
          <w:sz w:val="26"/>
        </w:rPr>
      </w:pPr>
    </w:p>
    <w:p>
      <w:pPr>
        <w:tabs>
          <w:tab w:pos="1097" w:val="left" w:leader="none"/>
          <w:tab w:pos="5699" w:val="left" w:leader="none"/>
        </w:tabs>
        <w:spacing w:before="0"/>
        <w:ind w:left="200" w:right="0" w:firstLine="0"/>
        <w:jc w:val="left"/>
        <w:rPr>
          <w:b/>
          <w:sz w:val="28"/>
        </w:rPr>
      </w:pPr>
      <w:r>
        <w:rPr>
          <w:b/>
          <w:color w:val="009483"/>
          <w:sz w:val="28"/>
          <w:u w:val="thick" w:color="0093C1"/>
        </w:rPr>
        <w:t>4.3</w:t>
        <w:tab/>
        <w:t>Costs and prices in the service</w:t>
      </w:r>
      <w:r>
        <w:rPr>
          <w:b/>
          <w:color w:val="009483"/>
          <w:spacing w:val="-3"/>
          <w:sz w:val="28"/>
          <w:u w:val="thick" w:color="0093C1"/>
        </w:rPr>
        <w:t> </w:t>
      </w:r>
      <w:r>
        <w:rPr>
          <w:b/>
          <w:color w:val="009483"/>
          <w:sz w:val="28"/>
          <w:u w:val="thick" w:color="0093C1"/>
        </w:rPr>
        <w:t>sector</w:t>
        <w:tab/>
      </w:r>
    </w:p>
    <w:p>
      <w:pPr>
        <w:spacing w:line="242" w:lineRule="auto" w:before="264"/>
        <w:ind w:left="200" w:right="348" w:firstLine="0"/>
        <w:jc w:val="left"/>
        <w:rPr>
          <w:sz w:val="24"/>
        </w:rPr>
      </w:pPr>
      <w:r>
        <w:rPr>
          <w:sz w:val="24"/>
        </w:rPr>
        <w:t>Survey data suggest that inflationary pressures in the service sector may be moderating. The Chartered Institute of Purchasing and Supply (C</w:t>
      </w:r>
      <w:r>
        <w:rPr>
          <w:sz w:val="20"/>
        </w:rPr>
        <w:t>IPS</w:t>
      </w:r>
      <w:r>
        <w:rPr>
          <w:sz w:val="24"/>
        </w:rPr>
        <w:t>) measure of growth in service sector costs fell from a peak of 58.9 in May to 55.0 in October, but this is still some way above its neutral level of 50, which indicates no rise on the previous month. Some of this continued strength may reflect positive contributions from labour costs, which account for a larger share of total costs in the service sector than in the manufacturing sector. Developments in the labour market are discussed in more detail in </w:t>
      </w:r>
      <w:hyperlink w:history="true" w:anchor="_bookmark17">
        <w:r>
          <w:rPr>
            <w:sz w:val="24"/>
          </w:rPr>
          <w:t>Section 3.</w:t>
        </w:r>
      </w:hyperlink>
    </w:p>
    <w:p>
      <w:pPr>
        <w:spacing w:after="0" w:line="242" w:lineRule="auto"/>
        <w:jc w:val="left"/>
        <w:rPr>
          <w:sz w:val="24"/>
        </w:rPr>
        <w:sectPr>
          <w:type w:val="continuous"/>
          <w:pgSz w:w="11900" w:h="16840"/>
          <w:pgMar w:top="1220" w:bottom="280" w:left="620" w:right="520"/>
          <w:cols w:num="2" w:equalWidth="0">
            <w:col w:w="4185" w:space="595"/>
            <w:col w:w="5980"/>
          </w:cols>
        </w:sectPr>
      </w:pPr>
    </w:p>
    <w:p>
      <w:pPr>
        <w:pStyle w:val="BodyText"/>
        <w:spacing w:before="1"/>
        <w:rPr>
          <w:sz w:val="10"/>
        </w:rPr>
      </w:pPr>
    </w:p>
    <w:p>
      <w:pPr>
        <w:spacing w:after="0"/>
        <w:rPr>
          <w:sz w:val="10"/>
        </w:rPr>
        <w:sectPr>
          <w:type w:val="continuous"/>
          <w:pgSz w:w="11900" w:h="16840"/>
          <w:pgMar w:top="1220" w:bottom="280" w:left="620" w:right="520"/>
        </w:sectPr>
      </w:pPr>
    </w:p>
    <w:p>
      <w:pPr>
        <w:tabs>
          <w:tab w:pos="649" w:val="left" w:leader="none"/>
          <w:tab w:pos="1049" w:val="left" w:leader="none"/>
          <w:tab w:pos="1429" w:val="left" w:leader="none"/>
          <w:tab w:pos="1789" w:val="left" w:leader="none"/>
          <w:tab w:pos="2169" w:val="left" w:leader="none"/>
          <w:tab w:pos="2569" w:val="left" w:leader="none"/>
        </w:tabs>
        <w:spacing w:before="168"/>
        <w:ind w:left="270" w:right="0" w:firstLine="0"/>
        <w:jc w:val="left"/>
        <w:rPr>
          <w:sz w:val="16"/>
        </w:rPr>
      </w:pPr>
      <w:r>
        <w:rPr>
          <w:sz w:val="12"/>
        </w:rPr>
        <w:t>35</w:t>
        <w:tab/>
        <w:t>30</w:t>
        <w:tab/>
        <w:t>25</w:t>
        <w:tab/>
        <w:t>20</w:t>
        <w:tab/>
        <w:t>15</w:t>
        <w:tab/>
        <w:t>10</w:t>
        <w:tab/>
        <w:t>5</w:t>
      </w:r>
      <w:r>
        <w:rPr>
          <w:spacing w:val="3"/>
          <w:sz w:val="12"/>
        </w:rPr>
        <w:t> </w:t>
      </w:r>
      <w:r>
        <w:rPr>
          <w:spacing w:val="-19"/>
          <w:position w:val="7"/>
          <w:sz w:val="16"/>
        </w:rPr>
        <w:t>–</w:t>
      </w:r>
    </w:p>
    <w:p>
      <w:pPr>
        <w:spacing w:before="28"/>
        <w:ind w:left="1490" w:right="0" w:firstLine="0"/>
        <w:jc w:val="left"/>
        <w:rPr>
          <w:sz w:val="12"/>
        </w:rPr>
      </w:pPr>
      <w:r>
        <w:rPr>
          <w:sz w:val="12"/>
        </w:rPr>
        <w:t>Percentage change</w:t>
      </w:r>
    </w:p>
    <w:p>
      <w:pPr>
        <w:spacing w:line="110" w:lineRule="exact" w:before="95"/>
        <w:ind w:left="0" w:right="38" w:firstLine="0"/>
        <w:jc w:val="right"/>
        <w:rPr>
          <w:sz w:val="12"/>
        </w:rPr>
      </w:pPr>
      <w:r>
        <w:rPr/>
        <w:br w:type="column"/>
      </w:r>
      <w:r>
        <w:rPr>
          <w:sz w:val="12"/>
        </w:rPr>
        <w:t>0</w:t>
      </w:r>
    </w:p>
    <w:p>
      <w:pPr>
        <w:spacing w:line="208" w:lineRule="exact" w:before="0"/>
        <w:ind w:left="96" w:right="0" w:firstLine="0"/>
        <w:jc w:val="left"/>
        <w:rPr>
          <w:sz w:val="12"/>
        </w:rPr>
      </w:pPr>
      <w:r>
        <w:rPr>
          <w:sz w:val="12"/>
        </w:rPr>
        <w:t>0 </w:t>
      </w:r>
      <w:r>
        <w:rPr>
          <w:position w:val="6"/>
          <w:sz w:val="16"/>
        </w:rPr>
        <w:t>+ </w:t>
      </w:r>
      <w:r>
        <w:rPr>
          <w:sz w:val="12"/>
        </w:rPr>
        <w:t>5</w:t>
      </w:r>
    </w:p>
    <w:p>
      <w:pPr>
        <w:pStyle w:val="Heading4"/>
        <w:spacing w:line="242" w:lineRule="auto" w:before="159"/>
        <w:ind w:left="270" w:right="534"/>
      </w:pPr>
      <w:r>
        <w:rPr/>
        <w:br w:type="column"/>
      </w:r>
      <w:r>
        <w:rPr/>
        <w:t>About 40% of gross service sector output is purchased by other firms or the public sector. The ONS is</w:t>
      </w:r>
    </w:p>
    <w:p>
      <w:pPr>
        <w:spacing w:after="0" w:line="242" w:lineRule="auto"/>
        <w:sectPr>
          <w:type w:val="continuous"/>
          <w:pgSz w:w="11900" w:h="16840"/>
          <w:pgMar w:top="1220" w:bottom="280" w:left="620" w:right="520"/>
          <w:cols w:num="3" w:equalWidth="0">
            <w:col w:w="2834" w:space="40"/>
            <w:col w:w="924" w:space="912"/>
            <w:col w:w="6050"/>
          </w:cols>
        </w:sectPr>
      </w:pPr>
    </w:p>
    <w:p>
      <w:pPr>
        <w:spacing w:before="2"/>
        <w:ind w:left="200" w:right="0" w:firstLine="0"/>
        <w:jc w:val="left"/>
        <w:rPr>
          <w:sz w:val="12"/>
        </w:rPr>
      </w:pPr>
      <w:r>
        <w:rPr>
          <w:sz w:val="12"/>
        </w:rPr>
        <w:t>(a) Based on maximum disaggregation allowed by the published trade data.</w:t>
      </w:r>
    </w:p>
    <w:p>
      <w:pPr>
        <w:pStyle w:val="Heading4"/>
        <w:spacing w:line="242" w:lineRule="auto" w:before="3"/>
        <w:ind w:right="568"/>
      </w:pPr>
      <w:r>
        <w:rPr/>
        <w:br w:type="column"/>
      </w:r>
      <w:r>
        <w:rPr/>
        <w:t>developing a new corporate services price index, analogous to the producer price series for manufacturing.</w:t>
      </w:r>
      <w:r>
        <w:rPr>
          <w:position w:val="5"/>
          <w:sz w:val="16"/>
        </w:rPr>
        <w:t>(2) </w:t>
      </w:r>
      <w:r>
        <w:rPr/>
        <w:t>Annual inflation in this measure— which is still experimental—has been well above that of manufacturing output prices since the second half of 1996, but moderated a little in the first half of this year. Services output price inflation may have slowed further since then: the C</w:t>
      </w:r>
      <w:r>
        <w:rPr>
          <w:sz w:val="20"/>
        </w:rPr>
        <w:t>IPS </w:t>
      </w:r>
      <w:r>
        <w:rPr/>
        <w:t>indicator of increases in prices charged fell from an average of 51.9 in Q2 to</w:t>
      </w:r>
    </w:p>
    <w:p>
      <w:pPr>
        <w:pStyle w:val="BodyText"/>
        <w:rPr>
          <w:sz w:val="12"/>
        </w:rPr>
      </w:pPr>
      <w:r>
        <w:rPr/>
        <w:pict>
          <v:shape style="position:absolute;margin-left:278.5pt;margin-top:8.962793pt;width:277.5pt;height:.1pt;mso-position-horizontal-relative:page;mso-position-vertical-relative:paragraph;z-index:-15443456;mso-wrap-distance-left:0;mso-wrap-distance-right:0" coordorigin="5570,179" coordsize="5550,0" path="m5570,179l11120,179e" filled="false" stroked="true" strokeweight=".125pt" strokecolor="#000000">
            <v:path arrowok="t"/>
            <v:stroke dashstyle="solid"/>
            <w10:wrap type="topAndBottom"/>
          </v:shape>
        </w:pict>
      </w:r>
    </w:p>
    <w:p>
      <w:pPr>
        <w:pStyle w:val="ListParagraph"/>
        <w:numPr>
          <w:ilvl w:val="0"/>
          <w:numId w:val="28"/>
        </w:numPr>
        <w:tabs>
          <w:tab w:pos="449" w:val="left" w:leader="none"/>
        </w:tabs>
        <w:spacing w:line="208" w:lineRule="auto" w:before="24" w:after="0"/>
        <w:ind w:left="448" w:right="788" w:hanging="240"/>
        <w:jc w:val="left"/>
        <w:rPr>
          <w:sz w:val="16"/>
        </w:rPr>
      </w:pPr>
      <w:r>
        <w:rPr>
          <w:sz w:val="16"/>
        </w:rPr>
        <w:t>An alternative explanation could be that UK import prices are reflecting higher sterling export prices from countries outside the G7. But a </w:t>
      </w:r>
      <w:r>
        <w:rPr>
          <w:spacing w:val="-3"/>
          <w:sz w:val="16"/>
        </w:rPr>
        <w:t>broader </w:t>
      </w:r>
      <w:r>
        <w:rPr>
          <w:sz w:val="16"/>
        </w:rPr>
        <w:t>measure of export prices, covering nearly 80% of UK trade, gives no indication of such an effect. Sterling export prices from East Asia have fallen sharply.</w:t>
      </w:r>
    </w:p>
    <w:p>
      <w:pPr>
        <w:pStyle w:val="ListParagraph"/>
        <w:numPr>
          <w:ilvl w:val="0"/>
          <w:numId w:val="28"/>
        </w:numPr>
        <w:tabs>
          <w:tab w:pos="449" w:val="left" w:leader="none"/>
        </w:tabs>
        <w:spacing w:line="208" w:lineRule="auto" w:before="0" w:after="0"/>
        <w:ind w:left="448" w:right="894" w:hanging="240"/>
        <w:jc w:val="left"/>
        <w:rPr>
          <w:sz w:val="16"/>
        </w:rPr>
      </w:pPr>
      <w:r>
        <w:rPr>
          <w:sz w:val="16"/>
        </w:rPr>
        <w:t>Further details on this index are given in ‘Development of the Corporate Services Price Index: A review of progress’, by Hugh Skipper, in </w:t>
      </w:r>
      <w:r>
        <w:rPr>
          <w:i/>
          <w:sz w:val="16"/>
        </w:rPr>
        <w:t>Economic Trends</w:t>
      </w:r>
      <w:r>
        <w:rPr>
          <w:sz w:val="16"/>
        </w:rPr>
        <w:t>, September</w:t>
      </w:r>
      <w:r>
        <w:rPr>
          <w:spacing w:val="-1"/>
          <w:sz w:val="16"/>
        </w:rPr>
        <w:t> </w:t>
      </w:r>
      <w:r>
        <w:rPr>
          <w:sz w:val="16"/>
        </w:rPr>
        <w:t>1998.</w:t>
      </w:r>
    </w:p>
    <w:p>
      <w:pPr>
        <w:spacing w:after="0" w:line="208" w:lineRule="auto"/>
        <w:jc w:val="left"/>
        <w:rPr>
          <w:sz w:val="16"/>
        </w:rPr>
        <w:sectPr>
          <w:type w:val="continuous"/>
          <w:pgSz w:w="11900" w:h="16840"/>
          <w:pgMar w:top="1220" w:bottom="280" w:left="620" w:right="520"/>
          <w:cols w:num="2" w:equalWidth="0">
            <w:col w:w="3940" w:space="840"/>
            <w:col w:w="5980"/>
          </w:cols>
        </w:sectPr>
      </w:pPr>
    </w:p>
    <w:p>
      <w:pPr>
        <w:pStyle w:val="BodyText"/>
        <w:rPr>
          <w:sz w:val="20"/>
        </w:rPr>
      </w:pPr>
    </w:p>
    <w:p>
      <w:pPr>
        <w:spacing w:after="0"/>
        <w:rPr>
          <w:sz w:val="20"/>
        </w:rPr>
        <w:sectPr>
          <w:pgSz w:w="11900" w:h="16840"/>
          <w:pgMar w:header="586" w:footer="617" w:top="780" w:bottom="800" w:left="620" w:right="520"/>
        </w:sectPr>
      </w:pPr>
    </w:p>
    <w:p>
      <w:pPr>
        <w:pStyle w:val="BodyText"/>
        <w:spacing w:before="6"/>
        <w:rPr>
          <w:sz w:val="20"/>
        </w:rPr>
      </w:pPr>
    </w:p>
    <w:p>
      <w:pPr>
        <w:pStyle w:val="Heading7"/>
        <w:spacing w:before="0"/>
        <w:ind w:left="174"/>
      </w:pPr>
      <w:bookmarkStart w:name="Costs and prices in manufacturing" w:id="69"/>
      <w:bookmarkEnd w:id="69"/>
      <w:r>
        <w:rPr>
          <w:b w:val="0"/>
        </w:rPr>
      </w:r>
      <w:bookmarkStart w:name="Retail prices" w:id="70"/>
      <w:bookmarkEnd w:id="70"/>
      <w:r>
        <w:rPr>
          <w:b w:val="0"/>
        </w:rPr>
      </w:r>
      <w:bookmarkStart w:name="_bookmark25" w:id="71"/>
      <w:bookmarkEnd w:id="71"/>
      <w:r>
        <w:rPr>
          <w:b w:val="0"/>
        </w:rPr>
      </w:r>
      <w:r>
        <w:rPr>
          <w:color w:val="0093C1"/>
        </w:rPr>
        <w:t>Table 4.B</w:t>
      </w:r>
    </w:p>
    <w:p>
      <w:pPr>
        <w:spacing w:before="10"/>
        <w:ind w:left="174" w:right="0" w:firstLine="0"/>
        <w:jc w:val="left"/>
        <w:rPr>
          <w:b/>
          <w:sz w:val="20"/>
        </w:rPr>
      </w:pPr>
      <w:r>
        <w:rPr>
          <w:b/>
          <w:color w:val="0093C1"/>
          <w:sz w:val="20"/>
        </w:rPr>
        <w:t>Manufacturing sector: costs and prices</w:t>
      </w:r>
    </w:p>
    <w:p>
      <w:pPr>
        <w:spacing w:before="84"/>
        <w:ind w:left="179" w:right="0" w:firstLine="0"/>
        <w:jc w:val="left"/>
        <w:rPr>
          <w:sz w:val="14"/>
        </w:rPr>
      </w:pPr>
      <w:r>
        <w:rPr>
          <w:sz w:val="14"/>
        </w:rPr>
        <w:t>Percentage changes on a year earlier</w:t>
      </w:r>
    </w:p>
    <w:p>
      <w:pPr>
        <w:pStyle w:val="Heading4"/>
        <w:spacing w:before="207"/>
        <w:ind w:left="174"/>
      </w:pPr>
      <w:r>
        <w:rPr/>
        <w:br w:type="column"/>
      </w:r>
      <w:r>
        <w:rPr/>
        <w:t>51.5 in Q3, and 48.5 in October. The BCC measure</w:t>
      </w:r>
    </w:p>
    <w:p>
      <w:pPr>
        <w:spacing w:before="4"/>
        <w:ind w:left="174" w:right="0" w:firstLine="0"/>
        <w:jc w:val="left"/>
        <w:rPr>
          <w:sz w:val="24"/>
        </w:rPr>
      </w:pPr>
      <w:r>
        <w:rPr>
          <w:sz w:val="24"/>
        </w:rPr>
        <w:t>of output price rises in the service sector also fell in Q3.</w:t>
      </w:r>
    </w:p>
    <w:p>
      <w:pPr>
        <w:spacing w:after="0"/>
        <w:jc w:val="left"/>
        <w:rPr>
          <w:sz w:val="24"/>
        </w:rPr>
        <w:sectPr>
          <w:type w:val="continuous"/>
          <w:pgSz w:w="11900" w:h="16840"/>
          <w:pgMar w:top="1220" w:bottom="280" w:left="620" w:right="520"/>
          <w:cols w:num="2" w:equalWidth="0">
            <w:col w:w="3587" w:space="1199"/>
            <w:col w:w="5974"/>
          </w:cols>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
        <w:rPr>
          <w:sz w:val="20"/>
        </w:rPr>
      </w:pPr>
    </w:p>
    <w:p>
      <w:pPr>
        <w:spacing w:line="150" w:lineRule="exact" w:before="1"/>
        <w:ind w:left="179" w:right="0" w:firstLine="0"/>
        <w:jc w:val="left"/>
        <w:rPr>
          <w:b/>
          <w:sz w:val="14"/>
        </w:rPr>
      </w:pPr>
      <w:r>
        <w:rPr>
          <w:b/>
          <w:sz w:val="14"/>
        </w:rPr>
        <w:t>Output prices</w:t>
      </w:r>
    </w:p>
    <w:p>
      <w:pPr>
        <w:spacing w:line="135" w:lineRule="exact" w:before="0"/>
        <w:ind w:left="284" w:right="0" w:firstLine="0"/>
        <w:jc w:val="left"/>
        <w:rPr>
          <w:sz w:val="12"/>
        </w:rPr>
      </w:pPr>
      <w:r>
        <w:rPr>
          <w:sz w:val="14"/>
        </w:rPr>
        <w:t>Domestic prices </w:t>
      </w:r>
      <w:r>
        <w:rPr>
          <w:sz w:val="12"/>
        </w:rPr>
        <w:t>(d)</w:t>
      </w:r>
    </w:p>
    <w:p>
      <w:pPr>
        <w:tabs>
          <w:tab w:pos="1166" w:val="left" w:leader="none"/>
        </w:tabs>
        <w:spacing w:line="150" w:lineRule="exact" w:before="119"/>
        <w:ind w:left="191" w:right="0" w:firstLine="0"/>
        <w:jc w:val="left"/>
        <w:rPr>
          <w:sz w:val="14"/>
        </w:rPr>
      </w:pPr>
      <w:r>
        <w:rPr/>
        <w:br w:type="column"/>
      </w:r>
      <w:r>
        <w:rPr>
          <w:sz w:val="14"/>
          <w:u w:val="single"/>
        </w:rPr>
        <w:t>1998</w:t>
        <w:tab/>
      </w:r>
    </w:p>
    <w:p>
      <w:pPr>
        <w:tabs>
          <w:tab w:pos="841" w:val="left" w:leader="none"/>
        </w:tabs>
        <w:spacing w:line="150" w:lineRule="exact" w:before="0"/>
        <w:ind w:left="191" w:right="0" w:firstLine="0"/>
        <w:jc w:val="left"/>
        <w:rPr>
          <w:sz w:val="12"/>
        </w:rPr>
      </w:pPr>
      <w:r>
        <w:rPr/>
        <w:pict>
          <v:shape style="position:absolute;margin-left:37.490002pt;margin-top:13.772691pt;width:185.55pt;height:42.8pt;mso-position-horizontal-relative:page;mso-position-vertical-relative:paragraph;z-index:1603840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53"/>
                    <w:gridCol w:w="562"/>
                    <w:gridCol w:w="496"/>
                  </w:tblGrid>
                  <w:tr>
                    <w:trPr>
                      <w:trHeight w:val="287" w:hRule="atLeast"/>
                    </w:trPr>
                    <w:tc>
                      <w:tcPr>
                        <w:tcW w:w="2653" w:type="dxa"/>
                      </w:tcPr>
                      <w:p>
                        <w:pPr>
                          <w:pStyle w:val="TableParagraph"/>
                          <w:spacing w:line="145" w:lineRule="exact"/>
                          <w:ind w:left="50"/>
                          <w:rPr>
                            <w:b/>
                            <w:sz w:val="14"/>
                          </w:rPr>
                        </w:pPr>
                        <w:r>
                          <w:rPr>
                            <w:b/>
                            <w:sz w:val="14"/>
                          </w:rPr>
                          <w:t>Total weighted costs</w:t>
                        </w:r>
                      </w:p>
                      <w:p>
                        <w:pPr>
                          <w:pStyle w:val="TableParagraph"/>
                          <w:spacing w:line="123" w:lineRule="exact"/>
                          <w:ind w:left="155"/>
                          <w:rPr>
                            <w:i/>
                            <w:sz w:val="14"/>
                          </w:rPr>
                        </w:pPr>
                        <w:r>
                          <w:rPr>
                            <w:i/>
                            <w:sz w:val="14"/>
                          </w:rPr>
                          <w:t>of which:</w:t>
                        </w:r>
                      </w:p>
                    </w:tc>
                    <w:tc>
                      <w:tcPr>
                        <w:tcW w:w="562" w:type="dxa"/>
                      </w:tcPr>
                      <w:p>
                        <w:pPr>
                          <w:pStyle w:val="TableParagraph"/>
                          <w:spacing w:line="155" w:lineRule="exact"/>
                          <w:ind w:right="222"/>
                          <w:jc w:val="right"/>
                          <w:rPr>
                            <w:b/>
                            <w:sz w:val="14"/>
                          </w:rPr>
                        </w:pPr>
                        <w:r>
                          <w:rPr>
                            <w:b/>
                            <w:sz w:val="14"/>
                          </w:rPr>
                          <w:t>0.3</w:t>
                        </w:r>
                      </w:p>
                    </w:tc>
                    <w:tc>
                      <w:tcPr>
                        <w:tcW w:w="496" w:type="dxa"/>
                      </w:tcPr>
                      <w:p>
                        <w:pPr>
                          <w:pStyle w:val="TableParagraph"/>
                          <w:spacing w:line="155" w:lineRule="exact"/>
                          <w:ind w:right="48"/>
                          <w:jc w:val="right"/>
                          <w:rPr>
                            <w:b/>
                            <w:sz w:val="14"/>
                          </w:rPr>
                        </w:pPr>
                        <w:r>
                          <w:rPr>
                            <w:b/>
                            <w:sz w:val="14"/>
                          </w:rPr>
                          <w:t>-0.3</w:t>
                        </w:r>
                      </w:p>
                    </w:tc>
                  </w:tr>
                  <w:tr>
                    <w:trPr>
                      <w:trHeight w:val="140" w:hRule="atLeast"/>
                    </w:trPr>
                    <w:tc>
                      <w:tcPr>
                        <w:tcW w:w="2653" w:type="dxa"/>
                      </w:tcPr>
                      <w:p>
                        <w:pPr>
                          <w:pStyle w:val="TableParagraph"/>
                          <w:spacing w:line="120" w:lineRule="exact"/>
                          <w:ind w:left="155"/>
                          <w:rPr>
                            <w:sz w:val="12"/>
                          </w:rPr>
                        </w:pPr>
                        <w:r>
                          <w:rPr>
                            <w:sz w:val="14"/>
                          </w:rPr>
                          <w:t>Unit labour costs </w:t>
                        </w:r>
                        <w:r>
                          <w:rPr>
                            <w:sz w:val="12"/>
                          </w:rPr>
                          <w:t>(b) (c)</w:t>
                        </w:r>
                      </w:p>
                    </w:tc>
                    <w:tc>
                      <w:tcPr>
                        <w:tcW w:w="562" w:type="dxa"/>
                      </w:tcPr>
                      <w:p>
                        <w:pPr>
                          <w:pStyle w:val="TableParagraph"/>
                          <w:spacing w:line="120" w:lineRule="exact"/>
                          <w:ind w:right="224"/>
                          <w:jc w:val="right"/>
                          <w:rPr>
                            <w:sz w:val="14"/>
                          </w:rPr>
                        </w:pPr>
                        <w:r>
                          <w:rPr>
                            <w:sz w:val="14"/>
                          </w:rPr>
                          <w:t>2.3</w:t>
                        </w:r>
                      </w:p>
                    </w:tc>
                    <w:tc>
                      <w:tcPr>
                        <w:tcW w:w="496" w:type="dxa"/>
                      </w:tcPr>
                      <w:p>
                        <w:pPr>
                          <w:pStyle w:val="TableParagraph"/>
                          <w:spacing w:line="120" w:lineRule="exact"/>
                          <w:ind w:right="48"/>
                          <w:jc w:val="right"/>
                          <w:rPr>
                            <w:sz w:val="14"/>
                          </w:rPr>
                        </w:pPr>
                        <w:r>
                          <w:rPr>
                            <w:sz w:val="14"/>
                          </w:rPr>
                          <w:t>2.1</w:t>
                        </w:r>
                      </w:p>
                    </w:tc>
                  </w:tr>
                  <w:tr>
                    <w:trPr>
                      <w:trHeight w:val="140" w:hRule="atLeast"/>
                    </w:trPr>
                    <w:tc>
                      <w:tcPr>
                        <w:tcW w:w="2653" w:type="dxa"/>
                      </w:tcPr>
                      <w:p>
                        <w:pPr>
                          <w:pStyle w:val="TableParagraph"/>
                          <w:spacing w:line="120" w:lineRule="exact"/>
                          <w:ind w:left="155"/>
                          <w:rPr>
                            <w:sz w:val="12"/>
                          </w:rPr>
                        </w:pPr>
                        <w:r>
                          <w:rPr>
                            <w:sz w:val="14"/>
                          </w:rPr>
                          <w:t>Bought-in services </w:t>
                        </w:r>
                        <w:r>
                          <w:rPr>
                            <w:sz w:val="12"/>
                          </w:rPr>
                          <w:t>(b)</w:t>
                        </w:r>
                      </w:p>
                    </w:tc>
                    <w:tc>
                      <w:tcPr>
                        <w:tcW w:w="562" w:type="dxa"/>
                      </w:tcPr>
                      <w:p>
                        <w:pPr>
                          <w:pStyle w:val="TableParagraph"/>
                          <w:spacing w:line="120" w:lineRule="exact"/>
                          <w:ind w:right="224"/>
                          <w:jc w:val="right"/>
                          <w:rPr>
                            <w:sz w:val="14"/>
                          </w:rPr>
                        </w:pPr>
                        <w:r>
                          <w:rPr>
                            <w:sz w:val="14"/>
                          </w:rPr>
                          <w:t>0.4</w:t>
                        </w:r>
                      </w:p>
                    </w:tc>
                    <w:tc>
                      <w:tcPr>
                        <w:tcW w:w="496" w:type="dxa"/>
                      </w:tcPr>
                      <w:p>
                        <w:pPr>
                          <w:pStyle w:val="TableParagraph"/>
                          <w:spacing w:line="120" w:lineRule="exact"/>
                          <w:ind w:right="48"/>
                          <w:jc w:val="right"/>
                          <w:rPr>
                            <w:sz w:val="14"/>
                          </w:rPr>
                        </w:pPr>
                        <w:r>
                          <w:rPr>
                            <w:sz w:val="14"/>
                          </w:rPr>
                          <w:t>0.3</w:t>
                        </w:r>
                      </w:p>
                    </w:tc>
                  </w:tr>
                  <w:tr>
                    <w:trPr>
                      <w:trHeight w:val="140" w:hRule="atLeast"/>
                    </w:trPr>
                    <w:tc>
                      <w:tcPr>
                        <w:tcW w:w="2653" w:type="dxa"/>
                      </w:tcPr>
                      <w:p>
                        <w:pPr>
                          <w:pStyle w:val="TableParagraph"/>
                          <w:spacing w:line="120" w:lineRule="exact"/>
                          <w:ind w:left="155"/>
                          <w:rPr>
                            <w:sz w:val="12"/>
                          </w:rPr>
                        </w:pPr>
                        <w:r>
                          <w:rPr>
                            <w:sz w:val="14"/>
                          </w:rPr>
                          <w:t>Imported finished manufactures </w:t>
                        </w:r>
                        <w:r>
                          <w:rPr>
                            <w:sz w:val="12"/>
                          </w:rPr>
                          <w:t>(b)</w:t>
                        </w:r>
                      </w:p>
                    </w:tc>
                    <w:tc>
                      <w:tcPr>
                        <w:tcW w:w="562" w:type="dxa"/>
                      </w:tcPr>
                      <w:p>
                        <w:pPr>
                          <w:pStyle w:val="TableParagraph"/>
                          <w:spacing w:line="120" w:lineRule="exact"/>
                          <w:ind w:right="222"/>
                          <w:jc w:val="right"/>
                          <w:rPr>
                            <w:sz w:val="14"/>
                          </w:rPr>
                        </w:pPr>
                        <w:r>
                          <w:rPr>
                            <w:sz w:val="14"/>
                          </w:rPr>
                          <w:t>-0.3</w:t>
                        </w:r>
                      </w:p>
                    </w:tc>
                    <w:tc>
                      <w:tcPr>
                        <w:tcW w:w="496" w:type="dxa"/>
                      </w:tcPr>
                      <w:p>
                        <w:pPr>
                          <w:pStyle w:val="TableParagraph"/>
                          <w:spacing w:line="120" w:lineRule="exact"/>
                          <w:ind w:right="48"/>
                          <w:jc w:val="right"/>
                          <w:rPr>
                            <w:sz w:val="14"/>
                          </w:rPr>
                        </w:pPr>
                        <w:r>
                          <w:rPr>
                            <w:sz w:val="14"/>
                          </w:rPr>
                          <w:t>-0.4</w:t>
                        </w:r>
                      </w:p>
                    </w:tc>
                  </w:tr>
                  <w:tr>
                    <w:trPr>
                      <w:trHeight w:val="147" w:hRule="atLeast"/>
                    </w:trPr>
                    <w:tc>
                      <w:tcPr>
                        <w:tcW w:w="2653" w:type="dxa"/>
                      </w:tcPr>
                      <w:p>
                        <w:pPr>
                          <w:pStyle w:val="TableParagraph"/>
                          <w:spacing w:line="128" w:lineRule="exact"/>
                          <w:ind w:left="155"/>
                          <w:rPr>
                            <w:sz w:val="12"/>
                          </w:rPr>
                        </w:pPr>
                        <w:r>
                          <w:rPr>
                            <w:sz w:val="14"/>
                          </w:rPr>
                          <w:t>Materials, fuels and semi-manufactures </w:t>
                        </w:r>
                        <w:r>
                          <w:rPr>
                            <w:sz w:val="12"/>
                          </w:rPr>
                          <w:t>(b)</w:t>
                        </w:r>
                      </w:p>
                    </w:tc>
                    <w:tc>
                      <w:tcPr>
                        <w:tcW w:w="562" w:type="dxa"/>
                      </w:tcPr>
                      <w:p>
                        <w:pPr>
                          <w:pStyle w:val="TableParagraph"/>
                          <w:spacing w:line="128" w:lineRule="exact"/>
                          <w:ind w:right="222"/>
                          <w:jc w:val="right"/>
                          <w:rPr>
                            <w:sz w:val="14"/>
                          </w:rPr>
                        </w:pPr>
                        <w:r>
                          <w:rPr>
                            <w:sz w:val="14"/>
                          </w:rPr>
                          <w:t>-2.1</w:t>
                        </w:r>
                      </w:p>
                    </w:tc>
                    <w:tc>
                      <w:tcPr>
                        <w:tcW w:w="496" w:type="dxa"/>
                      </w:tcPr>
                      <w:p>
                        <w:pPr>
                          <w:pStyle w:val="TableParagraph"/>
                          <w:spacing w:line="128" w:lineRule="exact"/>
                          <w:ind w:right="48"/>
                          <w:jc w:val="right"/>
                          <w:rPr>
                            <w:sz w:val="14"/>
                          </w:rPr>
                        </w:pPr>
                        <w:r>
                          <w:rPr>
                            <w:sz w:val="14"/>
                          </w:rPr>
                          <w:t>-2.3</w:t>
                        </w:r>
                      </w:p>
                    </w:tc>
                  </w:tr>
                </w:tbl>
                <w:p>
                  <w:pPr>
                    <w:pStyle w:val="BodyText"/>
                  </w:pPr>
                </w:p>
              </w:txbxContent>
            </v:textbox>
            <w10:wrap type="none"/>
          </v:shape>
        </w:pict>
      </w:r>
      <w:r>
        <w:rPr>
          <w:sz w:val="14"/>
          <w:u w:val="single"/>
        </w:rPr>
        <w:t>Q2</w:t>
      </w:r>
      <w:r>
        <w:rPr>
          <w:sz w:val="14"/>
        </w:rPr>
        <w:tab/>
      </w:r>
      <w:r>
        <w:rPr>
          <w:sz w:val="14"/>
          <w:u w:val="single"/>
        </w:rPr>
        <w:t>Q3 </w:t>
      </w:r>
      <w:r>
        <w:rPr>
          <w:sz w:val="12"/>
          <w:u w:val="single"/>
        </w:rPr>
        <w:t>(a)</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tabs>
          <w:tab w:pos="849" w:val="left" w:leader="none"/>
        </w:tabs>
        <w:spacing w:line="146" w:lineRule="exact" w:before="136"/>
        <w:ind w:left="179" w:right="0" w:firstLine="0"/>
        <w:jc w:val="left"/>
        <w:rPr>
          <w:sz w:val="14"/>
        </w:rPr>
      </w:pPr>
      <w:r>
        <w:rPr>
          <w:sz w:val="14"/>
        </w:rPr>
        <w:t>-0.2</w:t>
        <w:tab/>
        <w:t>-0.4</w:t>
      </w:r>
    </w:p>
    <w:p>
      <w:pPr>
        <w:pStyle w:val="Heading2"/>
        <w:numPr>
          <w:ilvl w:val="1"/>
          <w:numId w:val="29"/>
        </w:numPr>
        <w:tabs>
          <w:tab w:pos="1338" w:val="left" w:leader="none"/>
          <w:tab w:pos="1339" w:val="left" w:leader="none"/>
          <w:tab w:pos="5724" w:val="left" w:leader="none"/>
        </w:tabs>
        <w:spacing w:line="240" w:lineRule="auto" w:before="139" w:after="0"/>
        <w:ind w:left="1338" w:right="0" w:hanging="1160"/>
        <w:jc w:val="left"/>
      </w:pPr>
      <w:r>
        <w:rPr>
          <w:color w:val="009483"/>
          <w:u w:val="thick" w:color="0093C1"/>
        </w:rPr>
        <w:br w:type="column"/>
        <w:t>Costs and prices in manufacturing</w:t>
        <w:tab/>
      </w:r>
    </w:p>
    <w:p>
      <w:pPr>
        <w:pStyle w:val="Heading4"/>
        <w:spacing w:line="242" w:lineRule="auto" w:before="264"/>
        <w:ind w:left="179" w:right="321"/>
      </w:pPr>
      <w:r>
        <w:rPr/>
        <w:t>Inflationary pressures in the manufacturing sector are very subdued. Weighted costs are estimated to have fallen by 0.3% in the year to 1998 Q3 (see Table 4.B). Positive growth in labour and bought-in services costs</w:t>
      </w:r>
    </w:p>
    <w:p>
      <w:pPr>
        <w:spacing w:after="0" w:line="242" w:lineRule="auto"/>
        <w:sectPr>
          <w:type w:val="continuous"/>
          <w:pgSz w:w="11900" w:h="16840"/>
          <w:pgMar w:top="1220" w:bottom="280" w:left="620" w:right="520"/>
          <w:cols w:num="3" w:equalWidth="0">
            <w:col w:w="1406" w:space="1313"/>
            <w:col w:w="1221" w:space="840"/>
            <w:col w:w="5980"/>
          </w:cols>
        </w:sectPr>
      </w:pPr>
    </w:p>
    <w:p>
      <w:pPr>
        <w:tabs>
          <w:tab w:pos="2898" w:val="left" w:leader="none"/>
          <w:tab w:pos="3568" w:val="left" w:leader="none"/>
        </w:tabs>
        <w:spacing w:line="121" w:lineRule="exact" w:before="0"/>
        <w:ind w:left="284" w:right="0" w:firstLine="0"/>
        <w:jc w:val="left"/>
        <w:rPr>
          <w:sz w:val="14"/>
        </w:rPr>
      </w:pPr>
      <w:r>
        <w:rPr>
          <w:sz w:val="14"/>
        </w:rPr>
        <w:t>Export prices</w:t>
        <w:tab/>
        <w:t>-4.2</w:t>
        <w:tab/>
        <w:t>-3.9</w:t>
      </w:r>
    </w:p>
    <w:p>
      <w:pPr>
        <w:pStyle w:val="BodyText"/>
        <w:spacing w:before="9"/>
        <w:rPr>
          <w:sz w:val="16"/>
        </w:rPr>
      </w:pPr>
    </w:p>
    <w:p>
      <w:pPr>
        <w:spacing w:before="0"/>
        <w:ind w:left="189" w:right="0" w:firstLine="0"/>
        <w:jc w:val="left"/>
        <w:rPr>
          <w:sz w:val="12"/>
        </w:rPr>
      </w:pPr>
      <w:r>
        <w:rPr>
          <w:sz w:val="12"/>
        </w:rPr>
        <w:t>Sources: ONS and Bank of England.</w:t>
      </w:r>
    </w:p>
    <w:p>
      <w:pPr>
        <w:pStyle w:val="ListParagraph"/>
        <w:numPr>
          <w:ilvl w:val="0"/>
          <w:numId w:val="30"/>
        </w:numPr>
        <w:tabs>
          <w:tab w:pos="430" w:val="left" w:leader="none"/>
        </w:tabs>
        <w:spacing w:line="129" w:lineRule="exact" w:before="102" w:after="0"/>
        <w:ind w:left="429" w:right="0" w:hanging="241"/>
        <w:jc w:val="left"/>
        <w:rPr>
          <w:sz w:val="12"/>
        </w:rPr>
      </w:pPr>
      <w:r>
        <w:rPr>
          <w:sz w:val="12"/>
        </w:rPr>
        <w:t>Some Q3 data are provisional.</w:t>
      </w:r>
    </w:p>
    <w:p>
      <w:pPr>
        <w:pStyle w:val="ListParagraph"/>
        <w:numPr>
          <w:ilvl w:val="0"/>
          <w:numId w:val="30"/>
        </w:numPr>
        <w:tabs>
          <w:tab w:pos="430" w:val="left" w:leader="none"/>
        </w:tabs>
        <w:spacing w:line="120" w:lineRule="exact" w:before="0" w:after="0"/>
        <w:ind w:left="429" w:right="0" w:hanging="241"/>
        <w:jc w:val="left"/>
        <w:rPr>
          <w:sz w:val="12"/>
        </w:rPr>
      </w:pPr>
      <w:r>
        <w:rPr>
          <w:sz w:val="12"/>
        </w:rPr>
        <w:t>Contributions to change in total weighted costs.</w:t>
      </w:r>
    </w:p>
    <w:p>
      <w:pPr>
        <w:pStyle w:val="ListParagraph"/>
        <w:numPr>
          <w:ilvl w:val="0"/>
          <w:numId w:val="30"/>
        </w:numPr>
        <w:tabs>
          <w:tab w:pos="430" w:val="left" w:leader="none"/>
        </w:tabs>
        <w:spacing w:line="208" w:lineRule="auto" w:before="6" w:after="0"/>
        <w:ind w:left="429" w:right="262" w:hanging="240"/>
        <w:jc w:val="left"/>
        <w:rPr>
          <w:sz w:val="12"/>
        </w:rPr>
      </w:pPr>
      <w:r>
        <w:rPr>
          <w:sz w:val="12"/>
        </w:rPr>
        <w:t>Based on the Average Earnings Index. For a discussion of recent movements in this index, and comparisons with other measures of </w:t>
      </w:r>
      <w:r>
        <w:rPr>
          <w:spacing w:val="-3"/>
          <w:sz w:val="12"/>
        </w:rPr>
        <w:t>labour </w:t>
      </w:r>
      <w:r>
        <w:rPr>
          <w:sz w:val="12"/>
        </w:rPr>
        <w:t>costs, see Section 3.</w:t>
      </w:r>
    </w:p>
    <w:p>
      <w:pPr>
        <w:pStyle w:val="ListParagraph"/>
        <w:numPr>
          <w:ilvl w:val="0"/>
          <w:numId w:val="30"/>
        </w:numPr>
        <w:tabs>
          <w:tab w:pos="430" w:val="left" w:leader="none"/>
        </w:tabs>
        <w:spacing w:line="123" w:lineRule="exact" w:before="0" w:after="0"/>
        <w:ind w:left="429" w:right="0" w:hanging="241"/>
        <w:jc w:val="left"/>
        <w:rPr>
          <w:sz w:val="12"/>
        </w:rPr>
      </w:pPr>
      <w:r>
        <w:rPr>
          <w:sz w:val="12"/>
        </w:rPr>
        <w:t>Excludes excise duties.</w:t>
      </w:r>
    </w:p>
    <w:p>
      <w:pPr>
        <w:pStyle w:val="BodyText"/>
        <w:rPr>
          <w:sz w:val="12"/>
        </w:rPr>
      </w:pPr>
    </w:p>
    <w:p>
      <w:pPr>
        <w:pStyle w:val="BodyText"/>
        <w:rPr>
          <w:sz w:val="12"/>
        </w:rPr>
      </w:pPr>
    </w:p>
    <w:p>
      <w:pPr>
        <w:pStyle w:val="BodyText"/>
        <w:spacing w:before="2"/>
        <w:rPr>
          <w:sz w:val="10"/>
        </w:rPr>
      </w:pPr>
    </w:p>
    <w:p>
      <w:pPr>
        <w:pStyle w:val="Heading7"/>
        <w:spacing w:before="0"/>
        <w:ind w:left="174"/>
      </w:pPr>
      <w:r>
        <w:rPr>
          <w:color w:val="0093C1"/>
        </w:rPr>
        <w:t>Chart 4.6</w:t>
      </w:r>
    </w:p>
    <w:p>
      <w:pPr>
        <w:spacing w:line="249" w:lineRule="auto" w:before="10"/>
        <w:ind w:left="174" w:right="21" w:firstLine="0"/>
        <w:jc w:val="left"/>
        <w:rPr>
          <w:b/>
          <w:sz w:val="20"/>
        </w:rPr>
      </w:pPr>
      <w:r>
        <w:rPr>
          <w:b/>
          <w:color w:val="0093C1"/>
          <w:sz w:val="20"/>
        </w:rPr>
        <w:t>Domestic manufacturing output price inflation and CBI price expectations</w:t>
      </w:r>
    </w:p>
    <w:p>
      <w:pPr>
        <w:spacing w:line="242" w:lineRule="auto" w:before="5"/>
        <w:ind w:left="174" w:right="0" w:firstLine="0"/>
        <w:jc w:val="left"/>
        <w:rPr>
          <w:sz w:val="24"/>
        </w:rPr>
      </w:pPr>
      <w:r>
        <w:rPr/>
        <w:br w:type="column"/>
      </w:r>
      <w:r>
        <w:rPr>
          <w:sz w:val="24"/>
        </w:rPr>
        <w:t>has partly offset the effects of lower materials, fuels and imported finished manufactures prices.</w:t>
      </w:r>
    </w:p>
    <w:p>
      <w:pPr>
        <w:pStyle w:val="BodyText"/>
        <w:spacing w:before="6"/>
        <w:rPr>
          <w:sz w:val="24"/>
        </w:rPr>
      </w:pPr>
    </w:p>
    <w:p>
      <w:pPr>
        <w:spacing w:line="242" w:lineRule="auto" w:before="0"/>
        <w:ind w:left="174" w:right="0" w:firstLine="0"/>
        <w:jc w:val="left"/>
        <w:rPr>
          <w:sz w:val="24"/>
        </w:rPr>
      </w:pPr>
      <w:r>
        <w:rPr>
          <w:sz w:val="24"/>
        </w:rPr>
        <w:t>Domestic manufacturing output prices excluding excise duties fell by 0.4% in 1998 Q3, reflecting stronger </w:t>
      </w:r>
      <w:r>
        <w:rPr>
          <w:spacing w:val="-3"/>
          <w:sz w:val="24"/>
        </w:rPr>
        <w:t>import </w:t>
      </w:r>
      <w:r>
        <w:rPr>
          <w:sz w:val="24"/>
        </w:rPr>
        <w:t>competition and slower growth in demand.</w:t>
      </w:r>
      <w:r>
        <w:rPr>
          <w:spacing w:val="56"/>
          <w:sz w:val="24"/>
        </w:rPr>
        <w:t> </w:t>
      </w:r>
      <w:r>
        <w:rPr>
          <w:sz w:val="24"/>
        </w:rPr>
        <w:t>The</w:t>
      </w:r>
    </w:p>
    <w:p>
      <w:pPr>
        <w:spacing w:line="280" w:lineRule="exact" w:before="4"/>
        <w:ind w:left="174" w:right="335" w:firstLine="0"/>
        <w:jc w:val="both"/>
        <w:rPr>
          <w:sz w:val="24"/>
        </w:rPr>
      </w:pPr>
      <w:r>
        <w:rPr>
          <w:sz w:val="24"/>
        </w:rPr>
        <w:t>short-term outlook remains weak. The Confederation of British Industry’s (CBI) measure of manufacturers’ </w:t>
      </w:r>
      <w:r>
        <w:rPr>
          <w:spacing w:val="-4"/>
          <w:sz w:val="24"/>
        </w:rPr>
        <w:t>price </w:t>
      </w:r>
      <w:r>
        <w:rPr>
          <w:sz w:val="24"/>
        </w:rPr>
        <w:t>expectations—which has tended to move closely with</w:t>
      </w:r>
    </w:p>
    <w:p>
      <w:pPr>
        <w:spacing w:after="0" w:line="280" w:lineRule="exact"/>
        <w:jc w:val="both"/>
        <w:rPr>
          <w:sz w:val="24"/>
        </w:rPr>
        <w:sectPr>
          <w:type w:val="continuous"/>
          <w:pgSz w:w="11900" w:h="16840"/>
          <w:pgMar w:top="1220" w:bottom="280" w:left="620" w:right="520"/>
          <w:cols w:num="2" w:equalWidth="0">
            <w:col w:w="4204" w:space="582"/>
            <w:col w:w="5974"/>
          </w:cols>
        </w:sectPr>
      </w:pPr>
    </w:p>
    <w:p>
      <w:pPr>
        <w:spacing w:line="223" w:lineRule="auto" w:before="0"/>
        <w:ind w:left="197" w:right="0" w:firstLine="0"/>
        <w:jc w:val="left"/>
        <w:rPr>
          <w:sz w:val="12"/>
        </w:rPr>
      </w:pPr>
      <w:r>
        <w:rPr>
          <w:position w:val="-7"/>
          <w:sz w:val="12"/>
        </w:rPr>
        <w:t>30 </w:t>
      </w:r>
      <w:r>
        <w:rPr>
          <w:sz w:val="12"/>
        </w:rPr>
        <w:t>Percentage balance</w:t>
      </w:r>
    </w:p>
    <w:p>
      <w:pPr>
        <w:pStyle w:val="BodyText"/>
        <w:rPr>
          <w:sz w:val="20"/>
        </w:rPr>
      </w:pPr>
    </w:p>
    <w:p>
      <w:pPr>
        <w:pStyle w:val="BodyText"/>
        <w:spacing w:before="3"/>
        <w:rPr>
          <w:sz w:val="20"/>
        </w:rPr>
      </w:pPr>
    </w:p>
    <w:p>
      <w:pPr>
        <w:spacing w:before="1"/>
        <w:ind w:left="197" w:right="0" w:firstLine="0"/>
        <w:jc w:val="left"/>
        <w:rPr>
          <w:sz w:val="12"/>
        </w:rPr>
      </w:pPr>
      <w:r>
        <w:rPr>
          <w:sz w:val="12"/>
        </w:rPr>
        <w:t>20</w:t>
      </w:r>
    </w:p>
    <w:p>
      <w:pPr>
        <w:pStyle w:val="BodyText"/>
        <w:rPr>
          <w:sz w:val="12"/>
        </w:rPr>
      </w:pPr>
    </w:p>
    <w:p>
      <w:pPr>
        <w:pStyle w:val="BodyText"/>
        <w:rPr>
          <w:sz w:val="12"/>
        </w:rPr>
      </w:pPr>
    </w:p>
    <w:p>
      <w:pPr>
        <w:pStyle w:val="BodyText"/>
        <w:spacing w:before="1"/>
        <w:rPr>
          <w:sz w:val="16"/>
        </w:rPr>
      </w:pPr>
    </w:p>
    <w:p>
      <w:pPr>
        <w:spacing w:before="1"/>
        <w:ind w:left="197" w:right="0" w:firstLine="0"/>
        <w:jc w:val="left"/>
        <w:rPr>
          <w:sz w:val="12"/>
        </w:rPr>
      </w:pPr>
      <w:r>
        <w:rPr>
          <w:sz w:val="12"/>
        </w:rPr>
        <w:t>10</w:t>
      </w:r>
    </w:p>
    <w:p>
      <w:pPr>
        <w:spacing w:line="31" w:lineRule="exact" w:before="0"/>
        <w:ind w:left="197" w:right="0" w:firstLine="0"/>
        <w:jc w:val="left"/>
        <w:rPr>
          <w:sz w:val="12"/>
        </w:rPr>
      </w:pPr>
      <w:r>
        <w:rPr/>
        <w:br w:type="column"/>
      </w:r>
      <w:r>
        <w:rPr>
          <w:sz w:val="12"/>
        </w:rPr>
        <w:t>Four-month annualised</w:t>
      </w:r>
    </w:p>
    <w:p>
      <w:pPr>
        <w:spacing w:line="199" w:lineRule="auto" w:before="0"/>
        <w:ind w:left="378" w:right="0" w:firstLine="0"/>
        <w:jc w:val="left"/>
        <w:rPr>
          <w:sz w:val="12"/>
        </w:rPr>
      </w:pPr>
      <w:r>
        <w:rPr/>
        <w:pict>
          <v:group style="position:absolute;margin-left:49.887001pt;margin-top:7.329473pt;width:166pt;height:150.75pt;mso-position-horizontal-relative:page;mso-position-vertical-relative:paragraph;z-index:-21462016" coordorigin="998,147" coordsize="3320,3015">
            <v:shape style="position:absolute;left:997;top:756;width:3160;height:1200" coordorigin="998,757" coordsize="3160,1200" path="m1138,1957l4158,1957m1138,1957l4158,1957m1098,1957l998,1957m1098,1357l998,1357m1098,757l998,757e" filled="false" stroked="true" strokeweight=".5pt" strokecolor="#000000">
              <v:path arrowok="t"/>
              <v:stroke dashstyle="solid"/>
            </v:shape>
            <v:shape style="position:absolute;left:1157;top:276;width:3020;height:2820" coordorigin="1158,277" coordsize="3020,2820" path="m1158,1657l1198,1897,1258,1717,1298,2257,1358,1777,1398,1957,1458,1897,1498,2077,1558,1597,1598,1117,1638,1057,1698,757,1738,697,1798,637,1838,697,1898,937,1938,517,1998,277,2038,457,2098,877m2098,877l2138,697,2178,757,2238,637,2278,877,2338,1177,2378,1237,2438,1117,2478,1357,2538,1417,2578,1297,2638,1357,2678,1357,2738,1597,2778,1417,2838,1717,2878,1657,2938,1657,2978,1477,3038,1537m3038,1537l3078,1537,3138,1477,3178,1897,3218,1597,3278,1957,3318,1597,3378,1837,3578,1837,3618,2077,3678,2077,3718,2377,3758,2317,3818,2557,3858,2437,3918,2737,3958,3097m3958,3097l4018,2557,4058,2677,4118,2677,4178,3037e" filled="false" stroked="true" strokeweight="1pt" strokecolor="#952e40">
              <v:path arrowok="t"/>
              <v:stroke dashstyle="solid"/>
            </v:shape>
            <v:shape style="position:absolute;left:997;top:156;width:3320;height:3000" coordorigin="998,157" coordsize="3320,3000" path="m4218,2257l4318,2257m4218,2557l4318,2557m4218,2857l4318,2857m4218,3157l4318,3157m4218,1957l4318,1957m4218,1657l4318,1657m4218,1357l4318,1357m4218,1057l4318,1057m4218,757l4318,757m4218,457l4318,457m1098,3157l998,3157m1138,3157l4158,3157m1138,3157l1138,3117m1298,3157l1298,3117m1438,3157l1438,3117m1598,3157l1598,3117m1738,3157l1738,3117m1878,3157l1878,3117m2038,3157l2038,3117m2178,3157l2178,3117m2338,3157l2338,3117m2478,3157l2478,3117m2638,3157l2638,3117m2778,3157l2778,3117m2918,3157l2918,3117m3078,3157l3078,3117m3218,3157l3218,3117m3358,3157l3358,3117m3518,3157l3518,3117m3678,3157l3678,3117m3818,3157l3818,3117m3958,3157l3958,3117m4118,3157l4118,3117m1138,3157l1138,3077m1738,3157l1738,3077m2338,3157l2338,3077m2918,3157l2918,3077m3518,3157l3518,3077m4118,3157l4118,3077m1138,3157l4158,3157m1138,3157l1138,3117m1298,3157l1298,3117m1438,3157l1438,3117m1598,3157l1598,3117m1738,3157l1738,3117m1878,3157l1878,3117m2038,3157l2038,3117m2178,3157l2178,3117m2338,3157l2338,3117m2478,3157l2478,3117m2638,3157l2638,3117m2778,3157l2778,3117m2918,3157l2918,3117m3078,3157l3078,3117m3218,3157l3218,3117m3358,3157l3358,3117m3518,3157l3518,3117m3678,3157l3678,3117m3818,3157l3818,3117m3958,3157l3958,3117m4118,3157l4118,3117m1138,3157l1138,3077m1738,3157l1738,3077m2338,3157l2338,3077m2918,3157l2918,3077m3518,3157l3518,3077m4118,3157l4118,3077m1098,157l998,157e" filled="false" stroked="true" strokeweight=".5pt" strokecolor="#000000">
              <v:path arrowok="t"/>
              <v:stroke dashstyle="solid"/>
            </v:shape>
            <v:shape style="position:absolute;left:1157;top:156;width:2760;height:2240" coordorigin="1158,157" coordsize="2760,2240" path="m1158,1577l1198,1677,1258,1577,1298,1377,1358,1297,1398,1097,1458,1197,1498,1097,1558,1197,1598,1197,1638,1097,1698,1117,1738,337,1798,357,1838,157,1898,157,1938,837,1998,657,2038,757,2098,757m2098,757l2138,857,2178,1057,2238,1317,2278,1137,2338,1157,2378,1237,2438,957,2478,1237,2538,1417,2578,1517,2638,1777,2678,1877,2738,1597,2778,1597,2838,1517,2878,1597,2938,1957,2978,2217,3038,2397m3038,2397l3078,2397,3118,2217,3178,1957,3218,1877,3278,1777,3418,1777,3478,1877,3518,2217,3578,2317,3618,2317,3678,2397,3718,2137,3758,1957,3818,1957,3858,1877,3918,2057e" filled="false" stroked="true" strokeweight="1pt" strokecolor="#faab54">
              <v:path arrowok="t"/>
              <v:stroke dashstyle="solid"/>
            </v:shape>
            <v:line style="position:absolute" from="3389,1077" to="3802,1824" stroked="true" strokeweight=".5pt" strokecolor="#000000">
              <v:stroke dashstyle="solid"/>
            </v:line>
            <v:shape style="position:absolute;left:3772;top:1796;width:64;height:87" coordorigin="3772,1797" coordsize="64,87" path="m3816,1797l3772,1821,3785,1832,3795,1840,3835,1883,3832,1875,3829,1864,3826,1852,3823,1839,3820,1828,3816,1797xe" filled="true" fillcolor="#000000" stroked="false">
              <v:path arrowok="t"/>
              <v:fill type="solid"/>
            </v:shape>
            <v:line style="position:absolute" from="3308,2653" to="3781,2653" stroked="true" strokeweight=".5pt" strokecolor="#000000">
              <v:stroke dashstyle="solid"/>
            </v:line>
            <v:shape style="position:absolute;left:3764;top:2628;width:85;height:51" coordorigin="3764,2628" coordsize="85,51" path="m3764,2628l3764,2679,3780,2672,3792,2668,3849,2653,3840,2652,3829,2650,3818,2647,3805,2643,3793,2639,3764,2628xe" filled="true" fillcolor="#000000" stroked="false">
              <v:path arrowok="t"/>
              <v:fill type="solid"/>
            </v:shape>
            <v:shape style="position:absolute;left:2567;top:746;width:1550;height:273" type="#_x0000_t202" filled="false" stroked="false">
              <v:textbox inset="0,0,0,0">
                <w:txbxContent>
                  <w:p>
                    <w:pPr>
                      <w:spacing w:line="242" w:lineRule="auto" w:before="0"/>
                      <w:ind w:left="93" w:right="18" w:hanging="94"/>
                      <w:jc w:val="left"/>
                      <w:rPr>
                        <w:sz w:val="12"/>
                      </w:rPr>
                    </w:pPr>
                    <w:r>
                      <w:rPr>
                        <w:sz w:val="12"/>
                      </w:rPr>
                      <w:t>Manufacturing output prices (a) (right-hand scale)</w:t>
                    </w:r>
                  </w:p>
                </w:txbxContent>
              </v:textbox>
              <w10:wrap type="none"/>
            </v:shape>
            <v:shape style="position:absolute;left:2007;top:2579;width:1290;height:273" type="#_x0000_t202" filled="false" stroked="false">
              <v:textbox inset="0,0,0,0">
                <w:txbxContent>
                  <w:p>
                    <w:pPr>
                      <w:spacing w:line="242" w:lineRule="auto" w:before="0"/>
                      <w:ind w:left="80" w:right="18" w:hanging="80"/>
                      <w:jc w:val="left"/>
                      <w:rPr>
                        <w:sz w:val="12"/>
                      </w:rPr>
                    </w:pPr>
                    <w:r>
                      <w:rPr>
                        <w:sz w:val="12"/>
                      </w:rPr>
                      <w:t>CBI price expectations (b) (left-hand scale)</w:t>
                    </w:r>
                  </w:p>
                </w:txbxContent>
              </v:textbox>
              <w10:wrap type="none"/>
            </v:shape>
            <w10:wrap type="none"/>
          </v:group>
        </w:pict>
      </w:r>
      <w:r>
        <w:rPr/>
        <w:pict>
          <v:line style="position:absolute;mso-position-horizontal-relative:page;mso-position-vertical-relative:paragraph;z-index:16027648" from="210.886993pt,7.829473pt" to="215.886993pt,7.829473pt" stroked="true" strokeweight=".5pt" strokecolor="#000000">
            <v:stroke dashstyle="solid"/>
            <w10:wrap type="none"/>
          </v:line>
        </w:pict>
      </w:r>
      <w:r>
        <w:rPr>
          <w:sz w:val="12"/>
        </w:rPr>
        <w:t>percentage changes </w:t>
      </w:r>
      <w:r>
        <w:rPr>
          <w:position w:val="-7"/>
          <w:sz w:val="12"/>
        </w:rPr>
        <w:t>6</w:t>
      </w:r>
    </w:p>
    <w:p>
      <w:pPr>
        <w:spacing w:before="166"/>
        <w:ind w:left="0" w:right="38" w:firstLine="0"/>
        <w:jc w:val="right"/>
        <w:rPr>
          <w:sz w:val="12"/>
        </w:rPr>
      </w:pPr>
      <w:r>
        <w:rPr>
          <w:sz w:val="12"/>
        </w:rPr>
        <w:t>5</w:t>
      </w:r>
    </w:p>
    <w:p>
      <w:pPr>
        <w:pStyle w:val="BodyText"/>
        <w:spacing w:before="1"/>
        <w:rPr>
          <w:sz w:val="14"/>
        </w:rPr>
      </w:pPr>
    </w:p>
    <w:p>
      <w:pPr>
        <w:spacing w:before="0"/>
        <w:ind w:left="0" w:right="38" w:firstLine="0"/>
        <w:jc w:val="right"/>
        <w:rPr>
          <w:sz w:val="12"/>
        </w:rPr>
      </w:pPr>
      <w:r>
        <w:rPr>
          <w:sz w:val="12"/>
        </w:rPr>
        <w:t>4</w:t>
      </w:r>
    </w:p>
    <w:p>
      <w:pPr>
        <w:pStyle w:val="BodyText"/>
        <w:spacing w:before="1"/>
        <w:rPr>
          <w:sz w:val="14"/>
        </w:rPr>
      </w:pPr>
    </w:p>
    <w:p>
      <w:pPr>
        <w:spacing w:before="0"/>
        <w:ind w:left="0" w:right="38" w:firstLine="0"/>
        <w:jc w:val="right"/>
        <w:rPr>
          <w:sz w:val="12"/>
        </w:rPr>
      </w:pPr>
      <w:r>
        <w:rPr>
          <w:sz w:val="12"/>
        </w:rPr>
        <w:t>3</w:t>
      </w:r>
    </w:p>
    <w:p>
      <w:pPr>
        <w:pStyle w:val="BodyText"/>
        <w:spacing w:before="1"/>
        <w:rPr>
          <w:sz w:val="14"/>
        </w:rPr>
      </w:pPr>
    </w:p>
    <w:p>
      <w:pPr>
        <w:spacing w:before="0"/>
        <w:ind w:left="0" w:right="38" w:firstLine="0"/>
        <w:jc w:val="right"/>
        <w:rPr>
          <w:sz w:val="12"/>
        </w:rPr>
      </w:pPr>
      <w:r>
        <w:rPr>
          <w:sz w:val="12"/>
        </w:rPr>
        <w:t>2</w:t>
      </w:r>
    </w:p>
    <w:p>
      <w:pPr>
        <w:pStyle w:val="BodyText"/>
        <w:spacing w:before="1"/>
        <w:rPr>
          <w:sz w:val="14"/>
        </w:rPr>
      </w:pPr>
    </w:p>
    <w:p>
      <w:pPr>
        <w:spacing w:line="98" w:lineRule="exact" w:before="0"/>
        <w:ind w:left="0" w:right="38" w:firstLine="0"/>
        <w:jc w:val="right"/>
        <w:rPr>
          <w:sz w:val="12"/>
        </w:rPr>
      </w:pPr>
      <w:r>
        <w:rPr>
          <w:sz w:val="12"/>
        </w:rPr>
        <w:t>1</w:t>
      </w:r>
    </w:p>
    <w:p>
      <w:pPr>
        <w:pStyle w:val="Heading4"/>
        <w:spacing w:line="242" w:lineRule="auto"/>
        <w:ind w:left="197" w:right="341"/>
      </w:pPr>
      <w:r>
        <w:rPr/>
        <w:br w:type="column"/>
      </w:r>
      <w:r>
        <w:rPr/>
        <w:t>recorded output price inflation in recent years—suggests continued, and perhaps rather stronger, price falls over the next four months (see Chart 4.6).</w:t>
      </w:r>
    </w:p>
    <w:p>
      <w:pPr>
        <w:pStyle w:val="BodyText"/>
        <w:spacing w:before="4"/>
        <w:rPr>
          <w:sz w:val="28"/>
        </w:rPr>
      </w:pPr>
    </w:p>
    <w:p>
      <w:pPr>
        <w:pStyle w:val="ListParagraph"/>
        <w:numPr>
          <w:ilvl w:val="1"/>
          <w:numId w:val="29"/>
        </w:numPr>
        <w:tabs>
          <w:tab w:pos="3977" w:val="left" w:leader="none"/>
          <w:tab w:pos="3978" w:val="left" w:leader="none"/>
          <w:tab w:pos="5742" w:val="left" w:leader="none"/>
        </w:tabs>
        <w:spacing w:line="240" w:lineRule="auto" w:before="0" w:after="0"/>
        <w:ind w:left="3977" w:right="0" w:hanging="3781"/>
        <w:jc w:val="left"/>
        <w:rPr>
          <w:b/>
          <w:sz w:val="28"/>
        </w:rPr>
      </w:pPr>
      <w:r>
        <w:rPr>
          <w:b/>
          <w:color w:val="009483"/>
          <w:sz w:val="28"/>
          <w:u w:val="thick" w:color="0093C1"/>
        </w:rPr>
        <w:t>Retail prices</w:t>
        <w:tab/>
      </w:r>
    </w:p>
    <w:p>
      <w:pPr>
        <w:spacing w:after="0" w:line="240" w:lineRule="auto"/>
        <w:jc w:val="left"/>
        <w:rPr>
          <w:sz w:val="28"/>
        </w:rPr>
        <w:sectPr>
          <w:type w:val="continuous"/>
          <w:pgSz w:w="11900" w:h="16840"/>
          <w:pgMar w:top="1220" w:bottom="280" w:left="620" w:right="520"/>
          <w:cols w:num="3" w:equalWidth="0">
            <w:col w:w="1331" w:space="1057"/>
            <w:col w:w="1477" w:space="898"/>
            <w:col w:w="5997"/>
          </w:cols>
        </w:sectPr>
      </w:pPr>
    </w:p>
    <w:p>
      <w:pPr>
        <w:tabs>
          <w:tab w:pos="3680" w:val="left" w:leader="none"/>
        </w:tabs>
        <w:spacing w:line="175" w:lineRule="auto" w:before="19"/>
        <w:ind w:left="298" w:right="0" w:firstLine="0"/>
        <w:jc w:val="left"/>
        <w:rPr>
          <w:sz w:val="16"/>
        </w:rPr>
      </w:pPr>
      <w:r>
        <w:rPr>
          <w:sz w:val="16"/>
        </w:rPr>
        <w:t>+</w:t>
        <w:tab/>
      </w:r>
      <w:r>
        <w:rPr>
          <w:position w:val="-4"/>
          <w:sz w:val="16"/>
        </w:rPr>
        <w:t>+</w:t>
      </w:r>
    </w:p>
    <w:p>
      <w:pPr>
        <w:tabs>
          <w:tab w:pos="3506" w:val="left" w:leader="none"/>
        </w:tabs>
        <w:spacing w:line="108" w:lineRule="exact" w:before="0"/>
        <w:ind w:left="0" w:right="156" w:firstLine="0"/>
        <w:jc w:val="right"/>
        <w:rPr>
          <w:sz w:val="12"/>
        </w:rPr>
      </w:pPr>
      <w:r>
        <w:rPr/>
        <w:pict>
          <v:shape style="position:absolute;margin-left:46.433998pt;margin-top:1.740558pt;width:4pt;height:8.9pt;mso-position-horizontal-relative:page;mso-position-vertical-relative:paragraph;z-index:-21450752" type="#_x0000_t202" filled="false" stroked="false">
            <v:textbox inset="0,0,0,0">
              <w:txbxContent>
                <w:p>
                  <w:pPr>
                    <w:spacing w:line="177" w:lineRule="exact" w:before="0"/>
                    <w:ind w:left="0" w:right="0" w:firstLine="0"/>
                    <w:jc w:val="left"/>
                    <w:rPr>
                      <w:sz w:val="16"/>
                    </w:rPr>
                  </w:pPr>
                  <w:r>
                    <w:rPr>
                      <w:sz w:val="16"/>
                    </w:rPr>
                    <w:t>_</w:t>
                  </w:r>
                </w:p>
              </w:txbxContent>
            </v:textbox>
            <w10:wrap type="none"/>
          </v:shape>
        </w:pict>
      </w:r>
      <w:r>
        <w:rPr>
          <w:sz w:val="12"/>
        </w:rPr>
        <w:t>0</w:t>
        <w:tab/>
      </w:r>
      <w:r>
        <w:rPr>
          <w:position w:val="-1"/>
          <w:sz w:val="12"/>
        </w:rPr>
        <w:t>0</w:t>
      </w:r>
    </w:p>
    <w:p>
      <w:pPr>
        <w:spacing w:line="156" w:lineRule="exact" w:before="0"/>
        <w:ind w:left="0" w:right="209" w:firstLine="0"/>
        <w:jc w:val="right"/>
        <w:rPr>
          <w:sz w:val="16"/>
        </w:rPr>
      </w:pPr>
      <w:r>
        <w:rPr>
          <w:sz w:val="16"/>
        </w:rPr>
        <w:t>_</w:t>
      </w:r>
    </w:p>
    <w:p>
      <w:pPr>
        <w:spacing w:before="34"/>
        <w:ind w:left="0" w:right="156" w:firstLine="0"/>
        <w:jc w:val="right"/>
        <w:rPr>
          <w:sz w:val="12"/>
        </w:rPr>
      </w:pPr>
      <w:r>
        <w:rPr>
          <w:sz w:val="12"/>
        </w:rPr>
        <w:t>1</w:t>
      </w:r>
    </w:p>
    <w:p>
      <w:pPr>
        <w:pStyle w:val="BodyText"/>
        <w:spacing w:before="4"/>
        <w:rPr>
          <w:sz w:val="12"/>
        </w:rPr>
      </w:pPr>
    </w:p>
    <w:p>
      <w:pPr>
        <w:tabs>
          <w:tab w:pos="3566" w:val="left" w:leader="none"/>
        </w:tabs>
        <w:spacing w:before="0"/>
        <w:ind w:left="0" w:right="156" w:firstLine="0"/>
        <w:jc w:val="right"/>
        <w:rPr>
          <w:sz w:val="12"/>
        </w:rPr>
      </w:pPr>
      <w:r>
        <w:rPr/>
        <w:pict>
          <v:line style="position:absolute;mso-position-horizontal-relative:page;mso-position-vertical-relative:paragraph;z-index:-21461504" from="54.887001pt,5.101556pt" to="49.887001pt,5.101556pt" stroked="true" strokeweight=".5pt" strokecolor="#000000">
            <v:stroke dashstyle="solid"/>
            <w10:wrap type="none"/>
          </v:line>
        </w:pict>
      </w:r>
      <w:r>
        <w:rPr>
          <w:sz w:val="12"/>
        </w:rPr>
        <w:t>10</w:t>
        <w:tab/>
      </w:r>
      <w:r>
        <w:rPr>
          <w:position w:val="-1"/>
          <w:sz w:val="12"/>
        </w:rPr>
        <w:t>2</w:t>
      </w:r>
    </w:p>
    <w:p>
      <w:pPr>
        <w:pStyle w:val="BodyText"/>
        <w:spacing w:before="1"/>
        <w:rPr>
          <w:sz w:val="14"/>
        </w:rPr>
      </w:pPr>
    </w:p>
    <w:p>
      <w:pPr>
        <w:spacing w:before="0"/>
        <w:ind w:left="0" w:right="156" w:firstLine="0"/>
        <w:jc w:val="right"/>
        <w:rPr>
          <w:sz w:val="12"/>
        </w:rPr>
      </w:pPr>
      <w:r>
        <w:rPr>
          <w:sz w:val="12"/>
        </w:rPr>
        <w:t>3</w:t>
      </w:r>
    </w:p>
    <w:p>
      <w:pPr>
        <w:pStyle w:val="BodyText"/>
        <w:spacing w:before="4"/>
        <w:rPr>
          <w:sz w:val="12"/>
        </w:rPr>
      </w:pPr>
    </w:p>
    <w:p>
      <w:pPr>
        <w:tabs>
          <w:tab w:pos="3764" w:val="left" w:leader="none"/>
        </w:tabs>
        <w:spacing w:line="142" w:lineRule="exact" w:before="0"/>
        <w:ind w:left="197" w:right="0" w:firstLine="0"/>
        <w:jc w:val="left"/>
        <w:rPr>
          <w:sz w:val="12"/>
        </w:rPr>
      </w:pPr>
      <w:r>
        <w:rPr>
          <w:sz w:val="12"/>
        </w:rPr>
        <w:t>20</w:t>
        <w:tab/>
      </w:r>
      <w:r>
        <w:rPr>
          <w:position w:val="-1"/>
          <w:sz w:val="12"/>
        </w:rPr>
        <w:t>4</w:t>
      </w:r>
    </w:p>
    <w:p>
      <w:pPr>
        <w:tabs>
          <w:tab w:pos="1354" w:val="left" w:leader="none"/>
          <w:tab w:pos="1954" w:val="left" w:leader="none"/>
          <w:tab w:pos="2554" w:val="left" w:leader="none"/>
          <w:tab w:pos="3134" w:val="left" w:leader="none"/>
        </w:tabs>
        <w:spacing w:line="122" w:lineRule="exact" w:before="0"/>
        <w:ind w:left="694" w:right="0" w:firstLine="0"/>
        <w:jc w:val="left"/>
        <w:rPr>
          <w:sz w:val="12"/>
        </w:rPr>
      </w:pPr>
      <w:r>
        <w:rPr>
          <w:sz w:val="12"/>
        </w:rPr>
        <w:t>1994</w:t>
        <w:tab/>
        <w:t>95</w:t>
        <w:tab/>
        <w:t>96</w:t>
        <w:tab/>
        <w:t>97</w:t>
        <w:tab/>
        <w:t>98</w:t>
      </w:r>
      <w:r>
        <w:rPr>
          <w:spacing w:val="20"/>
          <w:sz w:val="12"/>
        </w:rPr>
        <w:t> </w:t>
      </w:r>
      <w:r>
        <w:rPr>
          <w:sz w:val="12"/>
        </w:rPr>
        <w:t>99</w:t>
      </w:r>
    </w:p>
    <w:p>
      <w:pPr>
        <w:spacing w:before="53"/>
        <w:ind w:left="194" w:right="0" w:firstLine="0"/>
        <w:jc w:val="left"/>
        <w:rPr>
          <w:sz w:val="12"/>
        </w:rPr>
      </w:pPr>
      <w:r>
        <w:rPr>
          <w:sz w:val="12"/>
        </w:rPr>
        <w:t>Sources: CBI and ONS.</w:t>
      </w:r>
    </w:p>
    <w:p>
      <w:pPr>
        <w:pStyle w:val="ListParagraph"/>
        <w:numPr>
          <w:ilvl w:val="0"/>
          <w:numId w:val="31"/>
        </w:numPr>
        <w:tabs>
          <w:tab w:pos="435" w:val="left" w:leader="none"/>
        </w:tabs>
        <w:spacing w:line="129" w:lineRule="exact" w:before="102" w:after="0"/>
        <w:ind w:left="434" w:right="0" w:hanging="241"/>
        <w:jc w:val="both"/>
        <w:rPr>
          <w:sz w:val="12"/>
        </w:rPr>
      </w:pPr>
      <w:r>
        <w:rPr>
          <w:sz w:val="12"/>
        </w:rPr>
        <w:t>Excluding excise duties.</w:t>
      </w:r>
    </w:p>
    <w:p>
      <w:pPr>
        <w:pStyle w:val="ListParagraph"/>
        <w:numPr>
          <w:ilvl w:val="0"/>
          <w:numId w:val="31"/>
        </w:numPr>
        <w:tabs>
          <w:tab w:pos="435" w:val="left" w:leader="none"/>
        </w:tabs>
        <w:spacing w:line="208" w:lineRule="auto" w:before="5" w:after="0"/>
        <w:ind w:left="434" w:right="38" w:hanging="240"/>
        <w:jc w:val="both"/>
        <w:rPr>
          <w:sz w:val="12"/>
        </w:rPr>
      </w:pPr>
      <w:r>
        <w:rPr>
          <w:sz w:val="12"/>
        </w:rPr>
        <w:t>Balance of manufacturers expecting to increase prices over the following four months minus those expecting a reduction; seasonally adjusted and lagged by four months.</w:t>
      </w:r>
    </w:p>
    <w:p>
      <w:pPr>
        <w:pStyle w:val="BodyText"/>
        <w:rPr>
          <w:sz w:val="12"/>
        </w:rPr>
      </w:pPr>
    </w:p>
    <w:p>
      <w:pPr>
        <w:pStyle w:val="BodyText"/>
        <w:spacing w:before="6"/>
        <w:rPr>
          <w:sz w:val="12"/>
        </w:rPr>
      </w:pPr>
    </w:p>
    <w:p>
      <w:pPr>
        <w:pStyle w:val="Heading7"/>
        <w:spacing w:before="0"/>
        <w:ind w:left="174"/>
      </w:pPr>
      <w:r>
        <w:rPr>
          <w:color w:val="0093C1"/>
        </w:rPr>
        <w:t>Chart 4.7</w:t>
      </w:r>
    </w:p>
    <w:p>
      <w:pPr>
        <w:spacing w:before="10"/>
        <w:ind w:left="174" w:right="0" w:firstLine="0"/>
        <w:jc w:val="left"/>
        <w:rPr>
          <w:sz w:val="12"/>
        </w:rPr>
      </w:pPr>
      <w:r>
        <w:rPr>
          <w:b/>
          <w:color w:val="0093C1"/>
          <w:sz w:val="20"/>
        </w:rPr>
        <w:t>Retail price inflation</w:t>
      </w:r>
      <w:r>
        <w:rPr>
          <w:position w:val="4"/>
          <w:sz w:val="12"/>
        </w:rPr>
        <w:t>(a)</w:t>
      </w:r>
    </w:p>
    <w:p>
      <w:pPr>
        <w:spacing w:line="119" w:lineRule="exact" w:before="99"/>
        <w:ind w:left="1825" w:right="0" w:firstLine="0"/>
        <w:jc w:val="left"/>
        <w:rPr>
          <w:sz w:val="12"/>
        </w:rPr>
      </w:pPr>
      <w:r>
        <w:rPr>
          <w:sz w:val="12"/>
        </w:rPr>
        <w:t>Percentage changes on a year earlier</w:t>
      </w:r>
    </w:p>
    <w:p>
      <w:pPr>
        <w:spacing w:line="119" w:lineRule="exact" w:before="0"/>
        <w:ind w:left="3639" w:right="0" w:firstLine="0"/>
        <w:jc w:val="left"/>
        <w:rPr>
          <w:sz w:val="12"/>
        </w:rPr>
      </w:pPr>
      <w:r>
        <w:rPr/>
        <w:pict>
          <v:line style="position:absolute;mso-position-horizontal-relative:page;mso-position-vertical-relative:paragraph;z-index:16032768" from="46.48pt,3.151559pt" to="42.48pt,3.151559pt" stroked="true" strokeweight=".5pt" strokecolor="#000000">
            <v:stroke dashstyle="solid"/>
            <w10:wrap type="none"/>
          </v:line>
        </w:pict>
      </w:r>
      <w:r>
        <w:rPr/>
        <w:pict>
          <v:line style="position:absolute;mso-position-horizontal-relative:page;mso-position-vertical-relative:paragraph;z-index:16037376" from="209.479996pt,3.151559pt" to="205.479996pt,3.151559pt" stroked="true" strokeweight=".5pt" strokecolor="#000000">
            <v:stroke dashstyle="solid"/>
            <w10:wrap type="none"/>
          </v:line>
        </w:pict>
      </w:r>
      <w:r>
        <w:rPr>
          <w:sz w:val="12"/>
        </w:rPr>
        <w:t>4.5</w:t>
      </w:r>
    </w:p>
    <w:p>
      <w:pPr>
        <w:pStyle w:val="BodyText"/>
        <w:spacing w:before="9"/>
        <w:rPr>
          <w:sz w:val="15"/>
        </w:rPr>
      </w:pPr>
    </w:p>
    <w:p>
      <w:pPr>
        <w:spacing w:before="1"/>
        <w:ind w:left="0" w:right="191" w:firstLine="0"/>
        <w:jc w:val="right"/>
        <w:rPr>
          <w:sz w:val="12"/>
        </w:rPr>
      </w:pPr>
      <w:r>
        <w:rPr/>
        <w:pict>
          <v:line style="position:absolute;mso-position-horizontal-relative:page;mso-position-vertical-relative:paragraph;z-index:16032256" from="46.48pt,4.150763pt" to="42.48pt,4.150763pt" stroked="true" strokeweight=".5pt" strokecolor="#000000">
            <v:stroke dashstyle="solid"/>
            <w10:wrap type="none"/>
          </v:line>
        </w:pict>
      </w:r>
      <w:r>
        <w:rPr/>
        <w:pict>
          <v:group style="position:absolute;margin-left:51.98pt;margin-top:-3.349238pt;width:157.5pt;height:82.3pt;mso-position-horizontal-relative:page;mso-position-vertical-relative:paragraph;z-index:16034816" coordorigin="1040,-67" coordsize="3150,1646">
            <v:shape style="position:absolute;left:1049;top:-57;width:3000;height:1400" coordorigin="1050,-57" coordsize="3000,1400" path="m1050,543l1110,463,1170,363,1250,543,1310,443,1390,403,1450,403,1510,363,1590,183,1650,643,1730,683,1790,603,1850,843,1930,983,1990,1003,2070,1143,2130,1323,2210,1343,2270,1283,2340,1343,2410,1343,2470,983,2550,923,2610,1123,2690,903,2750,943,2810,1043,2890,1143,2950,1023,3030,803,3090,523,3150,403,3230,383,3290,283,3370,283,3430,343,3510,543,3570,483,3630,443,3710,63,3770,-57,3850,263,3910,423,3990,563,4050,623e" filled="false" stroked="true" strokeweight="1pt" strokecolor="#0099d8">
              <v:path arrowok="t"/>
              <v:stroke dashstyle="solid"/>
            </v:shape>
            <v:shape style="position:absolute;left:1049;top:563;width:3000;height:540" coordorigin="1050,563" coordsize="3000,540" path="m1050,923l1110,923,1170,843,1250,943,1310,963,1390,863,1450,903,1510,823,1590,683,1650,823,1730,823,1790,783,1850,883,1930,883,1990,843,2070,863,2130,903,2210,923,2270,863,2340,883,2410,783,2470,563,2550,563,2610,703,2690,703,2810,983,2890,1083,2950,1103,3030,963,3090,783,3150,883,3230,923,3290,903,3370,903,3430,983,3510,1103,3570,1043,3630,1043,3710,783,3770,623,3850,883,3910,1003,3990,1063,4050,1063e" filled="false" stroked="true" strokeweight="1pt" strokecolor="#ed1b2d">
              <v:path arrowok="t"/>
              <v:stroke dashstyle="solid"/>
            </v:shape>
            <v:shape style="position:absolute;left:1049;top:743;width:3000;height:820" coordorigin="1050,743" coordsize="3000,820" path="m1050,1523l1110,1563,1170,1483,1250,1383,1310,1303,1390,1263,1450,1243,1510,1103,1590,1023,1650,1163,1730,1163,1790,1123,1850,1103,1930,1083,1990,1043,2070,1043,2130,1183,2210,1203,2270,1183,2340,1163,2410,1063,2470,783,2550,743,2610,963,2690,923,2750,1063,2810,1223,2890,1443,2950,1463,3030,1283,3090,1263,3150,1363,3230,1423,3290,1283,3370,1323,3430,1283,3510,1503,3570,1383,3630,1383,3710,1303,3770,1083,3850,1403,3910,1343,3990,1343,4050,1403e" filled="false" stroked="true" strokeweight="1pt" strokecolor="#edc5dd">
              <v:path arrowok="t"/>
              <v:stroke dashstyle="solid"/>
            </v:shape>
            <v:shape style="position:absolute;left:4109;top:83;width:80;height:1340" coordorigin="4110,83" coordsize="80,1340" path="m4190,1423l4110,1423m4190,1083l4110,1083m4190,763l4110,763m4190,423l4110,423m4190,83l4110,83e" filled="false" stroked="true" strokeweight=".5pt" strokecolor="#000000">
              <v:path arrowok="t"/>
              <v:stroke dashstyle="solid"/>
            </v:shape>
            <v:shape style="position:absolute;left:3472;top:-48;width:207;height:133" type="#_x0000_t202" filled="false" stroked="false">
              <v:textbox inset="0,0,0,0">
                <w:txbxContent>
                  <w:p>
                    <w:pPr>
                      <w:spacing w:line="133" w:lineRule="exact" w:before="0"/>
                      <w:ind w:left="0" w:right="0" w:firstLine="0"/>
                      <w:jc w:val="left"/>
                      <w:rPr>
                        <w:sz w:val="12"/>
                      </w:rPr>
                    </w:pPr>
                    <w:r>
                      <w:rPr>
                        <w:sz w:val="12"/>
                      </w:rPr>
                      <w:t>RPI</w:t>
                    </w:r>
                  </w:p>
                </w:txbxContent>
              </v:textbox>
              <w10:wrap type="none"/>
            </v:shape>
            <v:shape style="position:absolute;left:3286;top:752;width:294;height:133" type="#_x0000_t202" filled="false" stroked="false">
              <v:textbox inset="0,0,0,0">
                <w:txbxContent>
                  <w:p>
                    <w:pPr>
                      <w:spacing w:line="133" w:lineRule="exact" w:before="0"/>
                      <w:ind w:left="0" w:right="0" w:firstLine="0"/>
                      <w:jc w:val="left"/>
                      <w:rPr>
                        <w:sz w:val="12"/>
                      </w:rPr>
                    </w:pPr>
                    <w:r>
                      <w:rPr>
                        <w:sz w:val="12"/>
                      </w:rPr>
                      <w:t>RPIX</w:t>
                    </w:r>
                  </w:p>
                </w:txbxContent>
              </v:textbox>
              <w10:wrap type="none"/>
            </v:shape>
            <v:shape style="position:absolute;left:3586;top:1446;width:294;height:133" type="#_x0000_t202" filled="false" stroked="false">
              <v:textbox inset="0,0,0,0">
                <w:txbxContent>
                  <w:p>
                    <w:pPr>
                      <w:spacing w:line="133" w:lineRule="exact" w:before="0"/>
                      <w:ind w:left="0" w:right="0" w:firstLine="0"/>
                      <w:jc w:val="left"/>
                      <w:rPr>
                        <w:sz w:val="12"/>
                      </w:rPr>
                    </w:pPr>
                    <w:r>
                      <w:rPr>
                        <w:sz w:val="12"/>
                      </w:rPr>
                      <w:t>RPIY</w:t>
                    </w:r>
                  </w:p>
                </w:txbxContent>
              </v:textbox>
              <w10:wrap type="none"/>
            </v:shape>
            <w10:wrap type="none"/>
          </v:group>
        </w:pict>
      </w:r>
      <w:r>
        <w:rPr>
          <w:sz w:val="12"/>
        </w:rPr>
        <w:t>4.0</w:t>
      </w:r>
    </w:p>
    <w:p>
      <w:pPr>
        <w:pStyle w:val="BodyText"/>
        <w:spacing w:before="6"/>
        <w:rPr>
          <w:sz w:val="17"/>
        </w:rPr>
      </w:pPr>
    </w:p>
    <w:p>
      <w:pPr>
        <w:spacing w:before="0"/>
        <w:ind w:left="0" w:right="191" w:firstLine="0"/>
        <w:jc w:val="right"/>
        <w:rPr>
          <w:sz w:val="12"/>
        </w:rPr>
      </w:pPr>
      <w:r>
        <w:rPr/>
        <w:pict>
          <v:line style="position:absolute;mso-position-horizontal-relative:page;mso-position-vertical-relative:paragraph;z-index:16031744" from="46.48pt,4.100961pt" to="42.48pt,4.100961pt" stroked="true" strokeweight=".5pt" strokecolor="#000000">
            <v:stroke dashstyle="solid"/>
            <w10:wrap type="none"/>
          </v:line>
        </w:pict>
      </w:r>
      <w:r>
        <w:rPr>
          <w:sz w:val="12"/>
        </w:rPr>
        <w:t>3.5</w:t>
      </w:r>
    </w:p>
    <w:p>
      <w:pPr>
        <w:pStyle w:val="BodyText"/>
        <w:spacing w:before="6"/>
        <w:rPr>
          <w:sz w:val="17"/>
        </w:rPr>
      </w:pPr>
    </w:p>
    <w:p>
      <w:pPr>
        <w:spacing w:before="1"/>
        <w:ind w:left="0" w:right="191" w:firstLine="0"/>
        <w:jc w:val="right"/>
        <w:rPr>
          <w:sz w:val="12"/>
        </w:rPr>
      </w:pPr>
      <w:r>
        <w:rPr/>
        <w:pict>
          <v:line style="position:absolute;mso-position-horizontal-relative:page;mso-position-vertical-relative:paragraph;z-index:16031232" from="46.48pt,4.151159pt" to="42.48pt,4.151159pt" stroked="true" strokeweight=".5pt" strokecolor="#000000">
            <v:stroke dashstyle="solid"/>
            <w10:wrap type="none"/>
          </v:line>
        </w:pict>
      </w:r>
      <w:r>
        <w:rPr>
          <w:sz w:val="12"/>
        </w:rPr>
        <w:t>3.0</w:t>
      </w:r>
    </w:p>
    <w:p>
      <w:pPr>
        <w:pStyle w:val="BodyText"/>
        <w:spacing w:before="9"/>
        <w:rPr>
          <w:sz w:val="15"/>
        </w:rPr>
      </w:pPr>
    </w:p>
    <w:p>
      <w:pPr>
        <w:spacing w:before="0"/>
        <w:ind w:left="0" w:right="191" w:firstLine="0"/>
        <w:jc w:val="right"/>
        <w:rPr>
          <w:sz w:val="12"/>
        </w:rPr>
      </w:pPr>
      <w:r>
        <w:rPr/>
        <w:pict>
          <v:line style="position:absolute;mso-position-horizontal-relative:page;mso-position-vertical-relative:paragraph;z-index:16030720" from="46.48pt,4.100961pt" to="42.48pt,4.100961pt" stroked="true" strokeweight=".5pt" strokecolor="#000000">
            <v:stroke dashstyle="solid"/>
            <w10:wrap type="none"/>
          </v:line>
        </w:pict>
      </w:r>
      <w:r>
        <w:rPr>
          <w:sz w:val="12"/>
        </w:rPr>
        <w:t>2.5</w:t>
      </w:r>
    </w:p>
    <w:p>
      <w:pPr>
        <w:pStyle w:val="BodyText"/>
        <w:spacing w:before="7"/>
        <w:rPr>
          <w:sz w:val="17"/>
        </w:rPr>
      </w:pPr>
    </w:p>
    <w:p>
      <w:pPr>
        <w:spacing w:before="0"/>
        <w:ind w:left="0" w:right="191" w:firstLine="0"/>
        <w:jc w:val="right"/>
        <w:rPr>
          <w:sz w:val="12"/>
        </w:rPr>
      </w:pPr>
      <w:r>
        <w:rPr/>
        <w:pict>
          <v:line style="position:absolute;mso-position-horizontal-relative:page;mso-position-vertical-relative:paragraph;z-index:16030208" from="46.48pt,4.101159pt" to="42.48pt,4.101159pt" stroked="true" strokeweight=".5pt" strokecolor="#000000">
            <v:stroke dashstyle="solid"/>
            <w10:wrap type="none"/>
          </v:line>
        </w:pict>
      </w:r>
      <w:r>
        <w:rPr>
          <w:sz w:val="12"/>
        </w:rPr>
        <w:t>2.0</w:t>
      </w:r>
    </w:p>
    <w:p>
      <w:pPr>
        <w:pStyle w:val="BodyText"/>
        <w:spacing w:before="6"/>
        <w:rPr>
          <w:sz w:val="17"/>
        </w:rPr>
      </w:pPr>
    </w:p>
    <w:p>
      <w:pPr>
        <w:spacing w:before="0"/>
        <w:ind w:left="0" w:right="191" w:firstLine="0"/>
        <w:jc w:val="right"/>
        <w:rPr>
          <w:sz w:val="12"/>
        </w:rPr>
      </w:pPr>
      <w:r>
        <w:rPr/>
        <w:pict>
          <v:line style="position:absolute;mso-position-horizontal-relative:page;mso-position-vertical-relative:paragraph;z-index:16029696" from="46.48pt,4.101357pt" to="42.48pt,4.101357pt" stroked="true" strokeweight=".5pt" strokecolor="#000000">
            <v:stroke dashstyle="solid"/>
            <w10:wrap type="none"/>
          </v:line>
        </w:pict>
      </w:r>
      <w:r>
        <w:rPr/>
        <w:pict>
          <v:line style="position:absolute;mso-position-horizontal-relative:page;mso-position-vertical-relative:paragraph;z-index:16036864" from="209.479996pt,4.101357pt" to="205.479996pt,4.101357pt" stroked="true" strokeweight=".5pt" strokecolor="#000000">
            <v:stroke dashstyle="solid"/>
            <w10:wrap type="none"/>
          </v:line>
        </w:pict>
      </w:r>
      <w:r>
        <w:rPr>
          <w:sz w:val="12"/>
        </w:rPr>
        <w:t>1.5</w:t>
      </w:r>
    </w:p>
    <w:p>
      <w:pPr>
        <w:pStyle w:val="BodyText"/>
        <w:spacing w:before="10"/>
        <w:rPr>
          <w:sz w:val="15"/>
        </w:rPr>
      </w:pPr>
    </w:p>
    <w:p>
      <w:pPr>
        <w:spacing w:before="0"/>
        <w:ind w:left="0" w:right="191" w:firstLine="0"/>
        <w:jc w:val="right"/>
        <w:rPr>
          <w:sz w:val="12"/>
        </w:rPr>
      </w:pPr>
      <w:r>
        <w:rPr/>
        <w:pict>
          <v:line style="position:absolute;mso-position-horizontal-relative:page;mso-position-vertical-relative:paragraph;z-index:16029184" from="46.48pt,4.101159pt" to="42.48pt,4.101159pt" stroked="true" strokeweight=".5pt" strokecolor="#000000">
            <v:stroke dashstyle="solid"/>
            <w10:wrap type="none"/>
          </v:line>
        </w:pict>
      </w:r>
      <w:r>
        <w:rPr/>
        <w:pict>
          <v:line style="position:absolute;mso-position-horizontal-relative:page;mso-position-vertical-relative:paragraph;z-index:16036352" from="209.479996pt,4.101159pt" to="205.479996pt,4.101159pt" stroked="true" strokeweight=".5pt" strokecolor="#000000">
            <v:stroke dashstyle="solid"/>
            <w10:wrap type="none"/>
          </v:line>
        </w:pict>
      </w:r>
      <w:r>
        <w:rPr>
          <w:sz w:val="12"/>
        </w:rPr>
        <w:t>1.0</w:t>
      </w:r>
    </w:p>
    <w:p>
      <w:pPr>
        <w:pStyle w:val="BodyText"/>
        <w:spacing w:before="6"/>
        <w:rPr>
          <w:sz w:val="17"/>
        </w:rPr>
      </w:pPr>
    </w:p>
    <w:p>
      <w:pPr>
        <w:spacing w:before="0"/>
        <w:ind w:left="0" w:right="191" w:firstLine="0"/>
        <w:jc w:val="right"/>
        <w:rPr>
          <w:sz w:val="12"/>
        </w:rPr>
      </w:pPr>
      <w:r>
        <w:rPr/>
        <w:pict>
          <v:line style="position:absolute;mso-position-horizontal-relative:page;mso-position-vertical-relative:paragraph;z-index:16028672" from="46.48pt,4.101357pt" to="42.48pt,4.101357pt" stroked="true" strokeweight=".5pt" strokecolor="#000000">
            <v:stroke dashstyle="solid"/>
            <w10:wrap type="none"/>
          </v:line>
        </w:pict>
      </w:r>
      <w:r>
        <w:rPr/>
        <w:pict>
          <v:line style="position:absolute;mso-position-horizontal-relative:page;mso-position-vertical-relative:paragraph;z-index:16035840" from="209.479996pt,4.101357pt" to="205.479996pt,4.101357pt" stroked="true" strokeweight=".5pt" strokecolor="#000000">
            <v:stroke dashstyle="solid"/>
            <w10:wrap type="none"/>
          </v:line>
        </w:pict>
      </w:r>
      <w:r>
        <w:rPr>
          <w:sz w:val="12"/>
        </w:rPr>
        <w:t>0.5</w:t>
      </w:r>
    </w:p>
    <w:p>
      <w:pPr>
        <w:pStyle w:val="BodyText"/>
        <w:spacing w:before="7"/>
        <w:rPr>
          <w:sz w:val="17"/>
        </w:rPr>
      </w:pPr>
    </w:p>
    <w:p>
      <w:pPr>
        <w:spacing w:line="119" w:lineRule="exact" w:before="0"/>
        <w:ind w:left="3639" w:right="0" w:firstLine="0"/>
        <w:jc w:val="left"/>
        <w:rPr>
          <w:sz w:val="12"/>
        </w:rPr>
      </w:pPr>
      <w:r>
        <w:rPr/>
        <w:pict>
          <v:line style="position:absolute;mso-position-horizontal-relative:page;mso-position-vertical-relative:paragraph;z-index:16028160" from="46.48pt,4.101563pt" to="42.48pt,4.101563pt" stroked="true" strokeweight=".5pt" strokecolor="#000000">
            <v:stroke dashstyle="solid"/>
            <w10:wrap type="none"/>
          </v:line>
        </w:pict>
      </w:r>
      <w:r>
        <w:rPr/>
        <w:pict>
          <v:shape style="position:absolute;margin-left:51.48pt;margin-top:-.898437pt;width:158pt;height:5pt;mso-position-horizontal-relative:page;mso-position-vertical-relative:paragraph;z-index:16035328" coordorigin="1030,-18" coordsize="3160,100" path="m4190,82l4110,82m1030,82l4050,82m1030,82l1030,42m1110,82l1110,42m1170,82l1170,42m1250,82l1250,42m1310,82l1310,42m1370,82l1370,42m1450,82l1450,42m1510,82l1510,42m1590,82l1590,42m1650,82l1650,42m1730,82l1730,42m1790,82l1790,42m1850,82l1850,42m1930,82l1930,42m1990,82l1990,42m2070,82l2070,42m2130,82l2130,42m2190,82l2190,42m2270,82l2270,42m2330,82l2330,42m2410,82l2410,42m2470,82l2470,42m2550,82l2550,42m2610,82l2610,42m2670,82l2670,42m2750,82l2750,42m2810,82l2810,42m2890,82l2890,42m2950,82l2950,42m3030,82l3030,42m3090,82l3090,42m3150,82l3150,42m3230,82l3230,42m3290,82l3290,42m3370,82l3370,42m3430,82l3430,42m3490,82l3490,42m3570,82l3570,42m3630,82l3630,42m3710,82l3710,42m3770,82l3770,42m3850,82l3850,42m3910,82l3910,42m3990,82l3990,42m4050,82l4050,42m1030,82l1030,-18m1850,82l1850,-18m2670,82l2670,-18m3490,82l3490,-18e" filled="false" stroked="true" strokeweight=".5pt" strokecolor="#000000">
            <v:path arrowok="t"/>
            <v:stroke dashstyle="solid"/>
            <w10:wrap type="none"/>
          </v:shape>
        </w:pict>
      </w:r>
      <w:r>
        <w:rPr>
          <w:sz w:val="12"/>
        </w:rPr>
        <w:t>0.0</w:t>
      </w:r>
    </w:p>
    <w:p>
      <w:pPr>
        <w:tabs>
          <w:tab w:pos="1579" w:val="left" w:leader="none"/>
          <w:tab w:pos="2399" w:val="left" w:leader="none"/>
          <w:tab w:pos="3119" w:val="left" w:leader="none"/>
        </w:tabs>
        <w:spacing w:line="119" w:lineRule="exact" w:before="0"/>
        <w:ind w:left="719" w:right="0" w:firstLine="0"/>
        <w:jc w:val="left"/>
        <w:rPr>
          <w:sz w:val="12"/>
        </w:rPr>
      </w:pPr>
      <w:r>
        <w:rPr>
          <w:sz w:val="12"/>
        </w:rPr>
        <w:t>1995</w:t>
        <w:tab/>
        <w:t>96</w:t>
        <w:tab/>
        <w:t>97</w:t>
        <w:tab/>
        <w:t>98</w:t>
      </w:r>
    </w:p>
    <w:p>
      <w:pPr>
        <w:pStyle w:val="BodyText"/>
        <w:spacing w:before="1"/>
        <w:rPr>
          <w:sz w:val="10"/>
        </w:rPr>
      </w:pPr>
    </w:p>
    <w:p>
      <w:pPr>
        <w:spacing w:line="208" w:lineRule="auto" w:before="0"/>
        <w:ind w:left="194" w:right="476" w:firstLine="0"/>
        <w:jc w:val="left"/>
        <w:rPr>
          <w:sz w:val="12"/>
        </w:rPr>
      </w:pPr>
      <w:r>
        <w:rPr>
          <w:sz w:val="12"/>
        </w:rPr>
        <w:t>RPIX = Retail price index excluding mortgage interest payments. RPIY = RPIX excluding VAT, local authority taxes and excise duty.</w:t>
      </w:r>
    </w:p>
    <w:p>
      <w:pPr>
        <w:pStyle w:val="BodyText"/>
        <w:spacing w:before="5"/>
        <w:rPr>
          <w:sz w:val="10"/>
        </w:rPr>
      </w:pPr>
    </w:p>
    <w:p>
      <w:pPr>
        <w:spacing w:line="208" w:lineRule="auto" w:before="0"/>
        <w:ind w:left="434" w:right="74" w:hanging="240"/>
        <w:jc w:val="left"/>
        <w:rPr>
          <w:sz w:val="12"/>
        </w:rPr>
      </w:pPr>
      <w:r>
        <w:rPr>
          <w:sz w:val="12"/>
        </w:rPr>
        <w:t>(a) Adjusted by the Bank of England for ONS error in under-recording aggregate price indices between February and May 1995. Other charts and tables in this </w:t>
      </w:r>
      <w:r>
        <w:rPr>
          <w:i/>
          <w:sz w:val="12"/>
        </w:rPr>
        <w:t>Report </w:t>
      </w:r>
      <w:r>
        <w:rPr>
          <w:sz w:val="12"/>
        </w:rPr>
        <w:t>that include measures of retail price inflation are similarly adjusted.</w:t>
      </w:r>
    </w:p>
    <w:p>
      <w:pPr>
        <w:pStyle w:val="Heading4"/>
        <w:spacing w:line="242" w:lineRule="auto" w:before="59"/>
        <w:ind w:left="174" w:right="428"/>
      </w:pPr>
      <w:r>
        <w:rPr/>
        <w:br w:type="column"/>
      </w:r>
      <w:r>
        <w:rPr/>
        <w:t>Annual inflation in retail prices excluding mortgage interest repayments (RPIX) fell from 2.8% in June to the target rate of 2.5% in August and September (see Chart 4.7). Annual RPIX inflation in 1998 Q3 as a whole was 2.5%, in line with the August central projection. Within this, annual services price inflation, at 3.3%, remained substantially higher than that for goods, at 1.4%. Much of the fall in annual RPIX inflation between June and August was accounted for by the effects of last year’s rise in petrol excise duties dropping out of the annual comparison. Movements in RPIX of this size are very small by post-war standards: the volatility of RPIX inflation over the past three years has been lower than at any time since 1947 (see</w:t>
      </w:r>
    </w:p>
    <w:p>
      <w:pPr>
        <w:spacing w:before="18"/>
        <w:ind w:left="174" w:right="0" w:firstLine="0"/>
        <w:jc w:val="left"/>
        <w:rPr>
          <w:sz w:val="24"/>
        </w:rPr>
      </w:pPr>
      <w:r>
        <w:rPr>
          <w:sz w:val="24"/>
        </w:rPr>
        <w:t>Chart 4.8).</w:t>
      </w:r>
    </w:p>
    <w:p>
      <w:pPr>
        <w:pStyle w:val="BodyText"/>
        <w:spacing w:before="8"/>
        <w:rPr>
          <w:sz w:val="24"/>
        </w:rPr>
      </w:pPr>
    </w:p>
    <w:p>
      <w:pPr>
        <w:spacing w:line="242" w:lineRule="auto" w:before="0"/>
        <w:ind w:left="174" w:right="135" w:firstLine="0"/>
        <w:jc w:val="left"/>
        <w:rPr>
          <w:sz w:val="24"/>
        </w:rPr>
      </w:pPr>
      <w:r>
        <w:rPr>
          <w:sz w:val="24"/>
        </w:rPr>
        <w:t>Recent movements in retail price inflation have been influenced by unusually large fluctuations in the prices of seasonal foods, caused mainly by bad weather during the summer (see Chart 4.9). Month on month, seasonal food prices rose by 8.3% in May—accounting for much of the rise in annual RPIX inflation to 3.2% in that month—and by 7.3% in August, the second-highest rise in that month since 1976. Overall, seasonal food prices rose by 2.6% between January and September, compared with an average fall of 0.6% for the same period in the previous five years. The current strength in seasonal and</w:t>
      </w:r>
    </w:p>
    <w:p>
      <w:pPr>
        <w:spacing w:after="0" w:line="242" w:lineRule="auto"/>
        <w:jc w:val="left"/>
        <w:rPr>
          <w:sz w:val="24"/>
        </w:rPr>
        <w:sectPr>
          <w:type w:val="continuous"/>
          <w:pgSz w:w="11900" w:h="16840"/>
          <w:pgMar w:top="1220" w:bottom="280" w:left="620" w:right="520"/>
          <w:cols w:num="2" w:equalWidth="0">
            <w:col w:w="3984" w:space="802"/>
            <w:col w:w="5974"/>
          </w:cols>
        </w:sectPr>
      </w:pPr>
    </w:p>
    <w:p>
      <w:pPr>
        <w:pStyle w:val="BodyText"/>
        <w:rPr>
          <w:sz w:val="20"/>
        </w:rPr>
      </w:pPr>
    </w:p>
    <w:p>
      <w:pPr>
        <w:spacing w:after="0"/>
        <w:rPr>
          <w:sz w:val="20"/>
        </w:rPr>
        <w:sectPr>
          <w:pgSz w:w="11900" w:h="16840"/>
          <w:pgMar w:header="586" w:footer="597" w:top="780" w:bottom="780" w:left="620" w:right="520"/>
        </w:sectPr>
      </w:pPr>
    </w:p>
    <w:p>
      <w:pPr>
        <w:pStyle w:val="BodyText"/>
        <w:rPr>
          <w:sz w:val="21"/>
        </w:rPr>
      </w:pPr>
    </w:p>
    <w:p>
      <w:pPr>
        <w:pStyle w:val="Heading7"/>
        <w:spacing w:before="0"/>
        <w:ind w:left="190"/>
      </w:pPr>
      <w:bookmarkStart w:name="Other price indices" w:id="72"/>
      <w:bookmarkEnd w:id="72"/>
      <w:r>
        <w:rPr>
          <w:b w:val="0"/>
        </w:rPr>
      </w:r>
      <w:bookmarkStart w:name="Summary" w:id="73"/>
      <w:bookmarkEnd w:id="73"/>
      <w:r>
        <w:rPr>
          <w:b w:val="0"/>
        </w:rPr>
      </w:r>
      <w:bookmarkStart w:name="_bookmark26" w:id="74"/>
      <w:bookmarkEnd w:id="74"/>
      <w:r>
        <w:rPr>
          <w:b w:val="0"/>
        </w:rPr>
      </w:r>
      <w:r>
        <w:rPr>
          <w:color w:val="0093C1"/>
        </w:rPr>
        <w:t>Chart 4.8</w:t>
      </w:r>
    </w:p>
    <w:p>
      <w:pPr>
        <w:spacing w:line="249" w:lineRule="auto" w:before="10"/>
        <w:ind w:left="190" w:right="229" w:firstLine="0"/>
        <w:jc w:val="left"/>
        <w:rPr>
          <w:sz w:val="12"/>
        </w:rPr>
      </w:pPr>
      <w:r>
        <w:rPr>
          <w:b/>
          <w:color w:val="0093C1"/>
          <w:sz w:val="20"/>
        </w:rPr>
        <w:t>Mean and standard deviation of annual RPIX inflation since 1947</w:t>
      </w:r>
      <w:r>
        <w:rPr>
          <w:position w:val="4"/>
          <w:sz w:val="12"/>
        </w:rPr>
        <w:t>(a)</w:t>
      </w:r>
    </w:p>
    <w:p>
      <w:pPr>
        <w:spacing w:line="134" w:lineRule="exact" w:before="64"/>
        <w:ind w:left="2709" w:right="158" w:firstLine="0"/>
        <w:jc w:val="center"/>
        <w:rPr>
          <w:sz w:val="12"/>
        </w:rPr>
      </w:pPr>
      <w:r>
        <w:rPr>
          <w:sz w:val="12"/>
        </w:rPr>
        <w:t>Standard deviation</w:t>
      </w:r>
    </w:p>
    <w:p>
      <w:pPr>
        <w:spacing w:line="230" w:lineRule="auto" w:before="0"/>
        <w:ind w:left="0" w:right="38" w:firstLine="0"/>
        <w:jc w:val="right"/>
        <w:rPr>
          <w:sz w:val="12"/>
        </w:rPr>
      </w:pPr>
      <w:r>
        <w:rPr/>
        <w:pict>
          <v:line style="position:absolute;mso-position-horizontal-relative:page;mso-position-vertical-relative:paragraph;z-index:-21444608" from="209.003998pt,8.638801pt" to="212.678998pt,8.638801pt" stroked="true" strokeweight=".5pt" strokecolor="#000000">
            <v:stroke dashstyle="solid"/>
            <w10:wrap type="none"/>
          </v:line>
        </w:pict>
      </w:r>
      <w:r>
        <w:rPr/>
        <w:pict>
          <v:line style="position:absolute;mso-position-horizontal-relative:page;mso-position-vertical-relative:paragraph;z-index:16046080" from="41.528999pt,8.270801pt" to="45.202999pt,8.270801pt" stroked="true" strokeweight=".5pt" strokecolor="#000000">
            <v:stroke dashstyle="solid"/>
            <w10:wrap type="none"/>
          </v:line>
        </w:pict>
      </w:r>
      <w:r>
        <w:rPr>
          <w:sz w:val="12"/>
        </w:rPr>
        <w:t>(Per cent) </w:t>
      </w:r>
      <w:r>
        <w:rPr>
          <w:position w:val="-7"/>
          <w:sz w:val="12"/>
        </w:rPr>
        <w:t>5</w:t>
      </w:r>
    </w:p>
    <w:p>
      <w:pPr>
        <w:pStyle w:val="BodyText"/>
        <w:spacing w:before="6"/>
        <w:rPr>
          <w:sz w:val="10"/>
        </w:rPr>
      </w:pPr>
      <w:r>
        <w:rPr/>
        <w:pict>
          <v:group style="position:absolute;margin-left:125.969002pt;margin-top:11.166911pt;width:6pt;height:5.5pt;mso-position-horizontal-relative:page;mso-position-vertical-relative:paragraph;z-index:-15418368;mso-wrap-distance-left:0;mso-wrap-distance-right:0" coordorigin="2519,223" coordsize="120,110">
            <v:rect style="position:absolute;left:2524;top:228;width:110;height:100" filled="true" fillcolor="#ed1b2d" stroked="false">
              <v:fill type="solid"/>
            </v:rect>
            <v:rect style="position:absolute;left:2524;top:228;width:110;height:100" filled="false" stroked="true" strokeweight=".5pt" strokecolor="#231f20">
              <v:stroke dashstyle="solid"/>
            </v:rect>
            <w10:wrap type="topAndBottom"/>
          </v:group>
        </w:pict>
      </w:r>
      <w:r>
        <w:rPr/>
        <w:pict>
          <v:group style="position:absolute;margin-left:169.235001pt;margin-top:7.999911pt;width:6pt;height:5.5pt;mso-position-horizontal-relative:page;mso-position-vertical-relative:paragraph;z-index:-15417856;mso-wrap-distance-left:0;mso-wrap-distance-right:0" coordorigin="3385,160" coordsize="120,110">
            <v:rect style="position:absolute;left:3389;top:165;width:110;height:100" filled="true" fillcolor="#ed1b2d" stroked="false">
              <v:fill type="solid"/>
            </v:rect>
            <v:rect style="position:absolute;left:3389;top:165;width:110;height:100" filled="false" stroked="true" strokeweight=".5pt" strokecolor="#231f20">
              <v:stroke dashstyle="solid"/>
            </v:rect>
            <w10:wrap type="topAndBottom"/>
          </v:group>
        </w:pict>
      </w:r>
    </w:p>
    <w:p>
      <w:pPr>
        <w:spacing w:before="71"/>
        <w:ind w:left="3711" w:right="0" w:firstLine="0"/>
        <w:jc w:val="left"/>
        <w:rPr>
          <w:sz w:val="12"/>
        </w:rPr>
      </w:pPr>
      <w:r>
        <w:rPr>
          <w:sz w:val="12"/>
        </w:rPr>
        <w:t>4</w:t>
      </w:r>
    </w:p>
    <w:p>
      <w:pPr>
        <w:pStyle w:val="BodyText"/>
        <w:spacing w:line="110" w:lineRule="exact"/>
        <w:ind w:left="1215"/>
        <w:rPr>
          <w:sz w:val="11"/>
        </w:rPr>
      </w:pPr>
      <w:r>
        <w:rPr>
          <w:position w:val="-1"/>
          <w:sz w:val="11"/>
        </w:rPr>
        <w:pict>
          <v:group style="width:6pt;height:5.5pt;mso-position-horizontal-relative:char;mso-position-vertical-relative:line" coordorigin="0,0" coordsize="120,110">
            <v:rect style="position:absolute;left:5;top:5;width:110;height:100" filled="true" fillcolor="#ed1b2d" stroked="false">
              <v:fill type="solid"/>
            </v:rect>
            <v:rect style="position:absolute;left:5;top:5;width:110;height:100" filled="false" stroked="true" strokeweight=".5pt" strokecolor="#231f20">
              <v:stroke dashstyle="solid"/>
            </v:rect>
          </v:group>
        </w:pict>
      </w:r>
      <w:r>
        <w:rPr>
          <w:position w:val="-1"/>
          <w:sz w:val="11"/>
        </w:rPr>
      </w:r>
    </w:p>
    <w:p>
      <w:pPr>
        <w:pStyle w:val="BodyText"/>
        <w:spacing w:before="4"/>
        <w:rPr>
          <w:sz w:val="5"/>
        </w:rPr>
      </w:pPr>
    </w:p>
    <w:p>
      <w:pPr>
        <w:pStyle w:val="BodyText"/>
        <w:ind w:left="1479"/>
        <w:rPr>
          <w:sz w:val="20"/>
        </w:rPr>
      </w:pPr>
      <w:r>
        <w:rPr>
          <w:sz w:val="20"/>
        </w:rPr>
        <w:pict>
          <v:group style="width:10pt;height:13.5pt;mso-position-horizontal-relative:char;mso-position-vertical-relative:line" coordorigin="0,0" coordsize="200,270">
            <v:rect style="position:absolute;left:5;top:165;width:110;height:100" filled="true" fillcolor="#ed1b2d" stroked="false">
              <v:fill type="solid"/>
            </v:rect>
            <v:rect style="position:absolute;left:5;top:165;width:110;height:100" filled="false" stroked="true" strokeweight=".5pt" strokecolor="#231f20">
              <v:stroke dashstyle="solid"/>
            </v:rect>
            <v:rect style="position:absolute;left:84;top:5;width:110;height:100" filled="true" fillcolor="#ed1b2d" stroked="false">
              <v:fill type="solid"/>
            </v:rect>
            <v:rect style="position:absolute;left:84;top:5;width:110;height:100" filled="false" stroked="true" strokeweight=".5pt" strokecolor="#231f20">
              <v:stroke dashstyle="solid"/>
            </v:rect>
          </v:group>
        </w:pict>
      </w:r>
      <w:r>
        <w:rPr>
          <w:sz w:val="20"/>
        </w:rPr>
      </w:r>
    </w:p>
    <w:p>
      <w:pPr>
        <w:spacing w:before="0"/>
        <w:ind w:left="3711" w:right="0" w:firstLine="0"/>
        <w:jc w:val="left"/>
        <w:rPr>
          <w:sz w:val="12"/>
        </w:rPr>
      </w:pPr>
      <w:r>
        <w:rPr/>
        <w:pict>
          <v:line style="position:absolute;mso-position-horizontal-relative:page;mso-position-vertical-relative:paragraph;z-index:16045056" from="209.003998pt,-24.762821pt" to="212.678998pt,-24.762821pt" stroked="true" strokeweight=".5pt" strokecolor="#000000">
            <v:stroke dashstyle="solid"/>
            <w10:wrap type="none"/>
          </v:line>
        </w:pict>
      </w:r>
      <w:r>
        <w:rPr/>
        <w:pict>
          <v:line style="position:absolute;mso-position-horizontal-relative:page;mso-position-vertical-relative:paragraph;z-index:16045568" from="209.003998pt,4.841180pt" to="212.678998pt,4.841180pt" stroked="true" strokeweight=".5pt" strokecolor="#000000">
            <v:stroke dashstyle="solid"/>
            <w10:wrap type="none"/>
          </v:line>
        </w:pict>
      </w:r>
      <w:r>
        <w:rPr/>
        <w:pict>
          <v:line style="position:absolute;mso-position-horizontal-relative:page;mso-position-vertical-relative:paragraph;z-index:16048128" from="41.528999pt,-25.130821pt" to="45.202999pt,-25.130821pt" stroked="true" strokeweight=".5pt" strokecolor="#000000">
            <v:stroke dashstyle="solid"/>
            <w10:wrap type="none"/>
          </v:line>
        </w:pict>
      </w:r>
      <w:r>
        <w:rPr/>
        <w:pict>
          <v:line style="position:absolute;mso-position-horizontal-relative:page;mso-position-vertical-relative:paragraph;z-index:16048640" from="41.528999pt,4.47318pt" to="45.202999pt,4.47318pt" stroked="true" strokeweight=".5pt" strokecolor="#000000">
            <v:stroke dashstyle="solid"/>
            <w10:wrap type="none"/>
          </v:line>
        </w:pict>
      </w:r>
      <w:r>
        <w:rPr>
          <w:sz w:val="12"/>
        </w:rPr>
        <w:t>3</w:t>
      </w:r>
    </w:p>
    <w:p>
      <w:pPr>
        <w:pStyle w:val="BodyText"/>
        <w:rPr>
          <w:sz w:val="12"/>
        </w:rPr>
      </w:pPr>
    </w:p>
    <w:p>
      <w:pPr>
        <w:pStyle w:val="BodyText"/>
        <w:rPr>
          <w:sz w:val="12"/>
        </w:rPr>
      </w:pPr>
    </w:p>
    <w:p>
      <w:pPr>
        <w:pStyle w:val="BodyText"/>
        <w:spacing w:before="10"/>
        <w:rPr>
          <w:sz w:val="13"/>
        </w:rPr>
      </w:pPr>
    </w:p>
    <w:p>
      <w:pPr>
        <w:spacing w:before="0"/>
        <w:ind w:left="3711" w:right="0" w:firstLine="0"/>
        <w:jc w:val="left"/>
        <w:rPr>
          <w:sz w:val="12"/>
        </w:rPr>
      </w:pPr>
      <w:r>
        <w:rPr/>
        <w:pict>
          <v:group style="position:absolute;margin-left:62.354pt;margin-top:-3.062659pt;width:15.5pt;height:15.95pt;mso-position-horizontal-relative:page;mso-position-vertical-relative:paragraph;z-index:16043008" coordorigin="1247,-61" coordsize="310,319">
            <v:shape style="position:absolute;left:1247;top:112;width:267;height:145" type="#_x0000_t75" stroked="false">
              <v:imagedata r:id="rId89" o:title=""/>
            </v:shape>
            <v:rect style="position:absolute;left:1441;top:-57;width:110;height:100" filled="true" fillcolor="#ed1b2d" stroked="false">
              <v:fill type="solid"/>
            </v:rect>
            <v:rect style="position:absolute;left:1441;top:-57;width:110;height:100" filled="false" stroked="true" strokeweight=".5pt" strokecolor="#231f20">
              <v:stroke dashstyle="solid"/>
            </v:rect>
            <w10:wrap type="none"/>
          </v:group>
        </w:pict>
      </w:r>
      <w:r>
        <w:rPr/>
        <w:pict>
          <v:group style="position:absolute;margin-left:88.492996pt;margin-top:5.430341pt;width:7pt;height:14pt;mso-position-horizontal-relative:page;mso-position-vertical-relative:paragraph;z-index:16043520" coordorigin="1770,109" coordsize="140,280">
            <v:rect style="position:absolute;left:1774;top:282;width:110;height:100" filled="true" fillcolor="#ed1b2d" stroked="false">
              <v:fill type="solid"/>
            </v:rect>
            <v:rect style="position:absolute;left:1774;top:282;width:110;height:100" filled="false" stroked="true" strokeweight=".5pt" strokecolor="#231f20">
              <v:stroke dashstyle="solid"/>
            </v:rect>
            <v:rect style="position:absolute;left:1794;top:113;width:110;height:100" filled="true" fillcolor="#ed1b2d" stroked="false">
              <v:fill type="solid"/>
            </v:rect>
            <v:rect style="position:absolute;left:1794;top:113;width:110;height:100" filled="false" stroked="true" strokeweight=".5pt" strokecolor="#231f20">
              <v:stroke dashstyle="solid"/>
            </v:rect>
            <w10:wrap type="none"/>
          </v:group>
        </w:pict>
      </w:r>
      <w:r>
        <w:rPr/>
        <w:pict>
          <v:line style="position:absolute;mso-position-horizontal-relative:page;mso-position-vertical-relative:paragraph;z-index:16044544" from="209.003998pt,4.841341pt" to="212.678998pt,4.841341pt" stroked="true" strokeweight=".5pt" strokecolor="#000000">
            <v:stroke dashstyle="solid"/>
            <w10:wrap type="none"/>
          </v:line>
        </w:pict>
      </w:r>
      <w:r>
        <w:rPr/>
        <w:pict>
          <v:line style="position:absolute;mso-position-horizontal-relative:page;mso-position-vertical-relative:paragraph;z-index:16047616" from="41.528999pt,4.472342pt" to="45.202999pt,4.472342pt" stroked="true" strokeweight=".5pt" strokecolor="#000000">
            <v:stroke dashstyle="solid"/>
            <w10:wrap type="none"/>
          </v:line>
        </w:pict>
      </w:r>
      <w:r>
        <w:rPr>
          <w:sz w:val="12"/>
        </w:rPr>
        <w:t>2</w:t>
      </w:r>
    </w:p>
    <w:p>
      <w:pPr>
        <w:pStyle w:val="BodyText"/>
        <w:spacing w:before="8"/>
        <w:rPr>
          <w:sz w:val="13"/>
        </w:rPr>
      </w:pPr>
      <w:r>
        <w:rPr/>
        <w:drawing>
          <wp:anchor distT="0" distB="0" distL="0" distR="0" allowOverlap="1" layoutInCell="1" locked="0" behindDoc="0" simplePos="0" relativeHeight="610">
            <wp:simplePos x="0" y="0"/>
            <wp:positionH relativeFrom="page">
              <wp:posOffset>791895</wp:posOffset>
            </wp:positionH>
            <wp:positionV relativeFrom="paragraph">
              <wp:posOffset>124881</wp:posOffset>
            </wp:positionV>
            <wp:extent cx="127200" cy="71437"/>
            <wp:effectExtent l="0" t="0" r="0" b="0"/>
            <wp:wrapTopAndBottom/>
            <wp:docPr id="7" name="image29.png"/>
            <wp:cNvGraphicFramePr>
              <a:graphicFrameLocks noChangeAspect="1"/>
            </wp:cNvGraphicFramePr>
            <a:graphic>
              <a:graphicData uri="http://schemas.openxmlformats.org/drawingml/2006/picture">
                <pic:pic>
                  <pic:nvPicPr>
                    <pic:cNvPr id="8" name="image29.png"/>
                    <pic:cNvPicPr/>
                  </pic:nvPicPr>
                  <pic:blipFill>
                    <a:blip r:embed="rId90" cstate="print"/>
                    <a:stretch>
                      <a:fillRect/>
                    </a:stretch>
                  </pic:blipFill>
                  <pic:spPr>
                    <a:xfrm>
                      <a:off x="0" y="0"/>
                      <a:ext cx="127200" cy="71437"/>
                    </a:xfrm>
                    <a:prstGeom prst="rect">
                      <a:avLst/>
                    </a:prstGeom>
                  </pic:spPr>
                </pic:pic>
              </a:graphicData>
            </a:graphic>
          </wp:anchor>
        </w:drawing>
      </w:r>
    </w:p>
    <w:p>
      <w:pPr>
        <w:spacing w:before="0"/>
        <w:ind w:left="1727" w:right="0" w:firstLine="0"/>
        <w:jc w:val="left"/>
        <w:rPr>
          <w:sz w:val="12"/>
        </w:rPr>
      </w:pPr>
      <w:r>
        <w:rPr>
          <w:color w:val="231F20"/>
          <w:sz w:val="12"/>
        </w:rPr>
        <w:t>1995 Q4–1998 Q3</w:t>
      </w:r>
    </w:p>
    <w:p>
      <w:pPr>
        <w:spacing w:before="24"/>
        <w:ind w:left="3711" w:right="0" w:firstLine="0"/>
        <w:jc w:val="left"/>
        <w:rPr>
          <w:sz w:val="12"/>
        </w:rPr>
      </w:pPr>
      <w:r>
        <w:rPr/>
        <w:pict>
          <v:group style="position:absolute;margin-left:48.866001pt;margin-top:-2.196663pt;width:163.85pt;height:37.2pt;mso-position-horizontal-relative:page;mso-position-vertical-relative:paragraph;z-index:-21446144" coordorigin="977,-44" coordsize="3277,744">
            <v:rect style="position:absolute;left:1275;top:527;width:110;height:100" filled="true" fillcolor="#522e91" stroked="false">
              <v:fill type="solid"/>
            </v:rect>
            <v:rect style="position:absolute;left:1275;top:527;width:110;height:100" filled="false" stroked="true" strokeweight=".5pt" strokecolor="#231f20">
              <v:stroke dashstyle="solid"/>
            </v:rect>
            <v:rect style="position:absolute;left:1277;top:381;width:110;height:100" filled="true" fillcolor="#ed1b2d" stroked="false">
              <v:fill type="solid"/>
            </v:rect>
            <v:rect style="position:absolute;left:1277;top:381;width:110;height:100" filled="false" stroked="true" strokeweight=".5pt" strokecolor="#231f20">
              <v:stroke dashstyle="solid"/>
            </v:rect>
            <v:rect style="position:absolute;left:1497;top:230;width:110;height:100" filled="true" fillcolor="#ed1b2d" stroked="false">
              <v:fill type="solid"/>
            </v:rect>
            <v:rect style="position:absolute;left:1497;top:230;width:110;height:100" filled="false" stroked="true" strokeweight=".5pt" strokecolor="#231f20">
              <v:stroke dashstyle="solid"/>
            </v:rect>
            <v:shape style="position:absolute;left:1368;top:-44;width:234;height:234" type="#_x0000_t75" stroked="false">
              <v:imagedata r:id="rId91" o:title=""/>
            </v:shape>
            <v:line style="position:absolute" from="1490,558" to="2729,25" stroked="true" strokeweight=".5pt" strokecolor="#000000">
              <v:stroke dashstyle="solid"/>
            </v:line>
            <v:shape style="position:absolute;left:1422;top:528;width:97;height:60" coordorigin="1423,528" coordsize="97,60" path="m1495,528l1440,576,1423,587,1432,585,1519,574,1495,528xe" filled="true" fillcolor="#000000" stroked="false">
              <v:path arrowok="t"/>
              <v:fill type="solid"/>
            </v:shape>
            <v:shape style="position:absolute;left:982;top:120;width:3272;height:579" coordorigin="982,121" coordsize="3272,579" path="m1604,652l1604,699m982,649l982,696m988,694l4131,694m2231,652l2231,699m2865,652l2865,699m3494,652l3494,699m4124,652l4124,699m4180,695l4254,695m4180,121l4254,121e" filled="false" stroked="true" strokeweight=".5pt" strokecolor="#000000">
              <v:path arrowok="t"/>
              <v:stroke dashstyle="solid"/>
            </v:shape>
            <w10:wrap type="none"/>
          </v:group>
        </w:pict>
      </w:r>
      <w:r>
        <w:rPr/>
        <w:pict>
          <v:line style="position:absolute;mso-position-horizontal-relative:page;mso-position-vertical-relative:paragraph;z-index:16047104" from="41.528999pt,5.673337pt" to="45.202999pt,5.673337pt" stroked="true" strokeweight=".5pt" strokecolor="#000000">
            <v:stroke dashstyle="solid"/>
            <w10:wrap type="none"/>
          </v:line>
        </w:pict>
      </w:r>
      <w:r>
        <w:rPr>
          <w:sz w:val="12"/>
        </w:rPr>
        <w:t>1</w:t>
      </w:r>
    </w:p>
    <w:p>
      <w:pPr>
        <w:pStyle w:val="BodyText"/>
        <w:rPr>
          <w:sz w:val="12"/>
        </w:rPr>
      </w:pPr>
    </w:p>
    <w:p>
      <w:pPr>
        <w:pStyle w:val="BodyText"/>
        <w:rPr>
          <w:sz w:val="12"/>
        </w:rPr>
      </w:pPr>
    </w:p>
    <w:p>
      <w:pPr>
        <w:pStyle w:val="BodyText"/>
        <w:spacing w:before="10"/>
        <w:rPr>
          <w:sz w:val="13"/>
        </w:rPr>
      </w:pPr>
    </w:p>
    <w:p>
      <w:pPr>
        <w:spacing w:line="133" w:lineRule="exact" w:before="1"/>
        <w:ind w:left="3711" w:right="0" w:firstLine="0"/>
        <w:jc w:val="left"/>
        <w:rPr>
          <w:sz w:val="12"/>
        </w:rPr>
      </w:pPr>
      <w:r>
        <w:rPr/>
        <w:pict>
          <v:line style="position:absolute;mso-position-horizontal-relative:page;mso-position-vertical-relative:paragraph;z-index:16046592" from="41.528999pt,4.522560pt" to="45.202999pt,4.522560pt" stroked="true" strokeweight=".5pt" strokecolor="#000000">
            <v:stroke dashstyle="solid"/>
            <w10:wrap type="none"/>
          </v:line>
        </w:pict>
      </w:r>
      <w:r>
        <w:rPr>
          <w:sz w:val="12"/>
        </w:rPr>
        <w:t>0</w:t>
      </w:r>
    </w:p>
    <w:p>
      <w:pPr>
        <w:tabs>
          <w:tab w:pos="962" w:val="left" w:leader="none"/>
          <w:tab w:pos="1560" w:val="left" w:leader="none"/>
          <w:tab w:pos="2190" w:val="left" w:leader="none"/>
          <w:tab w:pos="2821" w:val="left" w:leader="none"/>
          <w:tab w:pos="3453" w:val="left" w:leader="none"/>
        </w:tabs>
        <w:spacing w:line="133" w:lineRule="exact" w:before="0"/>
        <w:ind w:left="331" w:right="0" w:firstLine="0"/>
        <w:jc w:val="left"/>
        <w:rPr>
          <w:sz w:val="12"/>
        </w:rPr>
      </w:pPr>
      <w:r>
        <w:rPr>
          <w:sz w:val="12"/>
        </w:rPr>
        <w:t>0</w:t>
        <w:tab/>
        <w:t>5</w:t>
        <w:tab/>
        <w:t>10</w:t>
        <w:tab/>
        <w:t>15</w:t>
        <w:tab/>
        <w:t>20</w:t>
        <w:tab/>
        <w:t>25</w:t>
      </w:r>
    </w:p>
    <w:p>
      <w:pPr>
        <w:spacing w:before="77"/>
        <w:ind w:left="888" w:right="0" w:firstLine="0"/>
        <w:jc w:val="left"/>
        <w:rPr>
          <w:sz w:val="12"/>
        </w:rPr>
      </w:pPr>
      <w:r>
        <w:rPr>
          <w:color w:val="231F20"/>
          <w:sz w:val="12"/>
        </w:rPr>
        <w:t>Average annual RPIX inflation (per cent)</w:t>
      </w:r>
    </w:p>
    <w:p>
      <w:pPr>
        <w:spacing w:before="41"/>
        <w:ind w:left="190" w:right="0" w:firstLine="0"/>
        <w:jc w:val="left"/>
        <w:rPr>
          <w:sz w:val="12"/>
        </w:rPr>
      </w:pPr>
      <w:r>
        <w:rPr>
          <w:sz w:val="12"/>
        </w:rPr>
        <w:t>(a) Non-overlapping twelve-quarter periods ending in 1998 Q3.</w:t>
      </w:r>
    </w:p>
    <w:p>
      <w:pPr>
        <w:pStyle w:val="BodyText"/>
        <w:rPr>
          <w:sz w:val="12"/>
        </w:rPr>
      </w:pPr>
    </w:p>
    <w:p>
      <w:pPr>
        <w:pStyle w:val="BodyText"/>
        <w:spacing w:before="7"/>
        <w:rPr>
          <w:sz w:val="16"/>
        </w:rPr>
      </w:pPr>
    </w:p>
    <w:p>
      <w:pPr>
        <w:pStyle w:val="Heading7"/>
        <w:spacing w:before="0"/>
        <w:ind w:left="190"/>
      </w:pPr>
      <w:r>
        <w:rPr>
          <w:color w:val="0093C1"/>
        </w:rPr>
        <w:t>Chart 4.9</w:t>
      </w:r>
    </w:p>
    <w:p>
      <w:pPr>
        <w:spacing w:before="10"/>
        <w:ind w:left="190" w:right="0" w:firstLine="0"/>
        <w:jc w:val="left"/>
        <w:rPr>
          <w:b/>
          <w:sz w:val="20"/>
        </w:rPr>
      </w:pPr>
      <w:r>
        <w:rPr>
          <w:b/>
          <w:color w:val="0093C1"/>
          <w:sz w:val="20"/>
        </w:rPr>
        <w:t>Seasonal food prices</w:t>
      </w:r>
    </w:p>
    <w:p>
      <w:pPr>
        <w:spacing w:line="89" w:lineRule="exact" w:before="91"/>
        <w:ind w:left="2709" w:right="108" w:firstLine="0"/>
        <w:jc w:val="center"/>
        <w:rPr>
          <w:sz w:val="12"/>
        </w:rPr>
      </w:pPr>
      <w:r>
        <w:rPr>
          <w:sz w:val="12"/>
        </w:rPr>
        <w:t>January = 100</w:t>
      </w:r>
    </w:p>
    <w:p>
      <w:pPr>
        <w:pStyle w:val="Heading4"/>
        <w:spacing w:line="242" w:lineRule="auto" w:before="207"/>
        <w:ind w:left="190" w:right="323"/>
        <w:jc w:val="both"/>
      </w:pPr>
      <w:r>
        <w:rPr/>
        <w:br w:type="column"/>
      </w:r>
      <w:r>
        <w:rPr/>
        <w:t>non-seasonal food prices—which together make up 14% of the RPIX basket—is unlikely to persist in the </w:t>
      </w:r>
      <w:r>
        <w:rPr>
          <w:spacing w:val="-3"/>
        </w:rPr>
        <w:t>medium </w:t>
      </w:r>
      <w:r>
        <w:rPr/>
        <w:t>term. Retail food prices rose by 0.6% between</w:t>
      </w:r>
    </w:p>
    <w:p>
      <w:pPr>
        <w:spacing w:line="242" w:lineRule="auto" w:before="4"/>
        <w:ind w:left="190" w:right="322" w:firstLine="0"/>
        <w:jc w:val="left"/>
        <w:rPr>
          <w:sz w:val="24"/>
        </w:rPr>
      </w:pPr>
      <w:r>
        <w:rPr>
          <w:sz w:val="24"/>
        </w:rPr>
        <w:t>May 1996 and September 1998, compared with a 23.2% fall in domestic prices ‘at the farm gate’, and a 16.6% fall in imported food prices (see </w:t>
      </w:r>
      <w:r>
        <w:rPr>
          <w:spacing w:val="-4"/>
          <w:sz w:val="24"/>
        </w:rPr>
        <w:t>Table </w:t>
      </w:r>
      <w:r>
        <w:rPr>
          <w:sz w:val="24"/>
        </w:rPr>
        <w:t>4.A). Some of this gap is likely to reflect rises in labour and other costs incurred by food-processing companies, wholesalers </w:t>
      </w:r>
      <w:r>
        <w:rPr>
          <w:spacing w:val="-5"/>
          <w:sz w:val="24"/>
        </w:rPr>
        <w:t>and </w:t>
      </w:r>
      <w:r>
        <w:rPr>
          <w:sz w:val="24"/>
        </w:rPr>
        <w:t>retailers. But to the extent that it reflects a rise in profit margins, it may narrow in the coming months as </w:t>
      </w:r>
      <w:r>
        <w:rPr>
          <w:spacing w:val="-3"/>
          <w:sz w:val="24"/>
        </w:rPr>
        <w:t>demand </w:t>
      </w:r>
      <w:r>
        <w:rPr>
          <w:sz w:val="24"/>
        </w:rPr>
        <w:t>growth</w:t>
      </w:r>
      <w:r>
        <w:rPr>
          <w:spacing w:val="-1"/>
          <w:sz w:val="24"/>
        </w:rPr>
        <w:t> </w:t>
      </w:r>
      <w:r>
        <w:rPr>
          <w:sz w:val="24"/>
        </w:rPr>
        <w:t>slows.</w:t>
      </w:r>
    </w:p>
    <w:p>
      <w:pPr>
        <w:pStyle w:val="BodyText"/>
        <w:spacing w:before="8"/>
        <w:rPr>
          <w:sz w:val="21"/>
        </w:rPr>
      </w:pPr>
    </w:p>
    <w:p>
      <w:pPr>
        <w:spacing w:line="242" w:lineRule="auto" w:before="1"/>
        <w:ind w:left="190" w:right="309" w:firstLine="0"/>
        <w:jc w:val="left"/>
        <w:rPr>
          <w:sz w:val="24"/>
        </w:rPr>
      </w:pPr>
      <w:r>
        <w:rPr>
          <w:sz w:val="24"/>
        </w:rPr>
        <w:t>Retail price inflation can be thought of as a weighted average of domestically generated inflation (DGI) and imported inflation. When imported inflation is negative—as it has been over the past two years—DGI will exceed measured inflation in retail prices. One measure of DGI, obtained by stripping out the effects of lower import prices on RPIX,</w:t>
      </w:r>
      <w:r>
        <w:rPr>
          <w:position w:val="5"/>
          <w:sz w:val="16"/>
        </w:rPr>
        <w:t>(1) </w:t>
      </w:r>
      <w:r>
        <w:rPr>
          <w:sz w:val="24"/>
        </w:rPr>
        <w:t>rose above 5% in</w:t>
      </w:r>
    </w:p>
    <w:p>
      <w:pPr>
        <w:spacing w:before="8"/>
        <w:ind w:left="190" w:right="0" w:firstLine="0"/>
        <w:jc w:val="left"/>
        <w:rPr>
          <w:sz w:val="24"/>
        </w:rPr>
      </w:pPr>
      <w:r>
        <w:rPr>
          <w:sz w:val="24"/>
        </w:rPr>
        <w:t>1998 Q2. Other measures of DGI were also well above</w:t>
      </w:r>
    </w:p>
    <w:p>
      <w:pPr>
        <w:spacing w:after="0"/>
        <w:jc w:val="left"/>
        <w:rPr>
          <w:sz w:val="24"/>
        </w:rPr>
        <w:sectPr>
          <w:type w:val="continuous"/>
          <w:pgSz w:w="11900" w:h="16840"/>
          <w:pgMar w:top="1220" w:bottom="280" w:left="620" w:right="520"/>
          <w:cols w:num="2" w:equalWidth="0">
            <w:col w:w="3812" w:space="978"/>
            <w:col w:w="5970"/>
          </w:cols>
        </w:sectPr>
      </w:pPr>
    </w:p>
    <w:p>
      <w:pPr>
        <w:pStyle w:val="BodyText"/>
        <w:spacing w:before="3"/>
        <w:rPr>
          <w:sz w:val="8"/>
        </w:rPr>
      </w:pPr>
    </w:p>
    <w:p>
      <w:pPr>
        <w:pStyle w:val="BodyText"/>
        <w:spacing w:line="20" w:lineRule="exact"/>
        <w:ind w:left="225"/>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before="99"/>
        <w:ind w:left="298" w:right="0" w:firstLine="0"/>
        <w:jc w:val="left"/>
        <w:rPr>
          <w:sz w:val="12"/>
        </w:rPr>
      </w:pPr>
      <w:r>
        <w:rPr>
          <w:sz w:val="12"/>
        </w:rPr>
        <w:t>Jan. Feb. Mar. Apr. May June July Aug. Sept. Oct. Nov. Dec.</w:t>
      </w:r>
    </w:p>
    <w:p>
      <w:pPr>
        <w:pStyle w:val="BodyText"/>
        <w:rPr>
          <w:sz w:val="12"/>
        </w:rPr>
      </w:pPr>
    </w:p>
    <w:p>
      <w:pPr>
        <w:pStyle w:val="BodyText"/>
        <w:rPr>
          <w:sz w:val="12"/>
        </w:rPr>
      </w:pPr>
    </w:p>
    <w:p>
      <w:pPr>
        <w:pStyle w:val="BodyText"/>
        <w:spacing w:before="9"/>
        <w:rPr>
          <w:sz w:val="13"/>
        </w:rPr>
      </w:pPr>
    </w:p>
    <w:p>
      <w:pPr>
        <w:pStyle w:val="Heading7"/>
        <w:spacing w:before="0"/>
        <w:ind w:left="194"/>
      </w:pPr>
      <w:r>
        <w:rPr>
          <w:color w:val="0093C1"/>
        </w:rPr>
        <w:t>Chart 4.10</w:t>
      </w:r>
    </w:p>
    <w:p>
      <w:pPr>
        <w:spacing w:before="25"/>
        <w:ind w:left="33" w:right="0" w:firstLine="0"/>
        <w:jc w:val="left"/>
        <w:rPr>
          <w:sz w:val="12"/>
        </w:rPr>
      </w:pPr>
      <w:r>
        <w:rPr/>
        <w:br w:type="column"/>
      </w:r>
      <w:r>
        <w:rPr>
          <w:sz w:val="12"/>
        </w:rPr>
        <w:t>110.0</w:t>
      </w:r>
    </w:p>
    <w:p>
      <w:pPr>
        <w:pStyle w:val="BodyText"/>
        <w:rPr>
          <w:sz w:val="12"/>
        </w:rPr>
      </w:pPr>
    </w:p>
    <w:p>
      <w:pPr>
        <w:pStyle w:val="BodyText"/>
        <w:rPr>
          <w:sz w:val="12"/>
        </w:rPr>
      </w:pPr>
    </w:p>
    <w:p>
      <w:pPr>
        <w:spacing w:before="86"/>
        <w:ind w:left="33" w:right="0" w:firstLine="0"/>
        <w:jc w:val="left"/>
        <w:rPr>
          <w:sz w:val="12"/>
        </w:rPr>
      </w:pPr>
      <w:r>
        <w:rPr/>
        <w:pict>
          <v:group style="position:absolute;margin-left:42.5pt;margin-top:7.818756pt;width:166pt;height:106.75pt;mso-position-horizontal-relative:page;mso-position-vertical-relative:paragraph;z-index:16050176" coordorigin="850,156" coordsize="3320,2135">
            <v:shape style="position:absolute;left:1010;top:601;width:3000;height:1680" coordorigin="1010,601" coordsize="3000,1680" path="m1010,1661l1270,1441,1550,1241,1830,1401,2090,601,2370,1041,2650,2021,2910,1201,3190,1761,3470,2241,3750,2281,4010,1661e" filled="false" stroked="true" strokeweight="1pt" strokecolor="#0066a5">
              <v:path arrowok="t"/>
              <v:stroke dashstyle="solid"/>
            </v:shape>
            <v:shape style="position:absolute;left:1010;top:181;width:2180;height:1740" coordorigin="1010,181" coordsize="2180,1740" path="m1010,1661l1270,1841,1550,1921,1830,1841,2090,181,2370,881,2650,1761,2910,301,3190,1141e" filled="false" stroked="true" strokeweight="1pt" strokecolor="#ed1b2d">
              <v:path arrowok="t"/>
              <v:stroke dashstyle="solid"/>
            </v:shape>
            <v:shape style="position:absolute;left:850;top:161;width:3320;height:2000" coordorigin="850,161" coordsize="3320,2000" path="m950,2161l850,2161m950,1661l850,1661m950,1161l850,1161m950,661l850,661m950,161l850,161m4170,2161l4070,2161m4170,1661l4070,1661m4170,1161l4070,1161m4170,661l4070,661m4170,161l4070,161e" filled="false" stroked="true" strokeweight=".5pt" strokecolor="#000000">
              <v:path arrowok="t"/>
              <v:stroke dashstyle="solid"/>
            </v:shape>
            <v:shape style="position:absolute;left:3013;top:351;width:260;height:133" type="#_x0000_t202" filled="false" stroked="false">
              <v:textbox inset="0,0,0,0">
                <w:txbxContent>
                  <w:p>
                    <w:pPr>
                      <w:spacing w:line="133" w:lineRule="exact" w:before="0"/>
                      <w:ind w:left="0" w:right="0" w:firstLine="0"/>
                      <w:jc w:val="left"/>
                      <w:rPr>
                        <w:sz w:val="12"/>
                      </w:rPr>
                    </w:pPr>
                    <w:r>
                      <w:rPr>
                        <w:sz w:val="12"/>
                      </w:rPr>
                      <w:t>1998</w:t>
                    </w:r>
                  </w:p>
                </w:txbxContent>
              </v:textbox>
              <w10:wrap type="none"/>
            </v:shape>
            <v:shape style="position:absolute;left:2676;top:1944;width:487;height:253" type="#_x0000_t202" filled="false" stroked="false">
              <v:textbox inset="0,0,0,0">
                <w:txbxContent>
                  <w:p>
                    <w:pPr>
                      <w:spacing w:line="208" w:lineRule="auto" w:before="9"/>
                      <w:ind w:left="46" w:right="1" w:hanging="47"/>
                      <w:jc w:val="left"/>
                      <w:rPr>
                        <w:sz w:val="12"/>
                      </w:rPr>
                    </w:pPr>
                    <w:r>
                      <w:rPr>
                        <w:sz w:val="12"/>
                      </w:rPr>
                      <w:t>Average 1993–97</w:t>
                    </w:r>
                  </w:p>
                </w:txbxContent>
              </v:textbox>
              <w10:wrap type="none"/>
            </v:shape>
            <w10:wrap type="none"/>
          </v:group>
        </w:pict>
      </w:r>
      <w:r>
        <w:rPr/>
        <w:pict>
          <v:line style="position:absolute;mso-position-horizontal-relative:page;mso-position-vertical-relative:paragraph;z-index:16051200" from="208.5pt,-16.931244pt" to="203.5pt,-16.931244pt" stroked="true" strokeweight=".5pt" strokecolor="#000000">
            <v:stroke dashstyle="solid"/>
            <w10:wrap type="none"/>
          </v:line>
        </w:pict>
      </w:r>
      <w:r>
        <w:rPr>
          <w:sz w:val="12"/>
        </w:rPr>
        <w:t>107.5</w:t>
      </w:r>
    </w:p>
    <w:p>
      <w:pPr>
        <w:pStyle w:val="BodyText"/>
        <w:rPr>
          <w:sz w:val="12"/>
        </w:rPr>
      </w:pPr>
    </w:p>
    <w:p>
      <w:pPr>
        <w:pStyle w:val="BodyText"/>
        <w:rPr>
          <w:sz w:val="12"/>
        </w:rPr>
      </w:pPr>
    </w:p>
    <w:p>
      <w:pPr>
        <w:spacing w:before="86"/>
        <w:ind w:left="33" w:right="0" w:firstLine="0"/>
        <w:jc w:val="left"/>
        <w:rPr>
          <w:sz w:val="12"/>
        </w:rPr>
      </w:pPr>
      <w:r>
        <w:rPr>
          <w:sz w:val="12"/>
        </w:rPr>
        <w:t>105.0</w:t>
      </w:r>
    </w:p>
    <w:p>
      <w:pPr>
        <w:pStyle w:val="BodyText"/>
        <w:rPr>
          <w:sz w:val="12"/>
        </w:rPr>
      </w:pPr>
    </w:p>
    <w:p>
      <w:pPr>
        <w:pStyle w:val="BodyText"/>
        <w:rPr>
          <w:sz w:val="12"/>
        </w:rPr>
      </w:pPr>
    </w:p>
    <w:p>
      <w:pPr>
        <w:spacing w:before="86"/>
        <w:ind w:left="33" w:right="0" w:firstLine="0"/>
        <w:jc w:val="left"/>
        <w:rPr>
          <w:sz w:val="12"/>
        </w:rPr>
      </w:pPr>
      <w:r>
        <w:rPr>
          <w:sz w:val="12"/>
        </w:rPr>
        <w:t>102.5</w:t>
      </w:r>
    </w:p>
    <w:p>
      <w:pPr>
        <w:pStyle w:val="BodyText"/>
        <w:rPr>
          <w:sz w:val="12"/>
        </w:rPr>
      </w:pPr>
    </w:p>
    <w:p>
      <w:pPr>
        <w:pStyle w:val="BodyText"/>
        <w:rPr>
          <w:sz w:val="12"/>
        </w:rPr>
      </w:pPr>
    </w:p>
    <w:p>
      <w:pPr>
        <w:spacing w:before="86"/>
        <w:ind w:left="33" w:right="0" w:firstLine="0"/>
        <w:jc w:val="left"/>
        <w:rPr>
          <w:sz w:val="12"/>
        </w:rPr>
      </w:pPr>
      <w:r>
        <w:rPr>
          <w:sz w:val="12"/>
        </w:rPr>
        <w:t>100.0</w:t>
      </w:r>
    </w:p>
    <w:p>
      <w:pPr>
        <w:pStyle w:val="BodyText"/>
        <w:rPr>
          <w:sz w:val="12"/>
        </w:rPr>
      </w:pPr>
    </w:p>
    <w:p>
      <w:pPr>
        <w:pStyle w:val="BodyText"/>
        <w:rPr>
          <w:sz w:val="12"/>
        </w:rPr>
      </w:pPr>
    </w:p>
    <w:p>
      <w:pPr>
        <w:spacing w:before="86"/>
        <w:ind w:left="93" w:right="0" w:firstLine="0"/>
        <w:jc w:val="left"/>
        <w:rPr>
          <w:sz w:val="12"/>
        </w:rPr>
      </w:pPr>
      <w:r>
        <w:rPr>
          <w:sz w:val="12"/>
        </w:rPr>
        <w:t>97.5</w:t>
      </w:r>
    </w:p>
    <w:p>
      <w:pPr>
        <w:pStyle w:val="BodyText"/>
        <w:rPr>
          <w:sz w:val="12"/>
        </w:rPr>
      </w:pPr>
    </w:p>
    <w:p>
      <w:pPr>
        <w:pStyle w:val="BodyText"/>
        <w:rPr>
          <w:sz w:val="12"/>
        </w:rPr>
      </w:pPr>
    </w:p>
    <w:p>
      <w:pPr>
        <w:spacing w:before="86"/>
        <w:ind w:left="93" w:right="0" w:firstLine="0"/>
        <w:jc w:val="left"/>
        <w:rPr>
          <w:sz w:val="12"/>
        </w:rPr>
      </w:pPr>
      <w:r>
        <w:rPr/>
        <w:pict>
          <v:shape style="position:absolute;margin-left:42.5pt;margin-top:3.068359pt;width:166pt;height:5pt;mso-position-horizontal-relative:page;mso-position-vertical-relative:paragraph;z-index:16050688" coordorigin="850,61" coordsize="3320,100" path="m950,161l850,161m4170,161l4070,161m1010,161l4010,161m1010,161l1010,121m1270,161l1270,121m1550,161l1550,121m1830,161l1830,121m2090,161l2090,121m2370,161l2370,121m2650,161l2650,121m2910,161l2910,121m3190,161l3190,121m3470,161l3470,121m3730,161l3730,121m4010,161l4010,121m1010,161l1010,61e" filled="false" stroked="true" strokeweight=".5pt" strokecolor="#000000">
            <v:path arrowok="t"/>
            <v:stroke dashstyle="solid"/>
            <w10:wrap type="none"/>
          </v:shape>
        </w:pict>
      </w:r>
      <w:r>
        <w:rPr>
          <w:sz w:val="12"/>
        </w:rPr>
        <w:t>95.0</w:t>
      </w:r>
    </w:p>
    <w:p>
      <w:pPr>
        <w:pStyle w:val="Heading4"/>
        <w:spacing w:line="266" w:lineRule="exact"/>
        <w:ind w:left="194"/>
      </w:pPr>
      <w:r>
        <w:rPr/>
        <w:br w:type="column"/>
      </w:r>
      <w:r>
        <w:rPr/>
        <w:t>2.5% (see Chart 4.10).</w:t>
      </w:r>
    </w:p>
    <w:p>
      <w:pPr>
        <w:pStyle w:val="BodyText"/>
        <w:spacing w:before="2"/>
        <w:rPr>
          <w:sz w:val="21"/>
        </w:rPr>
      </w:pPr>
    </w:p>
    <w:p>
      <w:pPr>
        <w:spacing w:line="242" w:lineRule="auto" w:before="0"/>
        <w:ind w:left="194" w:right="327" w:firstLine="0"/>
        <w:jc w:val="left"/>
        <w:rPr>
          <w:sz w:val="24"/>
        </w:rPr>
      </w:pPr>
      <w:r>
        <w:rPr>
          <w:sz w:val="24"/>
        </w:rPr>
        <w:t>The gap between RPIX and headline RPI inflation should narrow over the remainder of 1998, as the reductions in official interest rates in October and November feed through into lower mortgage rates, and the effects of last year’s interest rate rises fall out of the annual comparison.</w:t>
      </w:r>
    </w:p>
    <w:p>
      <w:pPr>
        <w:pStyle w:val="BodyText"/>
        <w:spacing w:before="8"/>
        <w:rPr>
          <w:sz w:val="28"/>
        </w:rPr>
      </w:pPr>
    </w:p>
    <w:p>
      <w:pPr>
        <w:pStyle w:val="ListParagraph"/>
        <w:numPr>
          <w:ilvl w:val="1"/>
          <w:numId w:val="32"/>
        </w:numPr>
        <w:tabs>
          <w:tab w:pos="3188" w:val="left" w:leader="none"/>
          <w:tab w:pos="3189" w:val="left" w:leader="none"/>
          <w:tab w:pos="5694" w:val="left" w:leader="none"/>
        </w:tabs>
        <w:spacing w:line="240" w:lineRule="auto" w:before="0" w:after="0"/>
        <w:ind w:left="3188" w:right="0" w:hanging="2995"/>
        <w:jc w:val="left"/>
        <w:rPr>
          <w:b/>
          <w:sz w:val="28"/>
        </w:rPr>
      </w:pPr>
      <w:r>
        <w:rPr>
          <w:b/>
          <w:color w:val="009483"/>
          <w:sz w:val="28"/>
          <w:u w:val="thick" w:color="0093C1"/>
        </w:rPr>
        <w:t>Other price indices</w:t>
        <w:tab/>
      </w:r>
    </w:p>
    <w:p>
      <w:pPr>
        <w:spacing w:line="242" w:lineRule="auto" w:before="264"/>
        <w:ind w:left="194" w:right="489" w:firstLine="0"/>
        <w:jc w:val="left"/>
        <w:rPr>
          <w:sz w:val="24"/>
        </w:rPr>
      </w:pPr>
      <w:r>
        <w:rPr>
          <w:sz w:val="24"/>
        </w:rPr>
        <w:t>Other measures of retail price inflation were flat or fell slightly during 1998 Q3 (see Table 4.C). Annual inflation in the Harmonised Index of Consumer Prices</w:t>
      </w:r>
    </w:p>
    <w:p>
      <w:pPr>
        <w:spacing w:after="0" w:line="242" w:lineRule="auto"/>
        <w:jc w:val="left"/>
        <w:rPr>
          <w:sz w:val="24"/>
        </w:rPr>
        <w:sectPr>
          <w:type w:val="continuous"/>
          <w:pgSz w:w="11900" w:h="16840"/>
          <w:pgMar w:top="1220" w:bottom="280" w:left="620" w:right="520"/>
          <w:cols w:num="3" w:equalWidth="0">
            <w:col w:w="3505" w:space="40"/>
            <w:col w:w="344" w:space="897"/>
            <w:col w:w="5974"/>
          </w:cols>
        </w:sectPr>
      </w:pPr>
    </w:p>
    <w:p>
      <w:pPr>
        <w:pStyle w:val="Heading7"/>
        <w:spacing w:line="220" w:lineRule="exact" w:before="0"/>
        <w:ind w:left="194"/>
      </w:pPr>
      <w:r>
        <w:rPr>
          <w:color w:val="0093C1"/>
        </w:rPr>
        <w:t>Measures of domestically generated inflation</w:t>
      </w:r>
    </w:p>
    <w:p>
      <w:pPr>
        <w:spacing w:line="122" w:lineRule="exact" w:before="151"/>
        <w:ind w:left="1953" w:right="0" w:firstLine="0"/>
        <w:jc w:val="left"/>
        <w:rPr>
          <w:sz w:val="12"/>
        </w:rPr>
      </w:pPr>
      <w:r>
        <w:rPr>
          <w:sz w:val="12"/>
        </w:rPr>
        <w:t>Percentage changes on a year earlier</w:t>
      </w:r>
    </w:p>
    <w:p>
      <w:pPr>
        <w:spacing w:line="122" w:lineRule="exact" w:before="0"/>
        <w:ind w:left="3752" w:right="0" w:firstLine="0"/>
        <w:jc w:val="left"/>
        <w:rPr>
          <w:sz w:val="12"/>
        </w:rPr>
      </w:pPr>
      <w:r>
        <w:rPr/>
        <w:pict>
          <v:group style="position:absolute;margin-left:52.720001pt;margin-top:8.818955pt;width:152.75pt;height:132pt;mso-position-horizontal-relative:page;mso-position-vertical-relative:paragraph;z-index:16053760" coordorigin="1054,176" coordsize="3055,2640">
            <v:line style="position:absolute" from="1064,2686" to="4084,2686" stroked="true" strokeweight=".5pt" strokecolor="#000000">
              <v:stroke dashstyle="solid"/>
            </v:line>
            <v:shape style="position:absolute;left:1064;top:446;width:3020;height:2040" coordorigin="1064,446" coordsize="3020,2040" path="m1064,746l1184,446,1304,806,1424,1866,1544,2166,1664,2426,1784,2326,1904,1766,2024,1726,2144,2366,2264,2486,2384,2246,2504,2326,2624,1906,2744,1546,2884,1826,2984,1526,3104,1106,3244,1106,3484,1146,3584,1346,3724,1106,3844,1286,3964,1366,4084,1266e" filled="false" stroked="true" strokeweight="1pt" strokecolor="#008256">
              <v:path arrowok="t"/>
              <v:stroke dashstyle="solid"/>
            </v:shape>
            <v:shape style="position:absolute;left:1064;top:326;width:3020;height:2480" coordorigin="1064,326" coordsize="3020,2480" path="m1064,326l1184,706,1304,626,1424,886,1544,1426,1664,1686,1784,2366,1904,2226,2024,2546,2144,2666,2264,2746,2384,2806,2504,2326,2744,2246,2884,2626,2984,2286,3104,2246,3244,2406,3364,1946,3484,1866,3584,1806,3724,1266,3844,1366,3964,1506,4084,1146e" filled="false" stroked="true" strokeweight="1pt" strokecolor="#faab54">
              <v:path arrowok="t"/>
              <v:stroke dashstyle="solid"/>
            </v:shape>
            <v:shape style="position:absolute;left:1064;top:186;width:3020;height:2120" coordorigin="1064,186" coordsize="3020,2120" path="m1064,186l1184,186,1304,486,1424,1306,1544,1886,1664,2306,1784,2126,1904,1866,2024,1526,2144,1746,2264,2106,2384,2026,2504,1966,2624,2006,2744,1866,2884,1846,2984,1726,3104,1606,3244,1166,3364,846,3584,626,3724,646,3844,746,3964,826,4084,746e" filled="false" stroked="true" strokeweight="1pt" strokecolor="#ed1b2d">
              <v:path arrowok="t"/>
              <v:stroke dashstyle="solid"/>
            </v:shape>
            <v:shape style="position:absolute;left:3026;top:356;width:797;height:233" type="#_x0000_t202" filled="false" stroked="false">
              <v:textbox inset="0,0,0,0">
                <w:txbxContent>
                  <w:p>
                    <w:pPr>
                      <w:spacing w:line="172" w:lineRule="auto" w:before="26"/>
                      <w:ind w:left="90" w:right="1" w:hanging="91"/>
                      <w:jc w:val="left"/>
                      <w:rPr>
                        <w:sz w:val="12"/>
                      </w:rPr>
                    </w:pPr>
                    <w:r>
                      <w:rPr>
                        <w:sz w:val="12"/>
                      </w:rPr>
                      <w:t>RPIX excluding import prices</w:t>
                    </w:r>
                  </w:p>
                </w:txbxContent>
              </v:textbox>
              <w10:wrap type="none"/>
            </v:shape>
            <v:shape style="position:absolute;left:2092;top:1136;width:922;height:327" type="#_x0000_t202" filled="false" stroked="false">
              <v:textbox inset="0,0,0,0">
                <w:txbxContent>
                  <w:p>
                    <w:pPr>
                      <w:spacing w:line="168" w:lineRule="auto" w:before="28"/>
                      <w:ind w:left="91" w:right="1" w:hanging="92"/>
                      <w:jc w:val="left"/>
                      <w:rPr>
                        <w:sz w:val="12"/>
                      </w:rPr>
                    </w:pPr>
                    <w:r>
                      <w:rPr>
                        <w:sz w:val="12"/>
                      </w:rPr>
                      <w:t>GDP deflator excluding export prices (a)</w:t>
                    </w:r>
                  </w:p>
                </w:txbxContent>
              </v:textbox>
              <w10:wrap type="none"/>
            </v:shape>
            <v:shape style="position:absolute;left:3331;top:2089;width:779;height:524" type="#_x0000_t202" filled="false" stroked="false">
              <v:textbox inset="0,0,0,0">
                <w:txbxContent>
                  <w:p>
                    <w:pPr>
                      <w:spacing w:line="170" w:lineRule="auto" w:before="27"/>
                      <w:ind w:left="88" w:right="1" w:hanging="89"/>
                      <w:jc w:val="left"/>
                      <w:rPr>
                        <w:sz w:val="12"/>
                      </w:rPr>
                    </w:pPr>
                    <w:r>
                      <w:rPr>
                        <w:sz w:val="12"/>
                      </w:rPr>
                      <w:t>Unit labour costs adjusted for trend productivity</w:t>
                    </w:r>
                  </w:p>
                  <w:p>
                    <w:pPr>
                      <w:spacing w:line="104" w:lineRule="exact" w:before="0"/>
                      <w:ind w:left="88" w:right="0" w:firstLine="0"/>
                      <w:jc w:val="left"/>
                      <w:rPr>
                        <w:sz w:val="12"/>
                      </w:rPr>
                    </w:pPr>
                    <w:r>
                      <w:rPr>
                        <w:sz w:val="12"/>
                      </w:rPr>
                      <w:t>(a) (b)</w:t>
                    </w:r>
                  </w:p>
                </w:txbxContent>
              </v:textbox>
              <w10:wrap type="none"/>
            </v:shape>
            <w10:wrap type="none"/>
          </v:group>
        </w:pict>
      </w:r>
      <w:r>
        <w:rPr/>
        <w:pict>
          <v:line style="position:absolute;mso-position-horizontal-relative:page;mso-position-vertical-relative:paragraph;z-index:16058368" from="48.053001pt,3.318955pt" to="43.053001pt,3.318955pt" stroked="true" strokeweight=".5pt" strokecolor="#000000">
            <v:stroke dashstyle="solid"/>
            <w10:wrap type="none"/>
          </v:line>
        </w:pict>
      </w:r>
      <w:r>
        <w:rPr/>
        <w:pict>
          <v:line style="position:absolute;mso-position-horizontal-relative:page;mso-position-vertical-relative:paragraph;z-index:16062976" from="216.074005pt,3.318955pt" to="211.074005pt,3.318955pt" stroked="true" strokeweight=".5pt" strokecolor="#000000">
            <v:stroke dashstyle="solid"/>
            <w10:wrap type="none"/>
          </v:line>
        </w:pict>
      </w:r>
      <w:r>
        <w:rPr>
          <w:sz w:val="12"/>
        </w:rPr>
        <w:t>7</w:t>
      </w:r>
    </w:p>
    <w:p>
      <w:pPr>
        <w:pStyle w:val="BodyText"/>
        <w:rPr>
          <w:sz w:val="12"/>
        </w:rPr>
      </w:pPr>
    </w:p>
    <w:p>
      <w:pPr>
        <w:spacing w:before="84"/>
        <w:ind w:left="0" w:right="241" w:firstLine="0"/>
        <w:jc w:val="right"/>
        <w:rPr>
          <w:sz w:val="12"/>
        </w:rPr>
      </w:pPr>
      <w:r>
        <w:rPr/>
        <w:pict>
          <v:line style="position:absolute;mso-position-horizontal-relative:page;mso-position-vertical-relative:paragraph;z-index:16057856" from="48.053001pt,8.302769pt" to="43.053001pt,8.302769pt" stroked="true" strokeweight=".5pt" strokecolor="#000000">
            <v:stroke dashstyle="solid"/>
            <w10:wrap type="none"/>
          </v:line>
        </w:pict>
      </w:r>
      <w:r>
        <w:rPr/>
        <w:pict>
          <v:line style="position:absolute;mso-position-horizontal-relative:page;mso-position-vertical-relative:paragraph;z-index:16062464" from="216.074005pt,8.302769pt" to="211.074005pt,8.302769pt" stroked="true" strokeweight=".5pt" strokecolor="#000000">
            <v:stroke dashstyle="solid"/>
            <w10:wrap type="none"/>
          </v:line>
        </w:pict>
      </w:r>
      <w:r>
        <w:rPr>
          <w:sz w:val="12"/>
        </w:rPr>
        <w:t>6</w:t>
      </w:r>
    </w:p>
    <w:p>
      <w:pPr>
        <w:pStyle w:val="BodyText"/>
        <w:rPr>
          <w:sz w:val="12"/>
        </w:rPr>
      </w:pPr>
    </w:p>
    <w:p>
      <w:pPr>
        <w:spacing w:before="104"/>
        <w:ind w:left="0" w:right="241" w:firstLine="0"/>
        <w:jc w:val="right"/>
        <w:rPr>
          <w:sz w:val="12"/>
        </w:rPr>
      </w:pPr>
      <w:r>
        <w:rPr/>
        <w:pict>
          <v:line style="position:absolute;mso-position-horizontal-relative:page;mso-position-vertical-relative:paragraph;z-index:16057344" from="48.053001pt,9.302555pt" to="43.053001pt,9.302555pt" stroked="true" strokeweight=".5pt" strokecolor="#000000">
            <v:stroke dashstyle="solid"/>
            <w10:wrap type="none"/>
          </v:line>
        </w:pict>
      </w:r>
      <w:r>
        <w:rPr/>
        <w:pict>
          <v:line style="position:absolute;mso-position-horizontal-relative:page;mso-position-vertical-relative:paragraph;z-index:16061952" from="216.074005pt,9.302555pt" to="211.074005pt,9.302555pt" stroked="true" strokeweight=".5pt" strokecolor="#000000">
            <v:stroke dashstyle="solid"/>
            <w10:wrap type="none"/>
          </v:line>
        </w:pict>
      </w:r>
      <w:r>
        <w:rPr>
          <w:sz w:val="12"/>
        </w:rPr>
        <w:t>5</w:t>
      </w:r>
    </w:p>
    <w:p>
      <w:pPr>
        <w:pStyle w:val="BodyText"/>
        <w:rPr>
          <w:sz w:val="12"/>
        </w:rPr>
      </w:pPr>
    </w:p>
    <w:p>
      <w:pPr>
        <w:spacing w:before="104"/>
        <w:ind w:left="0" w:right="241" w:firstLine="0"/>
        <w:jc w:val="right"/>
        <w:rPr>
          <w:sz w:val="12"/>
        </w:rPr>
      </w:pPr>
      <w:r>
        <w:rPr/>
        <w:pict>
          <v:line style="position:absolute;mso-position-horizontal-relative:page;mso-position-vertical-relative:paragraph;z-index:16056832" from="48.053001pt,9.302357pt" to="43.053001pt,9.302357pt" stroked="true" strokeweight=".5pt" strokecolor="#000000">
            <v:stroke dashstyle="solid"/>
            <w10:wrap type="none"/>
          </v:line>
        </w:pict>
      </w:r>
      <w:r>
        <w:rPr/>
        <w:pict>
          <v:line style="position:absolute;mso-position-horizontal-relative:page;mso-position-vertical-relative:paragraph;z-index:16061440" from="216.074005pt,9.302357pt" to="211.074005pt,9.302357pt" stroked="true" strokeweight=".5pt" strokecolor="#000000">
            <v:stroke dashstyle="solid"/>
            <w10:wrap type="none"/>
          </v:line>
        </w:pict>
      </w:r>
      <w:r>
        <w:rPr>
          <w:sz w:val="12"/>
        </w:rPr>
        <w:t>4</w:t>
      </w:r>
    </w:p>
    <w:p>
      <w:pPr>
        <w:pStyle w:val="BodyText"/>
        <w:rPr>
          <w:sz w:val="12"/>
        </w:rPr>
      </w:pPr>
    </w:p>
    <w:p>
      <w:pPr>
        <w:spacing w:before="104"/>
        <w:ind w:left="0" w:right="241" w:firstLine="0"/>
        <w:jc w:val="right"/>
        <w:rPr>
          <w:sz w:val="12"/>
        </w:rPr>
      </w:pPr>
      <w:r>
        <w:rPr/>
        <w:pict>
          <v:line style="position:absolute;mso-position-horizontal-relative:page;mso-position-vertical-relative:paragraph;z-index:16056320" from="48.053001pt,9.302158pt" to="43.053001pt,9.302158pt" stroked="true" strokeweight=".5pt" strokecolor="#000000">
            <v:stroke dashstyle="solid"/>
            <w10:wrap type="none"/>
          </v:line>
        </w:pict>
      </w:r>
      <w:r>
        <w:rPr/>
        <w:pict>
          <v:line style="position:absolute;mso-position-horizontal-relative:page;mso-position-vertical-relative:paragraph;z-index:16060928" from="216.074005pt,9.302158pt" to="211.074005pt,9.302158pt" stroked="true" strokeweight=".5pt" strokecolor="#000000">
            <v:stroke dashstyle="solid"/>
            <w10:wrap type="none"/>
          </v:line>
        </w:pict>
      </w:r>
      <w:r>
        <w:rPr>
          <w:sz w:val="12"/>
        </w:rPr>
        <w:t>3</w:t>
      </w:r>
    </w:p>
    <w:p>
      <w:pPr>
        <w:pStyle w:val="BodyText"/>
        <w:rPr>
          <w:sz w:val="12"/>
        </w:rPr>
      </w:pPr>
    </w:p>
    <w:p>
      <w:pPr>
        <w:spacing w:before="104"/>
        <w:ind w:left="0" w:right="241" w:firstLine="0"/>
        <w:jc w:val="right"/>
        <w:rPr>
          <w:sz w:val="12"/>
        </w:rPr>
      </w:pPr>
      <w:r>
        <w:rPr/>
        <w:pict>
          <v:line style="position:absolute;mso-position-horizontal-relative:page;mso-position-vertical-relative:paragraph;z-index:16055808" from="48.053001pt,9.301960pt" to="43.053001pt,9.301960pt" stroked="true" strokeweight=".5pt" strokecolor="#000000">
            <v:stroke dashstyle="solid"/>
            <w10:wrap type="none"/>
          </v:line>
        </w:pict>
      </w:r>
      <w:r>
        <w:rPr/>
        <w:pict>
          <v:line style="position:absolute;mso-position-horizontal-relative:page;mso-position-vertical-relative:paragraph;z-index:16060416" from="216.074005pt,9.301960pt" to="211.074005pt,9.301960pt" stroked="true" strokeweight=".5pt" strokecolor="#000000">
            <v:stroke dashstyle="solid"/>
            <w10:wrap type="none"/>
          </v:line>
        </w:pict>
      </w:r>
      <w:r>
        <w:rPr>
          <w:sz w:val="12"/>
        </w:rPr>
        <w:t>2</w:t>
      </w:r>
    </w:p>
    <w:p>
      <w:pPr>
        <w:pStyle w:val="BodyText"/>
        <w:rPr>
          <w:sz w:val="12"/>
        </w:rPr>
      </w:pPr>
    </w:p>
    <w:p>
      <w:pPr>
        <w:spacing w:before="84"/>
        <w:ind w:left="0" w:right="241" w:firstLine="0"/>
        <w:jc w:val="right"/>
        <w:rPr>
          <w:sz w:val="12"/>
        </w:rPr>
      </w:pPr>
      <w:r>
        <w:rPr/>
        <w:pict>
          <v:line style="position:absolute;mso-position-horizontal-relative:page;mso-position-vertical-relative:paragraph;z-index:16055296" from="48.053001pt,8.301960pt" to="43.053001pt,8.301960pt" stroked="true" strokeweight=".5pt" strokecolor="#000000">
            <v:stroke dashstyle="solid"/>
            <w10:wrap type="none"/>
          </v:line>
        </w:pict>
      </w:r>
      <w:r>
        <w:rPr/>
        <w:pict>
          <v:line style="position:absolute;mso-position-horizontal-relative:page;mso-position-vertical-relative:paragraph;z-index:16059904" from="216.074005pt,8.301960pt" to="211.074005pt,8.301960pt" stroked="true" strokeweight=".5pt" strokecolor="#000000">
            <v:stroke dashstyle="solid"/>
            <w10:wrap type="none"/>
          </v:line>
        </w:pict>
      </w:r>
      <w:r>
        <w:rPr>
          <w:sz w:val="12"/>
        </w:rPr>
        <w:t>1</w:t>
      </w:r>
    </w:p>
    <w:p>
      <w:pPr>
        <w:pStyle w:val="Heading4"/>
        <w:spacing w:line="242" w:lineRule="auto" w:before="4"/>
        <w:ind w:left="194" w:right="320"/>
      </w:pPr>
      <w:r>
        <w:rPr/>
        <w:br w:type="column"/>
      </w:r>
      <w:r>
        <w:rPr/>
        <w:t>(H</w:t>
      </w:r>
      <w:r>
        <w:rPr>
          <w:sz w:val="20"/>
        </w:rPr>
        <w:t>ICP</w:t>
      </w:r>
      <w:r>
        <w:rPr/>
        <w:t>) was 1.3% in August, the same as the average across all 15 Member States of the European Union. It rose slightly to 1.5% in September.</w:t>
      </w:r>
    </w:p>
    <w:p>
      <w:pPr>
        <w:pStyle w:val="BodyText"/>
        <w:spacing w:before="2"/>
        <w:rPr>
          <w:sz w:val="21"/>
        </w:rPr>
      </w:pPr>
    </w:p>
    <w:p>
      <w:pPr>
        <w:spacing w:line="242" w:lineRule="auto" w:before="0"/>
        <w:ind w:left="194" w:right="320" w:firstLine="0"/>
        <w:jc w:val="left"/>
        <w:rPr>
          <w:sz w:val="24"/>
        </w:rPr>
      </w:pPr>
      <w:r>
        <w:rPr>
          <w:sz w:val="24"/>
        </w:rPr>
        <w:t>The National Accounts revisions had relatively little impact on the aggregate GDP deflators, which measure whole-economy inflation. Annual inflation in the headline GDP deflator at market prices was revised up slightly in 1998 Q1 from 1.9% to 2.2%, and was 2.4% in Q2.</w:t>
      </w:r>
    </w:p>
    <w:p>
      <w:pPr>
        <w:spacing w:after="0" w:line="242" w:lineRule="auto"/>
        <w:jc w:val="left"/>
        <w:rPr>
          <w:sz w:val="24"/>
        </w:rPr>
        <w:sectPr>
          <w:type w:val="continuous"/>
          <w:pgSz w:w="11900" w:h="16840"/>
          <w:pgMar w:top="1220" w:bottom="280" w:left="620" w:right="520"/>
          <w:cols w:num="2" w:equalWidth="0">
            <w:col w:w="4056" w:space="729"/>
            <w:col w:w="5975"/>
          </w:cols>
        </w:sectPr>
      </w:pPr>
    </w:p>
    <w:p>
      <w:pPr>
        <w:spacing w:before="25"/>
        <w:ind w:left="3644" w:right="0" w:firstLine="0"/>
        <w:jc w:val="left"/>
        <w:rPr>
          <w:sz w:val="16"/>
        </w:rPr>
      </w:pPr>
      <w:r>
        <w:rPr>
          <w:sz w:val="16"/>
        </w:rPr>
        <w:t>+</w:t>
      </w:r>
    </w:p>
    <w:p>
      <w:pPr>
        <w:spacing w:line="110" w:lineRule="exact" w:before="33"/>
        <w:ind w:left="3752" w:right="0" w:firstLine="0"/>
        <w:jc w:val="left"/>
        <w:rPr>
          <w:sz w:val="12"/>
        </w:rPr>
      </w:pPr>
      <w:r>
        <w:rPr/>
        <w:pict>
          <v:line style="position:absolute;mso-position-horizontal-relative:page;mso-position-vertical-relative:paragraph;z-index:16054784" from="48.053001pt,5.751761pt" to="43.053001pt,5.751761pt" stroked="true" strokeweight=".5pt" strokecolor="#000000">
            <v:stroke dashstyle="solid"/>
            <w10:wrap type="none"/>
          </v:line>
        </w:pict>
      </w:r>
      <w:r>
        <w:rPr/>
        <w:pict>
          <v:line style="position:absolute;mso-position-horizontal-relative:page;mso-position-vertical-relative:paragraph;z-index:16059392" from="216.074005pt,5.751761pt" to="211.074005pt,5.751761pt" stroked="true" strokeweight=".5pt" strokecolor="#000000">
            <v:stroke dashstyle="solid"/>
            <w10:wrap type="none"/>
          </v:line>
        </w:pict>
      </w:r>
      <w:r>
        <w:rPr>
          <w:sz w:val="12"/>
        </w:rPr>
        <w:t>0</w:t>
      </w:r>
    </w:p>
    <w:p>
      <w:pPr>
        <w:spacing w:line="156" w:lineRule="exact" w:before="0"/>
        <w:ind w:left="3654" w:right="0" w:firstLine="0"/>
        <w:jc w:val="left"/>
        <w:rPr>
          <w:sz w:val="16"/>
        </w:rPr>
      </w:pPr>
      <w:r>
        <w:rPr>
          <w:sz w:val="16"/>
        </w:rPr>
        <w:t>_</w:t>
      </w:r>
    </w:p>
    <w:p>
      <w:pPr>
        <w:spacing w:line="126" w:lineRule="exact" w:before="113"/>
        <w:ind w:left="3752" w:right="0" w:firstLine="0"/>
        <w:jc w:val="left"/>
        <w:rPr>
          <w:sz w:val="12"/>
        </w:rPr>
      </w:pPr>
      <w:r>
        <w:rPr/>
        <w:pict>
          <v:shape style="position:absolute;margin-left:53.220001pt;margin-top:4.751563pt;width:151pt;height:5pt;mso-position-horizontal-relative:page;mso-position-vertical-relative:paragraph;z-index:16051712" coordorigin="1064,95" coordsize="3020,100" path="m3964,195l3964,95m3484,195l3484,95m2984,195l2984,95m2504,195l2504,95m2024,195l2024,95m1544,195l1544,95m1064,195l1064,95m1064,195l4084,195m1184,195l1184,155m1304,195l1304,155m1424,195l1424,155m1664,195l1664,155m1784,195l1784,155m1904,195l1904,155m2144,195l2144,155m2264,195l2264,155m2384,195l2384,155m2624,195l2624,155m2744,195l2744,155m2864,195l2864,155m3109,195l3109,155m3234,195l3234,155m3359,195l3359,155m3604,195l3604,155m3724,195l3724,155m3844,195l3844,155m4084,195l4084,155e" filled="false" stroked="true" strokeweight=".5pt" strokecolor="#000000">
            <v:path arrowok="t"/>
            <v:stroke dashstyle="solid"/>
            <w10:wrap type="none"/>
          </v:shape>
        </w:pict>
      </w:r>
      <w:r>
        <w:rPr/>
        <w:pict>
          <v:line style="position:absolute;mso-position-horizontal-relative:page;mso-position-vertical-relative:paragraph;z-index:16054272" from="48.053001pt,9.751563pt" to="43.053001pt,9.751563pt" stroked="true" strokeweight=".5pt" strokecolor="#000000">
            <v:stroke dashstyle="solid"/>
            <w10:wrap type="none"/>
          </v:line>
        </w:pict>
      </w:r>
      <w:r>
        <w:rPr/>
        <w:pict>
          <v:line style="position:absolute;mso-position-horizontal-relative:page;mso-position-vertical-relative:paragraph;z-index:16058880" from="216.074005pt,9.751563pt" to="211.074005pt,9.751563pt" stroked="true" strokeweight=".5pt" strokecolor="#000000">
            <v:stroke dashstyle="solid"/>
            <w10:wrap type="none"/>
          </v:line>
        </w:pict>
      </w:r>
      <w:r>
        <w:rPr>
          <w:sz w:val="12"/>
        </w:rPr>
        <w:t>1</w:t>
      </w:r>
    </w:p>
    <w:p>
      <w:pPr>
        <w:tabs>
          <w:tab w:pos="1099" w:val="left" w:leader="none"/>
          <w:tab w:pos="1579" w:val="left" w:leader="none"/>
          <w:tab w:pos="2059" w:val="left" w:leader="none"/>
          <w:tab w:pos="2539" w:val="left" w:leader="none"/>
          <w:tab w:pos="3059" w:val="left" w:leader="none"/>
          <w:tab w:pos="3387" w:val="left" w:leader="none"/>
        </w:tabs>
        <w:spacing w:line="126" w:lineRule="exact" w:before="0"/>
        <w:ind w:left="544" w:right="0" w:firstLine="0"/>
        <w:jc w:val="left"/>
        <w:rPr>
          <w:sz w:val="12"/>
        </w:rPr>
      </w:pPr>
      <w:r>
        <w:rPr>
          <w:sz w:val="12"/>
        </w:rPr>
        <w:t>1992</w:t>
        <w:tab/>
        <w:t>93</w:t>
        <w:tab/>
        <w:t>94</w:t>
        <w:tab/>
        <w:t>95</w:t>
        <w:tab/>
        <w:t>96</w:t>
        <w:tab/>
        <w:t>97</w:t>
        <w:tab/>
        <w:t>98</w:t>
      </w:r>
    </w:p>
    <w:p>
      <w:pPr>
        <w:pStyle w:val="BodyText"/>
        <w:rPr>
          <w:sz w:val="13"/>
        </w:rPr>
      </w:pPr>
    </w:p>
    <w:p>
      <w:pPr>
        <w:pStyle w:val="ListParagraph"/>
        <w:numPr>
          <w:ilvl w:val="0"/>
          <w:numId w:val="33"/>
        </w:numPr>
        <w:tabs>
          <w:tab w:pos="455" w:val="left" w:leader="none"/>
        </w:tabs>
        <w:spacing w:line="129" w:lineRule="exact" w:before="0" w:after="0"/>
        <w:ind w:left="454" w:right="0" w:hanging="241"/>
        <w:jc w:val="left"/>
        <w:rPr>
          <w:sz w:val="12"/>
        </w:rPr>
      </w:pPr>
      <w:r>
        <w:rPr>
          <w:sz w:val="12"/>
        </w:rPr>
        <w:t>Using GDP measured at basic prices.</w:t>
      </w:r>
    </w:p>
    <w:p>
      <w:pPr>
        <w:pStyle w:val="ListParagraph"/>
        <w:numPr>
          <w:ilvl w:val="0"/>
          <w:numId w:val="33"/>
        </w:numPr>
        <w:tabs>
          <w:tab w:pos="455" w:val="left" w:leader="none"/>
        </w:tabs>
        <w:spacing w:line="129" w:lineRule="exact" w:before="0" w:after="0"/>
        <w:ind w:left="454" w:right="0" w:hanging="241"/>
        <w:jc w:val="left"/>
        <w:rPr>
          <w:sz w:val="12"/>
        </w:rPr>
      </w:pPr>
      <w:r>
        <w:rPr>
          <w:sz w:val="12"/>
        </w:rPr>
        <w:t>Using National Accounts measure of employee compensation.</w:t>
      </w:r>
    </w:p>
    <w:p>
      <w:pPr>
        <w:pStyle w:val="Heading2"/>
        <w:numPr>
          <w:ilvl w:val="1"/>
          <w:numId w:val="32"/>
        </w:numPr>
        <w:tabs>
          <w:tab w:pos="4312" w:val="left" w:leader="none"/>
          <w:tab w:pos="4313" w:val="left" w:leader="none"/>
          <w:tab w:pos="5714" w:val="left" w:leader="none"/>
        </w:tabs>
        <w:spacing w:line="240" w:lineRule="auto" w:before="191" w:after="0"/>
        <w:ind w:left="4312" w:right="0" w:hanging="4099"/>
        <w:jc w:val="left"/>
      </w:pPr>
      <w:r>
        <w:rPr>
          <w:color w:val="009483"/>
          <w:u w:val="thick" w:color="0093C1"/>
        </w:rPr>
        <w:br w:type="column"/>
        <w:t>Summary</w:t>
        <w:tab/>
      </w:r>
    </w:p>
    <w:p>
      <w:pPr>
        <w:pStyle w:val="Heading4"/>
        <w:spacing w:line="242" w:lineRule="auto" w:before="264"/>
        <w:ind w:left="214" w:right="368"/>
      </w:pPr>
      <w:r>
        <w:rPr/>
        <w:t>RPIX inflation was on target at 2.5% in 1998 Q3. Falling prices of material inputs, together with stronger</w:t>
      </w:r>
    </w:p>
    <w:p>
      <w:pPr>
        <w:pStyle w:val="BodyText"/>
        <w:spacing w:before="3"/>
        <w:rPr>
          <w:sz w:val="25"/>
        </w:rPr>
      </w:pPr>
      <w:r>
        <w:rPr/>
        <w:pict>
          <v:shape style="position:absolute;margin-left:279pt;margin-top:16.600489pt;width:277pt;height:.1pt;mso-position-horizontal-relative:page;mso-position-vertical-relative:paragraph;z-index:-15415296;mso-wrap-distance-left:0;mso-wrap-distance-right:0" coordorigin="5580,332" coordsize="5540,0" path="m5580,332l11120,332e" filled="false" stroked="true" strokeweight=".125pt" strokecolor="#000000">
            <v:path arrowok="t"/>
            <v:stroke dashstyle="solid"/>
            <w10:wrap type="topAndBottom"/>
          </v:shape>
        </w:pict>
      </w:r>
    </w:p>
    <w:p>
      <w:pPr>
        <w:spacing w:line="208" w:lineRule="auto" w:before="21"/>
        <w:ind w:left="454" w:right="1122" w:hanging="240"/>
        <w:jc w:val="left"/>
        <w:rPr>
          <w:sz w:val="16"/>
        </w:rPr>
      </w:pPr>
      <w:r>
        <w:rPr>
          <w:sz w:val="16"/>
        </w:rPr>
        <w:t>(1) For a discussion of the construction of DGI measures, see the box on page 39 of the August 1998 </w:t>
      </w:r>
      <w:r>
        <w:rPr>
          <w:i/>
          <w:sz w:val="16"/>
        </w:rPr>
        <w:t>Report</w:t>
      </w:r>
      <w:r>
        <w:rPr>
          <w:sz w:val="16"/>
        </w:rPr>
        <w:t>.</w:t>
      </w:r>
    </w:p>
    <w:p>
      <w:pPr>
        <w:spacing w:after="0" w:line="208" w:lineRule="auto"/>
        <w:jc w:val="left"/>
        <w:rPr>
          <w:sz w:val="16"/>
        </w:rPr>
        <w:sectPr>
          <w:type w:val="continuous"/>
          <w:pgSz w:w="11900" w:h="16840"/>
          <w:pgMar w:top="1220" w:bottom="280" w:left="620" w:right="520"/>
          <w:cols w:num="2" w:equalWidth="0">
            <w:col w:w="3853" w:space="912"/>
            <w:col w:w="5995"/>
          </w:cols>
        </w:sectPr>
      </w:pPr>
    </w:p>
    <w:p>
      <w:pPr>
        <w:pStyle w:val="BodyText"/>
        <w:rPr>
          <w:sz w:val="20"/>
        </w:rPr>
      </w:pPr>
    </w:p>
    <w:p>
      <w:pPr>
        <w:spacing w:after="0"/>
        <w:rPr>
          <w:sz w:val="20"/>
        </w:rPr>
        <w:sectPr>
          <w:pgSz w:w="11900" w:h="16840"/>
          <w:pgMar w:header="586" w:footer="617" w:top="780" w:bottom="800" w:left="620" w:right="520"/>
        </w:sectPr>
      </w:pPr>
    </w:p>
    <w:p>
      <w:pPr>
        <w:pStyle w:val="BodyText"/>
        <w:rPr>
          <w:sz w:val="22"/>
        </w:rPr>
      </w:pPr>
    </w:p>
    <w:p>
      <w:pPr>
        <w:pStyle w:val="BodyText"/>
        <w:rPr>
          <w:sz w:val="22"/>
        </w:rPr>
      </w:pPr>
    </w:p>
    <w:p>
      <w:pPr>
        <w:pStyle w:val="BodyText"/>
        <w:spacing w:before="2"/>
        <w:rPr>
          <w:sz w:val="26"/>
        </w:rPr>
      </w:pPr>
    </w:p>
    <w:p>
      <w:pPr>
        <w:pStyle w:val="Heading7"/>
        <w:spacing w:before="0"/>
        <w:ind w:left="159"/>
      </w:pPr>
      <w:r>
        <w:rPr>
          <w:color w:val="0093C1"/>
        </w:rPr>
        <w:t>Table 4.C</w:t>
      </w:r>
    </w:p>
    <w:p>
      <w:pPr>
        <w:spacing w:before="10"/>
        <w:ind w:left="159" w:right="0" w:firstLine="0"/>
        <w:jc w:val="left"/>
        <w:rPr>
          <w:b/>
          <w:sz w:val="20"/>
        </w:rPr>
      </w:pPr>
      <w:r>
        <w:rPr>
          <w:b/>
          <w:color w:val="0093C1"/>
          <w:sz w:val="20"/>
        </w:rPr>
        <w:t>Other measures of retail price inflation</w:t>
      </w:r>
    </w:p>
    <w:p>
      <w:pPr>
        <w:spacing w:before="75"/>
        <w:ind w:left="159" w:right="0" w:firstLine="0"/>
        <w:jc w:val="left"/>
        <w:rPr>
          <w:sz w:val="14"/>
        </w:rPr>
      </w:pPr>
      <w:r>
        <w:rPr>
          <w:sz w:val="14"/>
        </w:rPr>
        <w:t>Percentage increase in prices on a year earlier</w:t>
      </w:r>
    </w:p>
    <w:p>
      <w:pPr>
        <w:pStyle w:val="BodyText"/>
        <w:spacing w:before="9" w:after="1"/>
        <w:rPr>
          <w:sz w:val="10"/>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60"/>
        <w:gridCol w:w="425"/>
        <w:gridCol w:w="470"/>
        <w:gridCol w:w="437"/>
        <w:gridCol w:w="500"/>
        <w:gridCol w:w="495"/>
        <w:gridCol w:w="496"/>
      </w:tblGrid>
      <w:tr>
        <w:trPr>
          <w:trHeight w:val="147" w:hRule="atLeast"/>
        </w:trPr>
        <w:tc>
          <w:tcPr>
            <w:tcW w:w="1885" w:type="dxa"/>
            <w:gridSpan w:val="2"/>
          </w:tcPr>
          <w:p>
            <w:pPr>
              <w:pStyle w:val="TableParagraph"/>
              <w:spacing w:line="128" w:lineRule="exact"/>
              <w:ind w:right="94"/>
              <w:jc w:val="right"/>
              <w:rPr>
                <w:sz w:val="14"/>
              </w:rPr>
            </w:pPr>
            <w:r>
              <w:rPr>
                <w:sz w:val="14"/>
                <w:u w:val="single"/>
              </w:rPr>
              <w:t>1996</w:t>
            </w:r>
          </w:p>
        </w:tc>
        <w:tc>
          <w:tcPr>
            <w:tcW w:w="470" w:type="dxa"/>
          </w:tcPr>
          <w:p>
            <w:pPr>
              <w:pStyle w:val="TableParagraph"/>
              <w:spacing w:line="128" w:lineRule="exact"/>
              <w:ind w:left="94"/>
              <w:rPr>
                <w:sz w:val="14"/>
              </w:rPr>
            </w:pPr>
            <w:r>
              <w:rPr>
                <w:sz w:val="14"/>
                <w:u w:val="single"/>
              </w:rPr>
              <w:t>1997</w:t>
            </w:r>
          </w:p>
        </w:tc>
        <w:tc>
          <w:tcPr>
            <w:tcW w:w="1928" w:type="dxa"/>
            <w:gridSpan w:val="4"/>
          </w:tcPr>
          <w:p>
            <w:pPr>
              <w:pStyle w:val="TableParagraph"/>
              <w:tabs>
                <w:tab w:pos="1865" w:val="left" w:leader="none"/>
              </w:tabs>
              <w:spacing w:line="128" w:lineRule="exact"/>
              <w:ind w:left="74"/>
              <w:rPr>
                <w:sz w:val="14"/>
              </w:rPr>
            </w:pPr>
            <w:r>
              <w:rPr>
                <w:sz w:val="14"/>
                <w:u w:val="single"/>
              </w:rPr>
              <w:t>1998</w:t>
              <w:tab/>
            </w:r>
          </w:p>
        </w:tc>
      </w:tr>
      <w:tr>
        <w:trPr>
          <w:trHeight w:val="147" w:hRule="atLeast"/>
        </w:trPr>
        <w:tc>
          <w:tcPr>
            <w:tcW w:w="1885" w:type="dxa"/>
            <w:gridSpan w:val="2"/>
          </w:tcPr>
          <w:p>
            <w:pPr>
              <w:pStyle w:val="TableParagraph"/>
              <w:spacing w:line="128" w:lineRule="exact"/>
              <w:ind w:right="112"/>
              <w:jc w:val="right"/>
              <w:rPr>
                <w:sz w:val="14"/>
              </w:rPr>
            </w:pPr>
            <w:r>
              <w:rPr>
                <w:sz w:val="14"/>
                <w:u w:val="single"/>
              </w:rPr>
              <w:t>Dec.</w:t>
            </w:r>
          </w:p>
        </w:tc>
        <w:tc>
          <w:tcPr>
            <w:tcW w:w="470" w:type="dxa"/>
          </w:tcPr>
          <w:p>
            <w:pPr>
              <w:pStyle w:val="TableParagraph"/>
              <w:spacing w:line="128" w:lineRule="exact"/>
              <w:ind w:left="94"/>
              <w:rPr>
                <w:sz w:val="14"/>
              </w:rPr>
            </w:pPr>
            <w:r>
              <w:rPr>
                <w:sz w:val="14"/>
                <w:u w:val="single"/>
              </w:rPr>
              <w:t>Dec. </w:t>
            </w:r>
          </w:p>
        </w:tc>
        <w:tc>
          <w:tcPr>
            <w:tcW w:w="1928" w:type="dxa"/>
            <w:gridSpan w:val="4"/>
          </w:tcPr>
          <w:p>
            <w:pPr>
              <w:pStyle w:val="TableParagraph"/>
              <w:tabs>
                <w:tab w:pos="584" w:val="left" w:leader="none"/>
                <w:tab w:pos="1084" w:val="left" w:leader="none"/>
                <w:tab w:pos="1594" w:val="left" w:leader="none"/>
              </w:tabs>
              <w:spacing w:line="128" w:lineRule="exact"/>
              <w:ind w:left="74"/>
              <w:rPr>
                <w:sz w:val="14"/>
              </w:rPr>
            </w:pPr>
            <w:r>
              <w:rPr>
                <w:sz w:val="14"/>
                <w:u w:val="single"/>
              </w:rPr>
              <w:t>June</w:t>
            </w:r>
            <w:r>
              <w:rPr>
                <w:sz w:val="14"/>
              </w:rPr>
              <w:tab/>
            </w:r>
            <w:r>
              <w:rPr>
                <w:sz w:val="14"/>
                <w:u w:val="single"/>
              </w:rPr>
              <w:t>July</w:t>
            </w:r>
            <w:r>
              <w:rPr>
                <w:sz w:val="14"/>
              </w:rPr>
              <w:tab/>
            </w:r>
            <w:r>
              <w:rPr>
                <w:sz w:val="14"/>
                <w:u w:val="single"/>
              </w:rPr>
              <w:t>Aug</w:t>
            </w:r>
            <w:r>
              <w:rPr>
                <w:sz w:val="14"/>
              </w:rPr>
              <w:t>.</w:t>
              <w:tab/>
            </w:r>
            <w:r>
              <w:rPr>
                <w:sz w:val="14"/>
                <w:u w:val="single"/>
              </w:rPr>
              <w:t>Sept.</w:t>
            </w:r>
          </w:p>
        </w:tc>
      </w:tr>
      <w:tr>
        <w:trPr>
          <w:trHeight w:val="272" w:hRule="atLeast"/>
        </w:trPr>
        <w:tc>
          <w:tcPr>
            <w:tcW w:w="1460" w:type="dxa"/>
          </w:tcPr>
          <w:p>
            <w:pPr>
              <w:pStyle w:val="TableParagraph"/>
              <w:spacing w:line="133" w:lineRule="exact" w:before="119"/>
              <w:ind w:left="50"/>
              <w:rPr>
                <w:sz w:val="12"/>
              </w:rPr>
            </w:pPr>
            <w:r>
              <w:rPr>
                <w:sz w:val="14"/>
              </w:rPr>
              <w:t>Trimmed mean </w:t>
            </w:r>
            <w:r>
              <w:rPr>
                <w:sz w:val="12"/>
              </w:rPr>
              <w:t>(a)</w:t>
            </w:r>
          </w:p>
        </w:tc>
        <w:tc>
          <w:tcPr>
            <w:tcW w:w="425" w:type="dxa"/>
          </w:tcPr>
          <w:p>
            <w:pPr>
              <w:pStyle w:val="TableParagraph"/>
              <w:spacing w:line="133" w:lineRule="exact" w:before="119"/>
              <w:ind w:left="85"/>
              <w:rPr>
                <w:sz w:val="14"/>
              </w:rPr>
            </w:pPr>
            <w:r>
              <w:rPr>
                <w:sz w:val="14"/>
              </w:rPr>
              <w:t>2.8</w:t>
            </w:r>
          </w:p>
        </w:tc>
        <w:tc>
          <w:tcPr>
            <w:tcW w:w="470" w:type="dxa"/>
          </w:tcPr>
          <w:p>
            <w:pPr>
              <w:pStyle w:val="TableParagraph"/>
              <w:spacing w:line="133" w:lineRule="exact" w:before="119"/>
              <w:ind w:left="129"/>
              <w:rPr>
                <w:sz w:val="14"/>
              </w:rPr>
            </w:pPr>
            <w:r>
              <w:rPr>
                <w:sz w:val="14"/>
              </w:rPr>
              <w:t>2.3</w:t>
            </w:r>
          </w:p>
        </w:tc>
        <w:tc>
          <w:tcPr>
            <w:tcW w:w="437" w:type="dxa"/>
          </w:tcPr>
          <w:p>
            <w:pPr>
              <w:pStyle w:val="TableParagraph"/>
              <w:spacing w:line="133" w:lineRule="exact" w:before="119"/>
              <w:ind w:left="100"/>
              <w:rPr>
                <w:sz w:val="14"/>
              </w:rPr>
            </w:pPr>
            <w:r>
              <w:rPr>
                <w:sz w:val="14"/>
              </w:rPr>
              <w:t>2.2</w:t>
            </w:r>
          </w:p>
        </w:tc>
        <w:tc>
          <w:tcPr>
            <w:tcW w:w="500" w:type="dxa"/>
          </w:tcPr>
          <w:p>
            <w:pPr>
              <w:pStyle w:val="TableParagraph"/>
              <w:spacing w:line="133" w:lineRule="exact" w:before="119"/>
              <w:ind w:left="142" w:right="142"/>
              <w:jc w:val="center"/>
              <w:rPr>
                <w:sz w:val="14"/>
              </w:rPr>
            </w:pPr>
            <w:r>
              <w:rPr>
                <w:sz w:val="14"/>
              </w:rPr>
              <w:t>2.2</w:t>
            </w:r>
          </w:p>
        </w:tc>
        <w:tc>
          <w:tcPr>
            <w:tcW w:w="495" w:type="dxa"/>
          </w:tcPr>
          <w:p>
            <w:pPr>
              <w:pStyle w:val="TableParagraph"/>
              <w:spacing w:line="133" w:lineRule="exact" w:before="119"/>
              <w:ind w:left="138" w:right="133"/>
              <w:jc w:val="center"/>
              <w:rPr>
                <w:sz w:val="14"/>
              </w:rPr>
            </w:pPr>
            <w:r>
              <w:rPr>
                <w:sz w:val="14"/>
              </w:rPr>
              <w:t>2.0</w:t>
            </w:r>
          </w:p>
        </w:tc>
        <w:tc>
          <w:tcPr>
            <w:tcW w:w="496" w:type="dxa"/>
          </w:tcPr>
          <w:p>
            <w:pPr>
              <w:pStyle w:val="TableParagraph"/>
              <w:spacing w:line="133" w:lineRule="exact" w:before="119"/>
              <w:ind w:left="139" w:right="142"/>
              <w:jc w:val="center"/>
              <w:rPr>
                <w:sz w:val="14"/>
              </w:rPr>
            </w:pPr>
            <w:r>
              <w:rPr>
                <w:sz w:val="14"/>
              </w:rPr>
              <w:t>1.9</w:t>
            </w:r>
          </w:p>
        </w:tc>
      </w:tr>
      <w:tr>
        <w:trPr>
          <w:trHeight w:val="140" w:hRule="atLeast"/>
        </w:trPr>
        <w:tc>
          <w:tcPr>
            <w:tcW w:w="1460" w:type="dxa"/>
          </w:tcPr>
          <w:p>
            <w:pPr>
              <w:pStyle w:val="TableParagraph"/>
              <w:spacing w:line="120" w:lineRule="exact"/>
              <w:ind w:left="50"/>
              <w:rPr>
                <w:sz w:val="12"/>
              </w:rPr>
            </w:pPr>
            <w:r>
              <w:rPr>
                <w:sz w:val="14"/>
              </w:rPr>
              <w:t>Median </w:t>
            </w:r>
            <w:r>
              <w:rPr>
                <w:sz w:val="12"/>
              </w:rPr>
              <w:t>(a)</w:t>
            </w:r>
          </w:p>
        </w:tc>
        <w:tc>
          <w:tcPr>
            <w:tcW w:w="425" w:type="dxa"/>
          </w:tcPr>
          <w:p>
            <w:pPr>
              <w:pStyle w:val="TableParagraph"/>
              <w:spacing w:line="120" w:lineRule="exact"/>
              <w:ind w:left="85"/>
              <w:rPr>
                <w:sz w:val="14"/>
              </w:rPr>
            </w:pPr>
            <w:r>
              <w:rPr>
                <w:sz w:val="14"/>
              </w:rPr>
              <w:t>2.3</w:t>
            </w:r>
          </w:p>
        </w:tc>
        <w:tc>
          <w:tcPr>
            <w:tcW w:w="470" w:type="dxa"/>
          </w:tcPr>
          <w:p>
            <w:pPr>
              <w:pStyle w:val="TableParagraph"/>
              <w:spacing w:line="120" w:lineRule="exact"/>
              <w:ind w:left="129"/>
              <w:rPr>
                <w:sz w:val="14"/>
              </w:rPr>
            </w:pPr>
            <w:r>
              <w:rPr>
                <w:sz w:val="14"/>
              </w:rPr>
              <w:t>2.2</w:t>
            </w:r>
          </w:p>
        </w:tc>
        <w:tc>
          <w:tcPr>
            <w:tcW w:w="437" w:type="dxa"/>
          </w:tcPr>
          <w:p>
            <w:pPr>
              <w:pStyle w:val="TableParagraph"/>
              <w:spacing w:line="120" w:lineRule="exact"/>
              <w:ind w:left="100"/>
              <w:rPr>
                <w:sz w:val="14"/>
              </w:rPr>
            </w:pPr>
            <w:r>
              <w:rPr>
                <w:sz w:val="14"/>
              </w:rPr>
              <w:t>1.8</w:t>
            </w:r>
          </w:p>
        </w:tc>
        <w:tc>
          <w:tcPr>
            <w:tcW w:w="500" w:type="dxa"/>
          </w:tcPr>
          <w:p>
            <w:pPr>
              <w:pStyle w:val="TableParagraph"/>
              <w:spacing w:line="120" w:lineRule="exact"/>
              <w:ind w:left="142" w:right="142"/>
              <w:jc w:val="center"/>
              <w:rPr>
                <w:sz w:val="14"/>
              </w:rPr>
            </w:pPr>
            <w:r>
              <w:rPr>
                <w:sz w:val="14"/>
              </w:rPr>
              <w:t>1.8</w:t>
            </w:r>
          </w:p>
        </w:tc>
        <w:tc>
          <w:tcPr>
            <w:tcW w:w="495" w:type="dxa"/>
          </w:tcPr>
          <w:p>
            <w:pPr>
              <w:pStyle w:val="TableParagraph"/>
              <w:spacing w:line="120" w:lineRule="exact"/>
              <w:ind w:left="138" w:right="133"/>
              <w:jc w:val="center"/>
              <w:rPr>
                <w:sz w:val="14"/>
              </w:rPr>
            </w:pPr>
            <w:r>
              <w:rPr>
                <w:sz w:val="14"/>
              </w:rPr>
              <w:t>1.7</w:t>
            </w:r>
          </w:p>
        </w:tc>
        <w:tc>
          <w:tcPr>
            <w:tcW w:w="496" w:type="dxa"/>
          </w:tcPr>
          <w:p>
            <w:pPr>
              <w:pStyle w:val="TableParagraph"/>
              <w:spacing w:line="120" w:lineRule="exact"/>
              <w:ind w:left="139" w:right="142"/>
              <w:jc w:val="center"/>
              <w:rPr>
                <w:sz w:val="14"/>
              </w:rPr>
            </w:pPr>
            <w:r>
              <w:rPr>
                <w:sz w:val="14"/>
              </w:rPr>
              <w:t>1.6</w:t>
            </w:r>
          </w:p>
        </w:tc>
      </w:tr>
      <w:tr>
        <w:trPr>
          <w:trHeight w:val="140" w:hRule="atLeast"/>
        </w:trPr>
        <w:tc>
          <w:tcPr>
            <w:tcW w:w="1460" w:type="dxa"/>
          </w:tcPr>
          <w:p>
            <w:pPr>
              <w:pStyle w:val="TableParagraph"/>
              <w:spacing w:line="120" w:lineRule="exact"/>
              <w:ind w:left="50"/>
              <w:rPr>
                <w:sz w:val="12"/>
              </w:rPr>
            </w:pPr>
            <w:r>
              <w:rPr>
                <w:sz w:val="14"/>
              </w:rPr>
              <w:t>HARP </w:t>
            </w:r>
            <w:r>
              <w:rPr>
                <w:sz w:val="12"/>
              </w:rPr>
              <w:t>(b)</w:t>
            </w:r>
          </w:p>
        </w:tc>
        <w:tc>
          <w:tcPr>
            <w:tcW w:w="425" w:type="dxa"/>
          </w:tcPr>
          <w:p>
            <w:pPr>
              <w:pStyle w:val="TableParagraph"/>
              <w:spacing w:line="120" w:lineRule="exact"/>
              <w:ind w:left="85"/>
              <w:rPr>
                <w:sz w:val="14"/>
              </w:rPr>
            </w:pPr>
            <w:r>
              <w:rPr>
                <w:sz w:val="14"/>
              </w:rPr>
              <w:t>3.8</w:t>
            </w:r>
          </w:p>
        </w:tc>
        <w:tc>
          <w:tcPr>
            <w:tcW w:w="470" w:type="dxa"/>
          </w:tcPr>
          <w:p>
            <w:pPr>
              <w:pStyle w:val="TableParagraph"/>
              <w:spacing w:line="120" w:lineRule="exact"/>
              <w:ind w:left="129"/>
              <w:rPr>
                <w:sz w:val="14"/>
              </w:rPr>
            </w:pPr>
            <w:r>
              <w:rPr>
                <w:sz w:val="14"/>
              </w:rPr>
              <w:t>2.8</w:t>
            </w:r>
          </w:p>
        </w:tc>
        <w:tc>
          <w:tcPr>
            <w:tcW w:w="437" w:type="dxa"/>
          </w:tcPr>
          <w:p>
            <w:pPr>
              <w:pStyle w:val="TableParagraph"/>
              <w:spacing w:line="120" w:lineRule="exact"/>
              <w:ind w:left="100"/>
              <w:rPr>
                <w:sz w:val="14"/>
              </w:rPr>
            </w:pPr>
            <w:r>
              <w:rPr>
                <w:sz w:val="14"/>
              </w:rPr>
              <w:t>3.2</w:t>
            </w:r>
          </w:p>
        </w:tc>
        <w:tc>
          <w:tcPr>
            <w:tcW w:w="500" w:type="dxa"/>
          </w:tcPr>
          <w:p>
            <w:pPr>
              <w:pStyle w:val="TableParagraph"/>
              <w:spacing w:line="120" w:lineRule="exact"/>
              <w:ind w:left="142" w:right="142"/>
              <w:jc w:val="center"/>
              <w:rPr>
                <w:sz w:val="14"/>
              </w:rPr>
            </w:pPr>
            <w:r>
              <w:rPr>
                <w:sz w:val="14"/>
              </w:rPr>
              <w:t>3.0</w:t>
            </w:r>
          </w:p>
        </w:tc>
        <w:tc>
          <w:tcPr>
            <w:tcW w:w="495" w:type="dxa"/>
          </w:tcPr>
          <w:p>
            <w:pPr>
              <w:pStyle w:val="TableParagraph"/>
              <w:spacing w:line="120" w:lineRule="exact"/>
              <w:ind w:left="138" w:right="133"/>
              <w:jc w:val="center"/>
              <w:rPr>
                <w:sz w:val="14"/>
              </w:rPr>
            </w:pPr>
            <w:r>
              <w:rPr>
                <w:sz w:val="14"/>
              </w:rPr>
              <w:t>2.8</w:t>
            </w:r>
          </w:p>
        </w:tc>
        <w:tc>
          <w:tcPr>
            <w:tcW w:w="496" w:type="dxa"/>
          </w:tcPr>
          <w:p>
            <w:pPr>
              <w:pStyle w:val="TableParagraph"/>
              <w:spacing w:line="120" w:lineRule="exact"/>
              <w:ind w:left="139" w:right="142"/>
              <w:jc w:val="center"/>
              <w:rPr>
                <w:sz w:val="14"/>
              </w:rPr>
            </w:pPr>
            <w:r>
              <w:rPr>
                <w:sz w:val="14"/>
              </w:rPr>
              <w:t>2.9</w:t>
            </w:r>
          </w:p>
        </w:tc>
      </w:tr>
      <w:tr>
        <w:trPr>
          <w:trHeight w:val="140" w:hRule="atLeast"/>
        </w:trPr>
        <w:tc>
          <w:tcPr>
            <w:tcW w:w="1460" w:type="dxa"/>
          </w:tcPr>
          <w:p>
            <w:pPr>
              <w:pStyle w:val="TableParagraph"/>
              <w:spacing w:line="120" w:lineRule="exact"/>
              <w:ind w:left="50"/>
              <w:rPr>
                <w:sz w:val="12"/>
              </w:rPr>
            </w:pPr>
            <w:r>
              <w:rPr>
                <w:sz w:val="14"/>
              </w:rPr>
              <w:t>THARP </w:t>
            </w:r>
            <w:r>
              <w:rPr>
                <w:sz w:val="12"/>
              </w:rPr>
              <w:t>(b)</w:t>
            </w:r>
          </w:p>
        </w:tc>
        <w:tc>
          <w:tcPr>
            <w:tcW w:w="425" w:type="dxa"/>
          </w:tcPr>
          <w:p>
            <w:pPr>
              <w:pStyle w:val="TableParagraph"/>
              <w:spacing w:line="120" w:lineRule="exact"/>
              <w:ind w:left="85"/>
              <w:rPr>
                <w:sz w:val="14"/>
              </w:rPr>
            </w:pPr>
            <w:r>
              <w:rPr>
                <w:sz w:val="14"/>
              </w:rPr>
              <w:t>3.6</w:t>
            </w:r>
          </w:p>
        </w:tc>
        <w:tc>
          <w:tcPr>
            <w:tcW w:w="470" w:type="dxa"/>
          </w:tcPr>
          <w:p>
            <w:pPr>
              <w:pStyle w:val="TableParagraph"/>
              <w:spacing w:line="120" w:lineRule="exact"/>
              <w:ind w:left="129"/>
              <w:rPr>
                <w:sz w:val="14"/>
              </w:rPr>
            </w:pPr>
            <w:r>
              <w:rPr>
                <w:sz w:val="14"/>
              </w:rPr>
              <w:t>2.6</w:t>
            </w:r>
          </w:p>
        </w:tc>
        <w:tc>
          <w:tcPr>
            <w:tcW w:w="437" w:type="dxa"/>
          </w:tcPr>
          <w:p>
            <w:pPr>
              <w:pStyle w:val="TableParagraph"/>
              <w:spacing w:line="120" w:lineRule="exact"/>
              <w:ind w:left="100"/>
              <w:rPr>
                <w:sz w:val="14"/>
              </w:rPr>
            </w:pPr>
            <w:r>
              <w:rPr>
                <w:sz w:val="14"/>
              </w:rPr>
              <w:t>2.5</w:t>
            </w:r>
          </w:p>
        </w:tc>
        <w:tc>
          <w:tcPr>
            <w:tcW w:w="500" w:type="dxa"/>
          </w:tcPr>
          <w:p>
            <w:pPr>
              <w:pStyle w:val="TableParagraph"/>
              <w:spacing w:line="120" w:lineRule="exact"/>
              <w:ind w:left="142" w:right="142"/>
              <w:jc w:val="center"/>
              <w:rPr>
                <w:sz w:val="14"/>
              </w:rPr>
            </w:pPr>
            <w:r>
              <w:rPr>
                <w:sz w:val="14"/>
              </w:rPr>
              <w:t>2.6</w:t>
            </w:r>
          </w:p>
        </w:tc>
        <w:tc>
          <w:tcPr>
            <w:tcW w:w="495" w:type="dxa"/>
          </w:tcPr>
          <w:p>
            <w:pPr>
              <w:pStyle w:val="TableParagraph"/>
              <w:spacing w:line="120" w:lineRule="exact"/>
              <w:ind w:left="138" w:right="133"/>
              <w:jc w:val="center"/>
              <w:rPr>
                <w:sz w:val="14"/>
              </w:rPr>
            </w:pPr>
            <w:r>
              <w:rPr>
                <w:sz w:val="14"/>
              </w:rPr>
              <w:t>2.4</w:t>
            </w:r>
          </w:p>
        </w:tc>
        <w:tc>
          <w:tcPr>
            <w:tcW w:w="496" w:type="dxa"/>
          </w:tcPr>
          <w:p>
            <w:pPr>
              <w:pStyle w:val="TableParagraph"/>
              <w:spacing w:line="120" w:lineRule="exact"/>
              <w:ind w:left="139" w:right="142"/>
              <w:jc w:val="center"/>
              <w:rPr>
                <w:sz w:val="14"/>
              </w:rPr>
            </w:pPr>
            <w:r>
              <w:rPr>
                <w:sz w:val="14"/>
              </w:rPr>
              <w:t>2.3</w:t>
            </w:r>
          </w:p>
        </w:tc>
      </w:tr>
      <w:tr>
        <w:trPr>
          <w:trHeight w:val="147" w:hRule="atLeast"/>
        </w:trPr>
        <w:tc>
          <w:tcPr>
            <w:tcW w:w="1460" w:type="dxa"/>
          </w:tcPr>
          <w:p>
            <w:pPr>
              <w:pStyle w:val="TableParagraph"/>
              <w:spacing w:line="128" w:lineRule="exact"/>
              <w:ind w:left="50"/>
              <w:rPr>
                <w:sz w:val="12"/>
              </w:rPr>
            </w:pPr>
            <w:r>
              <w:rPr>
                <w:sz w:val="14"/>
              </w:rPr>
              <w:t>HICP </w:t>
            </w:r>
            <w:r>
              <w:rPr>
                <w:sz w:val="12"/>
              </w:rPr>
              <w:t>(c)</w:t>
            </w:r>
          </w:p>
        </w:tc>
        <w:tc>
          <w:tcPr>
            <w:tcW w:w="425" w:type="dxa"/>
          </w:tcPr>
          <w:p>
            <w:pPr>
              <w:pStyle w:val="TableParagraph"/>
              <w:spacing w:line="128" w:lineRule="exact"/>
              <w:ind w:left="85"/>
              <w:rPr>
                <w:sz w:val="14"/>
              </w:rPr>
            </w:pPr>
            <w:r>
              <w:rPr>
                <w:sz w:val="14"/>
              </w:rPr>
              <w:t>2.3</w:t>
            </w:r>
          </w:p>
        </w:tc>
        <w:tc>
          <w:tcPr>
            <w:tcW w:w="470" w:type="dxa"/>
          </w:tcPr>
          <w:p>
            <w:pPr>
              <w:pStyle w:val="TableParagraph"/>
              <w:spacing w:line="128" w:lineRule="exact"/>
              <w:ind w:left="129"/>
              <w:rPr>
                <w:sz w:val="14"/>
              </w:rPr>
            </w:pPr>
            <w:r>
              <w:rPr>
                <w:sz w:val="14"/>
              </w:rPr>
              <w:t>1.8</w:t>
            </w:r>
          </w:p>
        </w:tc>
        <w:tc>
          <w:tcPr>
            <w:tcW w:w="437" w:type="dxa"/>
          </w:tcPr>
          <w:p>
            <w:pPr>
              <w:pStyle w:val="TableParagraph"/>
              <w:spacing w:line="128" w:lineRule="exact"/>
              <w:ind w:left="100"/>
              <w:rPr>
                <w:sz w:val="14"/>
              </w:rPr>
            </w:pPr>
            <w:r>
              <w:rPr>
                <w:sz w:val="14"/>
              </w:rPr>
              <w:t>1.7</w:t>
            </w:r>
          </w:p>
        </w:tc>
        <w:tc>
          <w:tcPr>
            <w:tcW w:w="500" w:type="dxa"/>
          </w:tcPr>
          <w:p>
            <w:pPr>
              <w:pStyle w:val="TableParagraph"/>
              <w:spacing w:line="128" w:lineRule="exact"/>
              <w:ind w:left="142" w:right="142"/>
              <w:jc w:val="center"/>
              <w:rPr>
                <w:sz w:val="14"/>
              </w:rPr>
            </w:pPr>
            <w:r>
              <w:rPr>
                <w:sz w:val="14"/>
              </w:rPr>
              <w:t>1.5</w:t>
            </w:r>
          </w:p>
        </w:tc>
        <w:tc>
          <w:tcPr>
            <w:tcW w:w="495" w:type="dxa"/>
          </w:tcPr>
          <w:p>
            <w:pPr>
              <w:pStyle w:val="TableParagraph"/>
              <w:spacing w:line="128" w:lineRule="exact"/>
              <w:ind w:left="138" w:right="133"/>
              <w:jc w:val="center"/>
              <w:rPr>
                <w:sz w:val="14"/>
              </w:rPr>
            </w:pPr>
            <w:r>
              <w:rPr>
                <w:sz w:val="14"/>
              </w:rPr>
              <w:t>1.3</w:t>
            </w:r>
          </w:p>
        </w:tc>
        <w:tc>
          <w:tcPr>
            <w:tcW w:w="496" w:type="dxa"/>
          </w:tcPr>
          <w:p>
            <w:pPr>
              <w:pStyle w:val="TableParagraph"/>
              <w:spacing w:line="128" w:lineRule="exact"/>
              <w:ind w:left="139" w:right="142"/>
              <w:jc w:val="center"/>
              <w:rPr>
                <w:sz w:val="14"/>
              </w:rPr>
            </w:pPr>
            <w:r>
              <w:rPr>
                <w:sz w:val="14"/>
              </w:rPr>
              <w:t>1.5</w:t>
            </w:r>
          </w:p>
        </w:tc>
      </w:tr>
    </w:tbl>
    <w:p>
      <w:pPr>
        <w:pStyle w:val="BodyText"/>
        <w:spacing w:before="1"/>
        <w:rPr>
          <w:sz w:val="15"/>
        </w:rPr>
      </w:pPr>
    </w:p>
    <w:p>
      <w:pPr>
        <w:spacing w:before="0"/>
        <w:ind w:left="174" w:right="0" w:firstLine="0"/>
        <w:jc w:val="left"/>
        <w:rPr>
          <w:sz w:val="12"/>
        </w:rPr>
      </w:pPr>
      <w:r>
        <w:rPr>
          <w:sz w:val="12"/>
        </w:rPr>
        <w:t>Sources: ONS and Bank calculations.</w:t>
      </w:r>
    </w:p>
    <w:p>
      <w:pPr>
        <w:pStyle w:val="BodyText"/>
        <w:spacing w:before="1"/>
        <w:rPr>
          <w:sz w:val="10"/>
        </w:rPr>
      </w:pPr>
    </w:p>
    <w:p>
      <w:pPr>
        <w:pStyle w:val="ListParagraph"/>
        <w:numPr>
          <w:ilvl w:val="0"/>
          <w:numId w:val="34"/>
        </w:numPr>
        <w:tabs>
          <w:tab w:pos="355" w:val="left" w:leader="none"/>
        </w:tabs>
        <w:spacing w:line="208" w:lineRule="auto" w:before="0" w:after="0"/>
        <w:ind w:left="354" w:right="90" w:hanging="180"/>
        <w:jc w:val="left"/>
        <w:rPr>
          <w:sz w:val="12"/>
        </w:rPr>
      </w:pPr>
      <w:r>
        <w:rPr>
          <w:sz w:val="12"/>
        </w:rPr>
        <w:t>These measures provide a guide to underlying inflation in RPIX by stripping out </w:t>
      </w:r>
      <w:r>
        <w:rPr>
          <w:spacing w:val="-6"/>
          <w:sz w:val="12"/>
        </w:rPr>
        <w:t>the </w:t>
      </w:r>
      <w:r>
        <w:rPr>
          <w:sz w:val="12"/>
        </w:rPr>
        <w:t>most extreme changes in prices at both ends of the distribution.</w:t>
      </w:r>
    </w:p>
    <w:p>
      <w:pPr>
        <w:pStyle w:val="ListParagraph"/>
        <w:numPr>
          <w:ilvl w:val="0"/>
          <w:numId w:val="34"/>
        </w:numPr>
        <w:tabs>
          <w:tab w:pos="355" w:val="left" w:leader="none"/>
        </w:tabs>
        <w:spacing w:line="208" w:lineRule="auto" w:before="0" w:after="0"/>
        <w:ind w:left="354" w:right="38" w:hanging="180"/>
        <w:jc w:val="left"/>
        <w:rPr>
          <w:sz w:val="12"/>
        </w:rPr>
      </w:pPr>
      <w:r>
        <w:rPr>
          <w:sz w:val="12"/>
        </w:rPr>
        <w:t>These measures, which contain a measure of owner-occupied costs, use the Halifax price index. HARP and THARP would show higher inflation rates using either the Nationwide house price index or the estimate of house prices based on Land </w:t>
      </w:r>
      <w:r>
        <w:rPr>
          <w:spacing w:val="-3"/>
          <w:sz w:val="12"/>
        </w:rPr>
        <w:t>Registry </w:t>
      </w:r>
      <w:r>
        <w:rPr>
          <w:sz w:val="12"/>
        </w:rPr>
        <w:t>data.</w:t>
      </w:r>
    </w:p>
    <w:p>
      <w:pPr>
        <w:pStyle w:val="ListParagraph"/>
        <w:numPr>
          <w:ilvl w:val="0"/>
          <w:numId w:val="34"/>
        </w:numPr>
        <w:tabs>
          <w:tab w:pos="355" w:val="left" w:leader="none"/>
        </w:tabs>
        <w:spacing w:line="208" w:lineRule="auto" w:before="0" w:after="0"/>
        <w:ind w:left="354" w:right="241" w:hanging="180"/>
        <w:jc w:val="left"/>
        <w:rPr>
          <w:sz w:val="12"/>
        </w:rPr>
      </w:pPr>
      <w:r>
        <w:rPr>
          <w:sz w:val="12"/>
        </w:rPr>
        <w:t>Harmonised index for EU Member States. It differs from the RPI series in that </w:t>
      </w:r>
      <w:r>
        <w:rPr>
          <w:spacing w:val="-9"/>
          <w:sz w:val="12"/>
        </w:rPr>
        <w:t>it </w:t>
      </w:r>
      <w:r>
        <w:rPr>
          <w:sz w:val="12"/>
        </w:rPr>
        <w:t>uses a geometric, rather than arithmetic, mean. It excludes owner-occupiers’ housing costs and council tax, and includes new cars and airfares.</w:t>
      </w:r>
    </w:p>
    <w:p>
      <w:pPr>
        <w:pStyle w:val="Heading4"/>
        <w:spacing w:line="242" w:lineRule="auto" w:before="207"/>
        <w:ind w:left="159" w:right="328"/>
      </w:pPr>
      <w:r>
        <w:rPr/>
        <w:br w:type="column"/>
      </w:r>
      <w:r>
        <w:rPr/>
        <w:t>competition in domestic markets, have been reflected in subdued domestic manufacturing output and retail goods prices. Services price inflation has been higher.</w:t>
      </w:r>
    </w:p>
    <w:p>
      <w:pPr>
        <w:spacing w:line="242" w:lineRule="auto" w:before="4"/>
        <w:ind w:left="159" w:right="382" w:firstLine="0"/>
        <w:jc w:val="left"/>
        <w:rPr>
          <w:sz w:val="24"/>
        </w:rPr>
      </w:pPr>
      <w:r>
        <w:rPr>
          <w:sz w:val="24"/>
        </w:rPr>
        <w:t>Business surveys suggest that services output price inflation may now be moderating. But inflation in retail services prices has so far showed less sign of slowing.</w:t>
      </w:r>
    </w:p>
    <w:p>
      <w:pPr>
        <w:spacing w:line="242" w:lineRule="auto" w:before="4"/>
        <w:ind w:left="159" w:right="305" w:firstLine="0"/>
        <w:jc w:val="left"/>
        <w:rPr>
          <w:sz w:val="24"/>
        </w:rPr>
      </w:pPr>
      <w:r>
        <w:rPr>
          <w:sz w:val="24"/>
        </w:rPr>
        <w:t>Imported inflation has remained negative, reflecting continued falls in world commodity prices and the lagged impact of sterling’s appreciation since 1996. The </w:t>
      </w:r>
      <w:r>
        <w:rPr>
          <w:spacing w:val="-3"/>
          <w:sz w:val="24"/>
        </w:rPr>
        <w:t>MPC’s </w:t>
      </w:r>
      <w:r>
        <w:rPr>
          <w:sz w:val="24"/>
        </w:rPr>
        <w:t>central projection assumes that imported inflation will become positive as sterling’s recent and assumed future depreciation begins to </w:t>
      </w:r>
      <w:r>
        <w:rPr>
          <w:spacing w:val="-3"/>
          <w:sz w:val="24"/>
        </w:rPr>
        <w:t>have </w:t>
      </w:r>
      <w:r>
        <w:rPr>
          <w:sz w:val="24"/>
        </w:rPr>
        <w:t>an effect. But the marked weakening in the prospects for global growth and inflation has had a significant downward effect on the projected path of import prices throughout the forecast period, relative to that in the August</w:t>
      </w:r>
      <w:r>
        <w:rPr>
          <w:spacing w:val="-7"/>
          <w:sz w:val="24"/>
        </w:rPr>
        <w:t> </w:t>
      </w:r>
      <w:r>
        <w:rPr>
          <w:i/>
          <w:sz w:val="24"/>
        </w:rPr>
        <w:t>Report</w:t>
      </w:r>
      <w:r>
        <w:rPr>
          <w:sz w:val="24"/>
        </w:rPr>
        <w:t>.</w:t>
      </w:r>
    </w:p>
    <w:p>
      <w:pPr>
        <w:spacing w:after="0" w:line="242" w:lineRule="auto"/>
        <w:jc w:val="left"/>
        <w:rPr>
          <w:sz w:val="24"/>
        </w:rPr>
        <w:sectPr>
          <w:type w:val="continuous"/>
          <w:pgSz w:w="11900" w:h="16840"/>
          <w:pgMar w:top="1220" w:bottom="280" w:left="620" w:right="520"/>
          <w:cols w:num="2" w:equalWidth="0">
            <w:col w:w="4490" w:space="310"/>
            <w:col w:w="5960"/>
          </w:cols>
        </w:sectPr>
      </w:pPr>
    </w:p>
    <w:p>
      <w:pPr>
        <w:pStyle w:val="BodyText"/>
        <w:spacing w:line="20" w:lineRule="exact"/>
        <w:ind w:left="158"/>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rPr>
          <w:sz w:val="20"/>
        </w:rPr>
      </w:pPr>
    </w:p>
    <w:p>
      <w:pPr>
        <w:pStyle w:val="BodyText"/>
        <w:spacing w:before="9"/>
      </w:pPr>
      <w:r>
        <w:rPr/>
        <w:pict>
          <v:shape style="position:absolute;margin-left:40.090pt;margin-top:12.000977pt;width:516pt;height:48pt;mso-position-horizontal-relative:page;mso-position-vertical-relative:paragraph;z-index:-15393280;mso-wrap-distance-left:0;mso-wrap-distance-right:0" type="#_x0000_t202" filled="true" fillcolor="#b5dad6" stroked="false">
            <v:textbox inset="0,0,0,0">
              <w:txbxContent>
                <w:p>
                  <w:pPr>
                    <w:tabs>
                      <w:tab w:pos="1819" w:val="left" w:leader="none"/>
                    </w:tabs>
                    <w:spacing w:before="51"/>
                    <w:ind w:left="260" w:right="0" w:firstLine="0"/>
                    <w:jc w:val="left"/>
                    <w:rPr>
                      <w:b/>
                      <w:i/>
                      <w:sz w:val="48"/>
                    </w:rPr>
                  </w:pPr>
                  <w:bookmarkStart w:name="Monetary policy since the August Report" w:id="75"/>
                  <w:bookmarkEnd w:id="75"/>
                  <w:r>
                    <w:rPr/>
                  </w:r>
                  <w:bookmarkStart w:name="_bookmark27" w:id="76"/>
                  <w:bookmarkEnd w:id="76"/>
                  <w:r>
                    <w:rPr/>
                  </w:r>
                  <w:r>
                    <w:rPr>
                      <w:b/>
                      <w:color w:val="009483"/>
                      <w:sz w:val="72"/>
                    </w:rPr>
                    <w:t>5</w:t>
                    <w:tab/>
                  </w:r>
                  <w:r>
                    <w:rPr>
                      <w:b/>
                      <w:color w:val="009483"/>
                      <w:sz w:val="48"/>
                    </w:rPr>
                    <w:t>Monetary policy since the </w:t>
                  </w:r>
                  <w:r>
                    <w:rPr>
                      <w:b/>
                      <w:color w:val="009483"/>
                      <w:spacing w:val="-4"/>
                      <w:sz w:val="48"/>
                    </w:rPr>
                    <w:t>August</w:t>
                  </w:r>
                  <w:r>
                    <w:rPr>
                      <w:b/>
                      <w:color w:val="009483"/>
                      <w:spacing w:val="-2"/>
                      <w:sz w:val="48"/>
                    </w:rPr>
                    <w:t> </w:t>
                  </w:r>
                  <w:r>
                    <w:rPr>
                      <w:b/>
                      <w:i/>
                      <w:color w:val="009483"/>
                      <w:sz w:val="48"/>
                    </w:rPr>
                    <w:t>Report</w:t>
                  </w:r>
                </w:p>
              </w:txbxContent>
            </v:textbox>
            <v:fill type="solid"/>
            <w10:wrap type="topAndBottom"/>
          </v:shape>
        </w:pict>
      </w:r>
    </w:p>
    <w:p>
      <w:pPr>
        <w:pStyle w:val="BodyText"/>
        <w:rPr>
          <w:sz w:val="20"/>
        </w:rPr>
      </w:pPr>
    </w:p>
    <w:p>
      <w:pPr>
        <w:pStyle w:val="BodyText"/>
        <w:rPr>
          <w:sz w:val="20"/>
        </w:rPr>
      </w:pPr>
    </w:p>
    <w:p>
      <w:pPr>
        <w:spacing w:line="242" w:lineRule="auto" w:before="218"/>
        <w:ind w:left="4980" w:right="261" w:firstLine="0"/>
        <w:jc w:val="left"/>
        <w:rPr>
          <w:sz w:val="24"/>
        </w:rPr>
      </w:pPr>
      <w:r>
        <w:rPr>
          <w:color w:val="231F20"/>
          <w:sz w:val="24"/>
        </w:rPr>
        <w:t>This section summarises the economic developments and the monetary policy decisions taken by the MPC since the August </w:t>
      </w:r>
      <w:r>
        <w:rPr>
          <w:i/>
          <w:color w:val="231F20"/>
          <w:sz w:val="24"/>
        </w:rPr>
        <w:t>Report</w:t>
      </w:r>
      <w:hyperlink w:history="true" w:anchor="_bookmark32">
        <w:r>
          <w:rPr>
            <w:color w:val="231F20"/>
            <w:sz w:val="24"/>
          </w:rPr>
          <w:t>. The minutes of the August,</w:t>
        </w:r>
      </w:hyperlink>
      <w:r>
        <w:rPr>
          <w:color w:val="231F20"/>
          <w:sz w:val="24"/>
        </w:rPr>
        <w:t> </w:t>
      </w:r>
      <w:hyperlink w:history="true" w:anchor="_bookmark33">
        <w:r>
          <w:rPr>
            <w:color w:val="231F20"/>
            <w:sz w:val="24"/>
          </w:rPr>
          <w:t>September</w:t>
        </w:r>
      </w:hyperlink>
      <w:r>
        <w:rPr>
          <w:color w:val="231F20"/>
          <w:sz w:val="24"/>
        </w:rPr>
        <w:t> and </w:t>
      </w:r>
      <w:hyperlink w:history="true" w:anchor="_bookmark35">
        <w:r>
          <w:rPr>
            <w:color w:val="231F20"/>
            <w:sz w:val="24"/>
          </w:rPr>
          <w:t>October</w:t>
        </w:r>
      </w:hyperlink>
      <w:r>
        <w:rPr>
          <w:color w:val="231F20"/>
          <w:sz w:val="24"/>
        </w:rPr>
        <w:t> meetings are attached as an Annex to this </w:t>
      </w:r>
      <w:r>
        <w:rPr>
          <w:i/>
          <w:color w:val="231F20"/>
          <w:sz w:val="24"/>
        </w:rPr>
        <w:t>Report</w:t>
      </w:r>
      <w:r>
        <w:rPr>
          <w:color w:val="231F20"/>
          <w:sz w:val="24"/>
        </w:rPr>
        <w:t>. The Bank of England’s official dealing rate—the repo rate—was reduced from 7.50% to 7.25% in October, and to 6.75% in November.</w:t>
      </w:r>
    </w:p>
    <w:p>
      <w:pPr>
        <w:pStyle w:val="BodyText"/>
        <w:spacing w:before="2"/>
        <w:rPr>
          <w:sz w:val="25"/>
        </w:rPr>
      </w:pPr>
    </w:p>
    <w:p>
      <w:pPr>
        <w:spacing w:line="242" w:lineRule="auto" w:before="0"/>
        <w:ind w:left="4980" w:right="334" w:hanging="1"/>
        <w:jc w:val="left"/>
        <w:rPr>
          <w:sz w:val="24"/>
        </w:rPr>
      </w:pPr>
      <w:r>
        <w:rPr>
          <w:color w:val="231F20"/>
          <w:sz w:val="24"/>
        </w:rPr>
        <w:t>At the time of the August </w:t>
      </w:r>
      <w:r>
        <w:rPr>
          <w:i/>
          <w:color w:val="231F20"/>
          <w:sz w:val="24"/>
        </w:rPr>
        <w:t>Report</w:t>
      </w:r>
      <w:r>
        <w:rPr>
          <w:color w:val="231F20"/>
          <w:sz w:val="24"/>
        </w:rPr>
        <w:t>, the central projection was for RPIX inflation to rise slightly over the </w:t>
      </w:r>
      <w:r>
        <w:rPr>
          <w:color w:val="231F20"/>
          <w:spacing w:val="-3"/>
          <w:sz w:val="24"/>
        </w:rPr>
        <w:t>following </w:t>
      </w:r>
      <w:r>
        <w:rPr>
          <w:color w:val="231F20"/>
          <w:sz w:val="24"/>
        </w:rPr>
        <w:t>twelve months, before falling back close to the target two years ahead. This inflation profile reflected a variety of factors, including a reassessment of labour market pressures following data showing a sharp increase in earnings growth. The balance of risks to inflation was on the upside, but the balance of risks to output was on the downside, reflecting concerns about the world economy and the speed of domestic demand moderation. </w:t>
      </w:r>
      <w:r>
        <w:rPr>
          <w:color w:val="231F20"/>
          <w:spacing w:val="-3"/>
          <w:sz w:val="24"/>
        </w:rPr>
        <w:t>With </w:t>
      </w:r>
      <w:r>
        <w:rPr>
          <w:color w:val="231F20"/>
          <w:sz w:val="24"/>
        </w:rPr>
        <w:t>inflation projected to be close to the target in two years’ time, the Committee voted to leave the repo rate unchanged.</w:t>
      </w:r>
    </w:p>
    <w:p>
      <w:pPr>
        <w:pStyle w:val="BodyText"/>
        <w:spacing w:before="9"/>
        <w:rPr>
          <w:sz w:val="25"/>
        </w:rPr>
      </w:pPr>
    </w:p>
    <w:p>
      <w:pPr>
        <w:spacing w:line="242" w:lineRule="auto" w:before="0"/>
        <w:ind w:left="4980" w:right="314" w:firstLine="0"/>
        <w:jc w:val="left"/>
        <w:rPr>
          <w:sz w:val="24"/>
        </w:rPr>
      </w:pPr>
      <w:hyperlink w:history="true" w:anchor="_bookmark33">
        <w:r>
          <w:rPr>
            <w:color w:val="231F20"/>
            <w:sz w:val="24"/>
          </w:rPr>
          <w:t>At its meeting on 9–10 September,</w:t>
        </w:r>
      </w:hyperlink>
      <w:r>
        <w:rPr>
          <w:color w:val="231F20"/>
          <w:sz w:val="24"/>
        </w:rPr>
        <w:t> the Committee discussed the implications of the crisis in Russia. The unilateral debt restructuring there had led to sharply higher yields on emerging market sovereign debt, and a global widening of spreads on corporate debt. Monetary and fiscal policy had been tightened in a number of emerging market economies, and capital flows to these countries were thought to have come largely to a halt.</w:t>
      </w:r>
    </w:p>
    <w:p>
      <w:pPr>
        <w:spacing w:line="242" w:lineRule="auto" w:before="10"/>
        <w:ind w:left="4980" w:right="270" w:firstLine="0"/>
        <w:jc w:val="left"/>
        <w:rPr>
          <w:sz w:val="24"/>
        </w:rPr>
      </w:pPr>
      <w:r>
        <w:rPr>
          <w:color w:val="231F20"/>
          <w:sz w:val="24"/>
        </w:rPr>
        <w:t>Major world equity market indices had fallen by 5%–10%, and asset price volatility had increased markedly. Market interest rates had fallen in the industrialised countries. And world commodity prices were likely to remain weak, putting financial pressure on commodity-exporting countries.</w:t>
      </w:r>
    </w:p>
    <w:p>
      <w:pPr>
        <w:pStyle w:val="BodyText"/>
        <w:rPr>
          <w:sz w:val="25"/>
        </w:rPr>
      </w:pPr>
    </w:p>
    <w:p>
      <w:pPr>
        <w:spacing w:line="242" w:lineRule="auto" w:before="0"/>
        <w:ind w:left="4980" w:right="308" w:firstLine="0"/>
        <w:jc w:val="left"/>
        <w:rPr>
          <w:sz w:val="24"/>
        </w:rPr>
      </w:pPr>
      <w:r>
        <w:rPr>
          <w:color w:val="231F20"/>
          <w:sz w:val="24"/>
        </w:rPr>
        <w:t>The Committee agreed that the GDP data for the second quarter and industrial production data for July were broadly in line with the central projection for output growth in the August </w:t>
      </w:r>
      <w:r>
        <w:rPr>
          <w:i/>
          <w:color w:val="231F20"/>
          <w:sz w:val="24"/>
        </w:rPr>
        <w:t>Inflation Report</w:t>
      </w:r>
      <w:r>
        <w:rPr>
          <w:color w:val="231F20"/>
          <w:sz w:val="24"/>
        </w:rPr>
        <w:t>. But business surveys were more mixed on the prospects for the rest of the third quarter, with some pointing to negative manufacturing growth. On the demand side, surveys were consistent with slowing growth in retail sales,</w:t>
      </w:r>
    </w:p>
    <w:p>
      <w:pPr>
        <w:spacing w:after="0" w:line="242" w:lineRule="auto"/>
        <w:jc w:val="left"/>
        <w:rPr>
          <w:sz w:val="24"/>
        </w:rPr>
        <w:sectPr>
          <w:headerReference w:type="even" r:id="rId92"/>
          <w:footerReference w:type="even" r:id="rId93"/>
          <w:footerReference w:type="default" r:id="rId94"/>
          <w:pgSz w:w="11900" w:h="16840"/>
          <w:pgMar w:header="0" w:footer="597" w:top="780" w:bottom="780" w:left="620" w:right="520"/>
          <w:pgNumType w:start="38"/>
        </w:sectPr>
      </w:pPr>
    </w:p>
    <w:p>
      <w:pPr>
        <w:pStyle w:val="BodyText"/>
        <w:rPr>
          <w:sz w:val="20"/>
        </w:rPr>
      </w:pPr>
    </w:p>
    <w:p>
      <w:pPr>
        <w:spacing w:after="0"/>
        <w:rPr>
          <w:sz w:val="20"/>
        </w:rPr>
        <w:sectPr>
          <w:headerReference w:type="default" r:id="rId95"/>
          <w:headerReference w:type="even" r:id="rId96"/>
          <w:pgSz w:w="11900" w:h="16840"/>
          <w:pgMar w:header="586" w:footer="617" w:top="780" w:bottom="800" w:left="620" w:right="520"/>
        </w:sectPr>
      </w:pPr>
    </w:p>
    <w:p>
      <w:pPr>
        <w:pStyle w:val="BodyText"/>
        <w:rPr>
          <w:sz w:val="22"/>
        </w:rPr>
      </w:pPr>
    </w:p>
    <w:p>
      <w:pPr>
        <w:pStyle w:val="BodyText"/>
        <w:rPr>
          <w:sz w:val="22"/>
        </w:rPr>
      </w:pPr>
    </w:p>
    <w:p>
      <w:pPr>
        <w:pStyle w:val="BodyText"/>
        <w:rPr>
          <w:sz w:val="22"/>
        </w:rPr>
      </w:pPr>
    </w:p>
    <w:p>
      <w:pPr>
        <w:pStyle w:val="BodyText"/>
        <w:rPr>
          <w:sz w:val="22"/>
        </w:rPr>
      </w:pPr>
    </w:p>
    <w:p>
      <w:pPr>
        <w:pStyle w:val="Heading7"/>
        <w:spacing w:before="164"/>
      </w:pPr>
      <w:r>
        <w:rPr>
          <w:color w:val="0093C1"/>
        </w:rPr>
        <w:t>Table 5.A</w:t>
      </w:r>
    </w:p>
    <w:p>
      <w:pPr>
        <w:spacing w:before="10"/>
        <w:ind w:left="200" w:right="0" w:firstLine="0"/>
        <w:jc w:val="left"/>
        <w:rPr>
          <w:sz w:val="12"/>
        </w:rPr>
      </w:pPr>
      <w:r>
        <w:rPr>
          <w:b/>
          <w:color w:val="0093C1"/>
          <w:sz w:val="20"/>
        </w:rPr>
        <w:t>Revisions to average earnings growth</w:t>
      </w:r>
      <w:r>
        <w:rPr>
          <w:color w:val="231F20"/>
          <w:position w:val="4"/>
          <w:sz w:val="12"/>
        </w:rPr>
        <w:t>(a)</w:t>
      </w:r>
    </w:p>
    <w:p>
      <w:pPr>
        <w:spacing w:line="417" w:lineRule="auto" w:before="107"/>
        <w:ind w:left="200" w:right="1519" w:firstLine="0"/>
        <w:jc w:val="left"/>
        <w:rPr>
          <w:sz w:val="14"/>
        </w:rPr>
      </w:pPr>
      <w:r>
        <w:rPr>
          <w:color w:val="231F20"/>
          <w:sz w:val="14"/>
        </w:rPr>
        <w:t>Percentage changes on a year earlier Release date</w:t>
      </w:r>
    </w:p>
    <w:p>
      <w:pPr>
        <w:tabs>
          <w:tab w:pos="2789" w:val="left" w:leader="none"/>
        </w:tabs>
        <w:spacing w:line="150" w:lineRule="exact" w:before="0"/>
        <w:ind w:left="0" w:right="38" w:firstLine="0"/>
        <w:jc w:val="right"/>
        <w:rPr>
          <w:sz w:val="14"/>
        </w:rPr>
      </w:pPr>
      <w:r>
        <w:rPr>
          <w:color w:val="231F20"/>
          <w:sz w:val="14"/>
        </w:rPr>
        <w:t>MPC meeting   </w:t>
      </w:r>
      <w:r>
        <w:rPr>
          <w:color w:val="231F20"/>
          <w:spacing w:val="28"/>
          <w:sz w:val="14"/>
        </w:rPr>
        <w:t> </w:t>
      </w:r>
      <w:r>
        <w:rPr>
          <w:color w:val="231F20"/>
          <w:sz w:val="14"/>
          <w:u w:val="single" w:color="231F20"/>
        </w:rPr>
        <w:t>1998</w:t>
        <w:tab/>
      </w:r>
    </w:p>
    <w:p>
      <w:pPr>
        <w:tabs>
          <w:tab w:pos="1080" w:val="left" w:leader="none"/>
        </w:tabs>
        <w:spacing w:line="150" w:lineRule="exact" w:before="0"/>
        <w:ind w:left="0" w:right="38" w:firstLine="0"/>
        <w:jc w:val="right"/>
        <w:rPr>
          <w:sz w:val="14"/>
        </w:rPr>
      </w:pPr>
      <w:r>
        <w:rPr>
          <w:color w:val="231F20"/>
          <w:sz w:val="14"/>
          <w:u w:val="single" w:color="231F20"/>
        </w:rPr>
        <w:t>May </w:t>
      </w:r>
      <w:r>
        <w:rPr>
          <w:color w:val="231F20"/>
          <w:sz w:val="14"/>
        </w:rPr>
        <w:t>    </w:t>
      </w:r>
      <w:r>
        <w:rPr>
          <w:color w:val="231F20"/>
          <w:spacing w:val="33"/>
          <w:sz w:val="14"/>
        </w:rPr>
        <w:t> </w:t>
      </w:r>
      <w:r>
        <w:rPr>
          <w:color w:val="231F20"/>
          <w:sz w:val="14"/>
          <w:u w:val="single" w:color="231F20"/>
        </w:rPr>
        <w:t>June</w:t>
      </w:r>
      <w:r>
        <w:rPr>
          <w:color w:val="231F20"/>
          <w:sz w:val="14"/>
        </w:rPr>
        <w:tab/>
      </w:r>
      <w:r>
        <w:rPr>
          <w:color w:val="231F20"/>
          <w:sz w:val="14"/>
          <w:u w:val="single" w:color="231F20"/>
        </w:rPr>
        <w:t>July</w:t>
      </w:r>
      <w:r>
        <w:rPr>
          <w:color w:val="231F20"/>
          <w:spacing w:val="6"/>
          <w:sz w:val="14"/>
        </w:rPr>
        <w:t> </w:t>
      </w:r>
      <w:r>
        <w:rPr>
          <w:color w:val="231F20"/>
          <w:sz w:val="14"/>
          <w:u w:val="single" w:color="231F20"/>
        </w:rPr>
        <w:t>Aug.</w:t>
      </w:r>
      <w:r>
        <w:rPr>
          <w:color w:val="231F20"/>
          <w:spacing w:val="-2"/>
          <w:sz w:val="14"/>
          <w:u w:val="single" w:color="231F20"/>
        </w:rPr>
        <w:t> </w:t>
      </w:r>
    </w:p>
    <w:p>
      <w:pPr>
        <w:pStyle w:val="BodyText"/>
        <w:spacing w:before="7"/>
        <w:rPr>
          <w:sz w:val="5"/>
        </w:rPr>
      </w:pP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9"/>
        <w:gridCol w:w="948"/>
        <w:gridCol w:w="564"/>
        <w:gridCol w:w="524"/>
        <w:gridCol w:w="504"/>
        <w:gridCol w:w="366"/>
      </w:tblGrid>
      <w:tr>
        <w:trPr>
          <w:trHeight w:val="147" w:hRule="atLeast"/>
        </w:trPr>
        <w:tc>
          <w:tcPr>
            <w:tcW w:w="639" w:type="dxa"/>
          </w:tcPr>
          <w:p>
            <w:pPr>
              <w:pStyle w:val="TableParagraph"/>
              <w:spacing w:line="128" w:lineRule="exact"/>
              <w:ind w:right="135"/>
              <w:jc w:val="right"/>
              <w:rPr>
                <w:sz w:val="14"/>
              </w:rPr>
            </w:pPr>
            <w:r>
              <w:rPr>
                <w:color w:val="231F20"/>
                <w:sz w:val="14"/>
              </w:rPr>
              <w:t>12 Aug.</w:t>
            </w:r>
          </w:p>
        </w:tc>
        <w:tc>
          <w:tcPr>
            <w:tcW w:w="948" w:type="dxa"/>
          </w:tcPr>
          <w:p>
            <w:pPr>
              <w:pStyle w:val="TableParagraph"/>
              <w:spacing w:line="128" w:lineRule="exact"/>
              <w:ind w:left="131"/>
              <w:rPr>
                <w:i/>
                <w:sz w:val="14"/>
              </w:rPr>
            </w:pPr>
            <w:r>
              <w:rPr>
                <w:i/>
                <w:color w:val="231F20"/>
                <w:sz w:val="14"/>
              </w:rPr>
              <w:t>9–10 Sept.</w:t>
            </w:r>
          </w:p>
        </w:tc>
        <w:tc>
          <w:tcPr>
            <w:tcW w:w="564" w:type="dxa"/>
          </w:tcPr>
          <w:p>
            <w:pPr>
              <w:pStyle w:val="TableParagraph"/>
              <w:spacing w:line="128" w:lineRule="exact"/>
              <w:ind w:left="207" w:right="140"/>
              <w:jc w:val="center"/>
              <w:rPr>
                <w:sz w:val="14"/>
              </w:rPr>
            </w:pPr>
            <w:r>
              <w:rPr>
                <w:color w:val="231F20"/>
                <w:sz w:val="14"/>
              </w:rPr>
              <w:t>5.3</w:t>
            </w:r>
          </w:p>
        </w:tc>
        <w:tc>
          <w:tcPr>
            <w:tcW w:w="524" w:type="dxa"/>
          </w:tcPr>
          <w:p>
            <w:pPr>
              <w:pStyle w:val="TableParagraph"/>
              <w:spacing w:line="128" w:lineRule="exact"/>
              <w:ind w:left="144" w:right="163"/>
              <w:jc w:val="center"/>
              <w:rPr>
                <w:sz w:val="14"/>
              </w:rPr>
            </w:pPr>
            <w:r>
              <w:rPr>
                <w:color w:val="231F20"/>
                <w:sz w:val="14"/>
              </w:rPr>
              <w:t>4.5</w:t>
            </w:r>
          </w:p>
        </w:tc>
        <w:tc>
          <w:tcPr>
            <w:tcW w:w="504" w:type="dxa"/>
          </w:tcPr>
          <w:p>
            <w:pPr>
              <w:pStyle w:val="TableParagraph"/>
              <w:rPr>
                <w:sz w:val="8"/>
              </w:rPr>
            </w:pPr>
          </w:p>
        </w:tc>
        <w:tc>
          <w:tcPr>
            <w:tcW w:w="366" w:type="dxa"/>
            <w:vMerge w:val="restart"/>
          </w:tcPr>
          <w:p>
            <w:pPr>
              <w:pStyle w:val="TableParagraph"/>
              <w:rPr>
                <w:sz w:val="20"/>
              </w:rPr>
            </w:pPr>
          </w:p>
        </w:tc>
      </w:tr>
      <w:tr>
        <w:trPr>
          <w:trHeight w:val="140" w:hRule="atLeast"/>
        </w:trPr>
        <w:tc>
          <w:tcPr>
            <w:tcW w:w="639" w:type="dxa"/>
          </w:tcPr>
          <w:p>
            <w:pPr>
              <w:pStyle w:val="TableParagraph"/>
              <w:spacing w:line="120" w:lineRule="exact"/>
              <w:ind w:right="128"/>
              <w:jc w:val="right"/>
              <w:rPr>
                <w:sz w:val="14"/>
              </w:rPr>
            </w:pPr>
            <w:r>
              <w:rPr>
                <w:color w:val="231F20"/>
                <w:sz w:val="14"/>
              </w:rPr>
              <w:t>16 Sept.</w:t>
            </w:r>
          </w:p>
        </w:tc>
        <w:tc>
          <w:tcPr>
            <w:tcW w:w="948" w:type="dxa"/>
          </w:tcPr>
          <w:p>
            <w:pPr>
              <w:pStyle w:val="TableParagraph"/>
              <w:rPr>
                <w:sz w:val="8"/>
              </w:rPr>
            </w:pPr>
          </w:p>
        </w:tc>
        <w:tc>
          <w:tcPr>
            <w:tcW w:w="564" w:type="dxa"/>
          </w:tcPr>
          <w:p>
            <w:pPr>
              <w:pStyle w:val="TableParagraph"/>
              <w:spacing w:line="120" w:lineRule="exact"/>
              <w:ind w:left="207" w:right="140"/>
              <w:jc w:val="center"/>
              <w:rPr>
                <w:sz w:val="14"/>
              </w:rPr>
            </w:pPr>
            <w:r>
              <w:rPr>
                <w:color w:val="231F20"/>
                <w:sz w:val="14"/>
              </w:rPr>
              <w:t>5.3</w:t>
            </w:r>
          </w:p>
        </w:tc>
        <w:tc>
          <w:tcPr>
            <w:tcW w:w="524" w:type="dxa"/>
          </w:tcPr>
          <w:p>
            <w:pPr>
              <w:pStyle w:val="TableParagraph"/>
              <w:spacing w:line="120" w:lineRule="exact"/>
              <w:ind w:left="145" w:right="163"/>
              <w:jc w:val="center"/>
              <w:rPr>
                <w:sz w:val="14"/>
              </w:rPr>
            </w:pPr>
            <w:r>
              <w:rPr>
                <w:color w:val="231F20"/>
                <w:sz w:val="14"/>
              </w:rPr>
              <w:t>4.5</w:t>
            </w:r>
          </w:p>
        </w:tc>
        <w:tc>
          <w:tcPr>
            <w:tcW w:w="504" w:type="dxa"/>
          </w:tcPr>
          <w:p>
            <w:pPr>
              <w:pStyle w:val="TableParagraph"/>
              <w:spacing w:line="120" w:lineRule="exact"/>
              <w:ind w:right="136"/>
              <w:jc w:val="right"/>
              <w:rPr>
                <w:sz w:val="14"/>
              </w:rPr>
            </w:pPr>
            <w:r>
              <w:rPr>
                <w:color w:val="231F20"/>
                <w:sz w:val="14"/>
              </w:rPr>
              <w:t>4.3</w:t>
            </w:r>
          </w:p>
        </w:tc>
        <w:tc>
          <w:tcPr>
            <w:tcW w:w="366" w:type="dxa"/>
            <w:vMerge/>
            <w:tcBorders>
              <w:top w:val="nil"/>
            </w:tcBorders>
          </w:tcPr>
          <w:p>
            <w:pPr>
              <w:rPr>
                <w:sz w:val="2"/>
                <w:szCs w:val="2"/>
              </w:rPr>
            </w:pPr>
          </w:p>
        </w:tc>
      </w:tr>
      <w:tr>
        <w:trPr>
          <w:trHeight w:val="140" w:hRule="atLeast"/>
        </w:trPr>
        <w:tc>
          <w:tcPr>
            <w:tcW w:w="639" w:type="dxa"/>
          </w:tcPr>
          <w:p>
            <w:pPr>
              <w:pStyle w:val="TableParagraph"/>
              <w:spacing w:line="120" w:lineRule="exact"/>
              <w:ind w:right="174"/>
              <w:jc w:val="right"/>
              <w:rPr>
                <w:sz w:val="14"/>
              </w:rPr>
            </w:pPr>
            <w:r>
              <w:rPr>
                <w:color w:val="231F20"/>
                <w:sz w:val="14"/>
              </w:rPr>
              <w:t>6 Oct.</w:t>
            </w:r>
          </w:p>
        </w:tc>
        <w:tc>
          <w:tcPr>
            <w:tcW w:w="948" w:type="dxa"/>
          </w:tcPr>
          <w:p>
            <w:pPr>
              <w:pStyle w:val="TableParagraph"/>
              <w:spacing w:line="120" w:lineRule="exact"/>
              <w:ind w:left="131"/>
              <w:rPr>
                <w:i/>
                <w:sz w:val="14"/>
              </w:rPr>
            </w:pPr>
            <w:r>
              <w:rPr>
                <w:i/>
                <w:color w:val="231F20"/>
                <w:sz w:val="14"/>
              </w:rPr>
              <w:t>7–8 Oct.</w:t>
            </w:r>
          </w:p>
        </w:tc>
        <w:tc>
          <w:tcPr>
            <w:tcW w:w="564" w:type="dxa"/>
          </w:tcPr>
          <w:p>
            <w:pPr>
              <w:pStyle w:val="TableParagraph"/>
              <w:spacing w:line="120" w:lineRule="exact"/>
              <w:ind w:left="207" w:right="140"/>
              <w:jc w:val="center"/>
              <w:rPr>
                <w:sz w:val="14"/>
              </w:rPr>
            </w:pPr>
            <w:r>
              <w:rPr>
                <w:color w:val="231F20"/>
                <w:sz w:val="14"/>
              </w:rPr>
              <w:t>5.5</w:t>
            </w:r>
          </w:p>
        </w:tc>
        <w:tc>
          <w:tcPr>
            <w:tcW w:w="524" w:type="dxa"/>
          </w:tcPr>
          <w:p>
            <w:pPr>
              <w:pStyle w:val="TableParagraph"/>
              <w:spacing w:line="120" w:lineRule="exact"/>
              <w:ind w:left="144" w:right="163"/>
              <w:jc w:val="center"/>
              <w:rPr>
                <w:sz w:val="14"/>
              </w:rPr>
            </w:pPr>
            <w:r>
              <w:rPr>
                <w:color w:val="231F20"/>
                <w:sz w:val="14"/>
              </w:rPr>
              <w:t>4.7</w:t>
            </w:r>
          </w:p>
        </w:tc>
        <w:tc>
          <w:tcPr>
            <w:tcW w:w="504" w:type="dxa"/>
          </w:tcPr>
          <w:p>
            <w:pPr>
              <w:pStyle w:val="TableParagraph"/>
              <w:spacing w:line="120" w:lineRule="exact"/>
              <w:ind w:right="136"/>
              <w:jc w:val="right"/>
              <w:rPr>
                <w:sz w:val="14"/>
              </w:rPr>
            </w:pPr>
            <w:r>
              <w:rPr>
                <w:color w:val="231F20"/>
                <w:sz w:val="14"/>
              </w:rPr>
              <w:t>4.8</w:t>
            </w:r>
          </w:p>
        </w:tc>
        <w:tc>
          <w:tcPr>
            <w:tcW w:w="366" w:type="dxa"/>
          </w:tcPr>
          <w:p>
            <w:pPr>
              <w:pStyle w:val="TableParagraph"/>
              <w:rPr>
                <w:sz w:val="8"/>
              </w:rPr>
            </w:pPr>
          </w:p>
        </w:tc>
      </w:tr>
      <w:tr>
        <w:trPr>
          <w:trHeight w:val="147" w:hRule="atLeast"/>
        </w:trPr>
        <w:tc>
          <w:tcPr>
            <w:tcW w:w="639" w:type="dxa"/>
          </w:tcPr>
          <w:p>
            <w:pPr>
              <w:pStyle w:val="TableParagraph"/>
              <w:spacing w:line="128" w:lineRule="exact"/>
              <w:ind w:right="174"/>
              <w:jc w:val="right"/>
              <w:rPr>
                <w:sz w:val="14"/>
              </w:rPr>
            </w:pPr>
            <w:r>
              <w:rPr>
                <w:color w:val="231F20"/>
                <w:sz w:val="14"/>
              </w:rPr>
              <w:t>14 Oct.</w:t>
            </w:r>
          </w:p>
        </w:tc>
        <w:tc>
          <w:tcPr>
            <w:tcW w:w="948" w:type="dxa"/>
          </w:tcPr>
          <w:p>
            <w:pPr>
              <w:pStyle w:val="TableParagraph"/>
              <w:rPr>
                <w:sz w:val="8"/>
              </w:rPr>
            </w:pPr>
          </w:p>
        </w:tc>
        <w:tc>
          <w:tcPr>
            <w:tcW w:w="564" w:type="dxa"/>
          </w:tcPr>
          <w:p>
            <w:pPr>
              <w:pStyle w:val="TableParagraph"/>
              <w:spacing w:line="128" w:lineRule="exact"/>
              <w:ind w:left="207" w:right="141"/>
              <w:jc w:val="center"/>
              <w:rPr>
                <w:sz w:val="14"/>
              </w:rPr>
            </w:pPr>
            <w:r>
              <w:rPr>
                <w:color w:val="231F20"/>
                <w:sz w:val="14"/>
              </w:rPr>
              <w:t>6.3</w:t>
            </w:r>
          </w:p>
        </w:tc>
        <w:tc>
          <w:tcPr>
            <w:tcW w:w="524" w:type="dxa"/>
          </w:tcPr>
          <w:p>
            <w:pPr>
              <w:pStyle w:val="TableParagraph"/>
              <w:spacing w:line="128" w:lineRule="exact"/>
              <w:ind w:left="144" w:right="163"/>
              <w:jc w:val="center"/>
              <w:rPr>
                <w:sz w:val="14"/>
              </w:rPr>
            </w:pPr>
            <w:r>
              <w:rPr>
                <w:color w:val="231F20"/>
                <w:sz w:val="14"/>
              </w:rPr>
              <w:t>4.5</w:t>
            </w:r>
          </w:p>
        </w:tc>
        <w:tc>
          <w:tcPr>
            <w:tcW w:w="504" w:type="dxa"/>
          </w:tcPr>
          <w:p>
            <w:pPr>
              <w:pStyle w:val="TableParagraph"/>
              <w:spacing w:line="128" w:lineRule="exact"/>
              <w:ind w:right="137"/>
              <w:jc w:val="right"/>
              <w:rPr>
                <w:sz w:val="14"/>
              </w:rPr>
            </w:pPr>
            <w:r>
              <w:rPr>
                <w:color w:val="231F20"/>
                <w:sz w:val="14"/>
              </w:rPr>
              <w:t>4.9</w:t>
            </w:r>
          </w:p>
        </w:tc>
        <w:tc>
          <w:tcPr>
            <w:tcW w:w="366" w:type="dxa"/>
          </w:tcPr>
          <w:p>
            <w:pPr>
              <w:pStyle w:val="TableParagraph"/>
              <w:spacing w:line="128" w:lineRule="exact"/>
              <w:ind w:left="146"/>
              <w:rPr>
                <w:sz w:val="14"/>
              </w:rPr>
            </w:pPr>
            <w:r>
              <w:rPr>
                <w:color w:val="231F20"/>
                <w:sz w:val="14"/>
              </w:rPr>
              <w:t>4.5</w:t>
            </w:r>
          </w:p>
        </w:tc>
      </w:tr>
    </w:tbl>
    <w:p>
      <w:pPr>
        <w:spacing w:line="242" w:lineRule="auto" w:before="138"/>
        <w:ind w:left="440" w:right="0" w:hanging="240"/>
        <w:jc w:val="left"/>
        <w:rPr>
          <w:sz w:val="12"/>
        </w:rPr>
      </w:pPr>
      <w:r>
        <w:rPr>
          <w:color w:val="231F20"/>
          <w:sz w:val="12"/>
        </w:rPr>
        <w:t>(a) The ONS has subsequently suspended these data. See Section 3 for further details.</w:t>
      </w:r>
    </w:p>
    <w:p>
      <w:pPr>
        <w:pStyle w:val="Heading4"/>
        <w:spacing w:line="242" w:lineRule="auto" w:before="227"/>
        <w:ind w:right="221"/>
      </w:pPr>
      <w:r>
        <w:rPr/>
        <w:br w:type="column"/>
      </w:r>
      <w:r>
        <w:rPr>
          <w:color w:val="231F20"/>
        </w:rPr>
        <w:t>consumer confidence was weakening, and house prices were no longer accelerating.</w:t>
      </w:r>
    </w:p>
    <w:p>
      <w:pPr>
        <w:pStyle w:val="BodyText"/>
        <w:spacing w:before="6"/>
        <w:rPr>
          <w:sz w:val="24"/>
        </w:rPr>
      </w:pPr>
    </w:p>
    <w:p>
      <w:pPr>
        <w:spacing w:before="1"/>
        <w:ind w:left="200" w:right="0" w:firstLine="0"/>
        <w:jc w:val="left"/>
        <w:rPr>
          <w:sz w:val="24"/>
        </w:rPr>
      </w:pPr>
      <w:r>
        <w:rPr>
          <w:color w:val="231F20"/>
          <w:sz w:val="24"/>
        </w:rPr>
        <w:t>The Committee noted that the slowdown in</w:t>
      </w:r>
    </w:p>
    <w:p>
      <w:pPr>
        <w:spacing w:line="242" w:lineRule="auto" w:before="4"/>
        <w:ind w:left="200" w:right="348" w:firstLine="0"/>
        <w:jc w:val="left"/>
        <w:rPr>
          <w:sz w:val="24"/>
        </w:rPr>
      </w:pPr>
      <w:r>
        <w:rPr>
          <w:color w:val="231F20"/>
          <w:sz w:val="24"/>
        </w:rPr>
        <w:t>twelve-month earnings growth from 5.3% in May to 4.5% in June (see Table 5.A) had been surprising, given evidence of an otherwise tightening labour market. The Committee agreed that it should not place too much weight on one month’s figures. But if the slowdown were confirmed by further data, it would be welcome news in terms of lower domestically generated inflationary pressure.</w:t>
      </w:r>
    </w:p>
    <w:p>
      <w:pPr>
        <w:pStyle w:val="BodyText"/>
        <w:spacing w:before="2"/>
        <w:rPr>
          <w:sz w:val="25"/>
        </w:rPr>
      </w:pPr>
    </w:p>
    <w:p>
      <w:pPr>
        <w:spacing w:line="242" w:lineRule="auto" w:before="0"/>
        <w:ind w:left="200" w:right="349" w:firstLine="0"/>
        <w:jc w:val="left"/>
        <w:rPr>
          <w:sz w:val="24"/>
        </w:rPr>
      </w:pPr>
      <w:r>
        <w:rPr>
          <w:color w:val="231F20"/>
          <w:sz w:val="24"/>
        </w:rPr>
        <w:t>In its discussion of the immediate policy decision, the Committee agreed that the balance of risks to its projection for UK inflation had shifted towards the downside, largely reflecting international developments. The question was whether there was yet a sufficient </w:t>
      </w:r>
      <w:r>
        <w:rPr>
          <w:color w:val="231F20"/>
          <w:spacing w:val="-4"/>
          <w:sz w:val="24"/>
        </w:rPr>
        <w:t>case </w:t>
      </w:r>
      <w:r>
        <w:rPr>
          <w:color w:val="231F20"/>
          <w:sz w:val="24"/>
        </w:rPr>
        <w:t>for rates to be cut. Projections for world growth and inflation had fallen, domestic surveys had weakened, earnings growth had fallen, and equity markets had declined and might fall further. But outturns for domestic data had been much as the Committee had expected, and sterling had fallen since the previous meeting and might fall further if there were an early cut in interest rates. Against this background, the Committee voted to leave the repo rate unchanged. In a statement accompanying the announcement of the decision, the Committee recognised that deterioration in the international economy could increase the risks of inflation falling below the</w:t>
      </w:r>
      <w:r>
        <w:rPr>
          <w:color w:val="231F20"/>
          <w:spacing w:val="-2"/>
          <w:sz w:val="24"/>
        </w:rPr>
        <w:t> </w:t>
      </w:r>
      <w:r>
        <w:rPr>
          <w:color w:val="231F20"/>
          <w:sz w:val="24"/>
        </w:rPr>
        <w:t>target.</w:t>
      </w:r>
    </w:p>
    <w:p>
      <w:pPr>
        <w:pStyle w:val="BodyText"/>
        <w:spacing w:before="4"/>
        <w:rPr>
          <w:sz w:val="26"/>
        </w:rPr>
      </w:pPr>
    </w:p>
    <w:p>
      <w:pPr>
        <w:spacing w:line="242" w:lineRule="auto" w:before="0"/>
        <w:ind w:left="200" w:right="221" w:firstLine="0"/>
        <w:jc w:val="left"/>
        <w:rPr>
          <w:sz w:val="24"/>
        </w:rPr>
      </w:pPr>
      <w:hyperlink w:history="true" w:anchor="_bookmark35">
        <w:r>
          <w:rPr>
            <w:color w:val="231F20"/>
            <w:sz w:val="24"/>
          </w:rPr>
          <w:t>At its meeting on 7–8 October,</w:t>
        </w:r>
      </w:hyperlink>
      <w:r>
        <w:rPr>
          <w:color w:val="231F20"/>
          <w:sz w:val="24"/>
        </w:rPr>
        <w:t> the Committee again discussed developments in the world economy.</w:t>
      </w:r>
    </w:p>
    <w:p>
      <w:pPr>
        <w:spacing w:line="242" w:lineRule="auto" w:before="3"/>
        <w:ind w:left="200" w:right="401" w:firstLine="0"/>
        <w:jc w:val="left"/>
        <w:rPr>
          <w:sz w:val="24"/>
        </w:rPr>
      </w:pPr>
      <w:r>
        <w:rPr>
          <w:color w:val="231F20"/>
          <w:sz w:val="24"/>
        </w:rPr>
        <w:t>Prospects for world output and trade had deteriorated further. The latest IMF projection was for world output to grow by 2.0% in 1998 and 2.5% in 1999, much lower than the previous projection in </w:t>
      </w:r>
      <w:r>
        <w:rPr>
          <w:color w:val="231F20"/>
          <w:spacing w:val="-4"/>
          <w:sz w:val="24"/>
        </w:rPr>
        <w:t>May. </w:t>
      </w:r>
      <w:r>
        <w:rPr>
          <w:color w:val="231F20"/>
          <w:sz w:val="24"/>
        </w:rPr>
        <w:t>The outlook for activity in Japan had worsened again, and the situation in some of the worst-affected emerging </w:t>
      </w:r>
      <w:r>
        <w:rPr>
          <w:color w:val="231F20"/>
          <w:spacing w:val="-4"/>
          <w:sz w:val="24"/>
        </w:rPr>
        <w:t>market </w:t>
      </w:r>
      <w:r>
        <w:rPr>
          <w:color w:val="231F20"/>
          <w:sz w:val="24"/>
        </w:rPr>
        <w:t>economies remained difficult. Problems at Long-Term Capital Management had renewed concerns in the markets about financial fragility. In the United States, there were concerns that the deterioration in confidence might </w:t>
      </w:r>
      <w:r>
        <w:rPr>
          <w:color w:val="231F20"/>
          <w:spacing w:val="-3"/>
          <w:sz w:val="24"/>
        </w:rPr>
        <w:t>have </w:t>
      </w:r>
      <w:r>
        <w:rPr>
          <w:color w:val="231F20"/>
          <w:sz w:val="24"/>
        </w:rPr>
        <w:t>begun to affect credit conditions faced by industrial and commercial firms. In the United Kingdom, spreads on corporate bonds had risen during the previous month. But anecdotal evidence suggested that bank-lending terms had not tightened across the</w:t>
      </w:r>
    </w:p>
    <w:p>
      <w:pPr>
        <w:spacing w:line="242" w:lineRule="auto" w:before="19"/>
        <w:ind w:left="200" w:right="368" w:firstLine="0"/>
        <w:jc w:val="left"/>
        <w:rPr>
          <w:sz w:val="24"/>
        </w:rPr>
      </w:pPr>
      <w:r>
        <w:rPr>
          <w:color w:val="231F20"/>
          <w:sz w:val="24"/>
        </w:rPr>
        <w:t>board for small to medium-sized corporate customers or households.</w:t>
      </w:r>
    </w:p>
    <w:p>
      <w:pPr>
        <w:spacing w:after="0" w:line="242" w:lineRule="auto"/>
        <w:jc w:val="left"/>
        <w:rPr>
          <w:sz w:val="24"/>
        </w:rPr>
        <w:sectPr>
          <w:type w:val="continuous"/>
          <w:pgSz w:w="11900" w:h="16840"/>
          <w:pgMar w:top="1220" w:bottom="280" w:left="620" w:right="520"/>
          <w:cols w:num="2" w:equalWidth="0">
            <w:col w:w="3780" w:space="1000"/>
            <w:col w:w="5980"/>
          </w:cols>
        </w:sectPr>
      </w:pPr>
    </w:p>
    <w:p>
      <w:pPr>
        <w:pStyle w:val="BodyText"/>
        <w:rPr>
          <w:sz w:val="20"/>
        </w:rPr>
      </w:pPr>
    </w:p>
    <w:p>
      <w:pPr>
        <w:spacing w:line="242" w:lineRule="auto" w:before="227"/>
        <w:ind w:left="4999" w:right="529" w:firstLine="0"/>
        <w:jc w:val="left"/>
        <w:rPr>
          <w:sz w:val="24"/>
        </w:rPr>
      </w:pPr>
      <w:r>
        <w:rPr>
          <w:color w:val="231F20"/>
          <w:sz w:val="24"/>
        </w:rPr>
        <w:t>Since the previous meeting, the F</w:t>
      </w:r>
      <w:r>
        <w:rPr>
          <w:color w:val="231F20"/>
          <w:sz w:val="20"/>
        </w:rPr>
        <w:t>T-SE </w:t>
      </w:r>
      <w:r>
        <w:rPr>
          <w:color w:val="231F20"/>
          <w:sz w:val="24"/>
        </w:rPr>
        <w:t>All-Share index had fallen by about 10% and gilt yields had fallen.</w:t>
      </w:r>
    </w:p>
    <w:p>
      <w:pPr>
        <w:spacing w:line="242" w:lineRule="auto" w:before="3"/>
        <w:ind w:left="4999" w:right="309" w:firstLine="0"/>
        <w:jc w:val="left"/>
        <w:rPr>
          <w:sz w:val="24"/>
        </w:rPr>
      </w:pPr>
      <w:r>
        <w:rPr>
          <w:color w:val="231F20"/>
          <w:sz w:val="24"/>
        </w:rPr>
        <w:t>The Committee noted that at least some of the fall in gilt yields probably reflected liquidity or ‘flight-to-quality’ effects, which were likely to prove temporary. Further falls in the sterling effective exchange rate and implied domestic short-term interest rate expectations suggested that markets anticipated a degree of monetary easing.</w:t>
      </w:r>
    </w:p>
    <w:p>
      <w:pPr>
        <w:pStyle w:val="BodyText"/>
        <w:rPr>
          <w:sz w:val="25"/>
        </w:rPr>
      </w:pPr>
    </w:p>
    <w:p>
      <w:pPr>
        <w:spacing w:line="242" w:lineRule="auto" w:before="0"/>
        <w:ind w:left="4999" w:right="314" w:firstLine="0"/>
        <w:jc w:val="left"/>
        <w:rPr>
          <w:sz w:val="24"/>
        </w:rPr>
      </w:pPr>
      <w:r>
        <w:rPr>
          <w:color w:val="231F20"/>
          <w:sz w:val="24"/>
        </w:rPr>
        <w:t>The Committee agreed that, on balance, the National Accounts revisions did not significantly alter its view of the prospects for demand, output and inflation. </w:t>
      </w:r>
      <w:r>
        <w:rPr>
          <w:color w:val="231F20"/>
          <w:spacing w:val="-3"/>
          <w:sz w:val="24"/>
        </w:rPr>
        <w:t>Headline </w:t>
      </w:r>
      <w:r>
        <w:rPr>
          <w:color w:val="231F20"/>
          <w:sz w:val="24"/>
        </w:rPr>
        <w:t>GDP growth in the first half of 1998 was little changed and, although the level of GDP had been revised up, upward revisions to investment suggested that capacity was also higher than previously thought. There was a risk that inventories—which had recently risen—might subsequently fall, reducing GDP growth in the second half of 1998. A survey by the </w:t>
      </w:r>
      <w:r>
        <w:rPr>
          <w:color w:val="231F20"/>
          <w:spacing w:val="-3"/>
          <w:sz w:val="24"/>
        </w:rPr>
        <w:t>Bank’s </w:t>
      </w:r>
      <w:r>
        <w:rPr>
          <w:color w:val="231F20"/>
          <w:sz w:val="24"/>
        </w:rPr>
        <w:t>regional Agents had shown some signs of unplanned inventory accumulation.</w:t>
      </w:r>
    </w:p>
    <w:p>
      <w:pPr>
        <w:pStyle w:val="BodyText"/>
        <w:spacing w:before="7"/>
        <w:rPr>
          <w:sz w:val="25"/>
        </w:rPr>
      </w:pPr>
    </w:p>
    <w:p>
      <w:pPr>
        <w:spacing w:line="242" w:lineRule="auto" w:before="0"/>
        <w:ind w:left="4999" w:right="329" w:firstLine="0"/>
        <w:jc w:val="left"/>
        <w:rPr>
          <w:sz w:val="24"/>
        </w:rPr>
      </w:pPr>
      <w:r>
        <w:rPr>
          <w:color w:val="231F20"/>
          <w:sz w:val="24"/>
        </w:rPr>
        <w:t>Looking ahead, the Committee agreed that the prospects for demand and output seemed weaker than at the time of the previous meeting. Evidence from domestic consumer and business surveys was now almost uniformly weak, and the Bank’s regional Agents were reporting a marked deterioration in business sentiment.</w:t>
      </w:r>
    </w:p>
    <w:p>
      <w:pPr>
        <w:pStyle w:val="BodyText"/>
        <w:rPr>
          <w:sz w:val="25"/>
        </w:rPr>
      </w:pPr>
    </w:p>
    <w:p>
      <w:pPr>
        <w:spacing w:line="242" w:lineRule="auto" w:before="1"/>
        <w:ind w:left="4999" w:right="389" w:firstLine="0"/>
        <w:jc w:val="left"/>
        <w:rPr>
          <w:sz w:val="24"/>
        </w:rPr>
      </w:pPr>
      <w:r>
        <w:rPr>
          <w:color w:val="231F20"/>
          <w:sz w:val="24"/>
        </w:rPr>
        <w:t>Data corrections published on 6 October suggested that growth of the Average Earnings Index had fallen rather less sharply in June and July than previously indicated (see Table 5.A). Given the corrections, and the fact that rebased estimates of the Average Earnings Index would be released on 14 October, the Committee felt more uncertain than usual about the interpretation of the earnings figures.</w:t>
      </w:r>
    </w:p>
    <w:p>
      <w:pPr>
        <w:pStyle w:val="BodyText"/>
        <w:spacing w:before="2"/>
        <w:rPr>
          <w:sz w:val="25"/>
        </w:rPr>
      </w:pPr>
    </w:p>
    <w:p>
      <w:pPr>
        <w:spacing w:line="242" w:lineRule="auto" w:before="0"/>
        <w:ind w:left="4999" w:right="314" w:firstLine="0"/>
        <w:jc w:val="left"/>
        <w:rPr>
          <w:sz w:val="24"/>
        </w:rPr>
      </w:pPr>
      <w:r>
        <w:rPr>
          <w:color w:val="231F20"/>
          <w:sz w:val="24"/>
        </w:rPr>
        <w:t>The Committee recognised that deteriorating domestic sentiment, lower equity prices and the weaker outlook for world activity meant that the slowdown in aggregate demand was likely to be greater, and more protracted, than thought at the time of the August </w:t>
      </w:r>
      <w:r>
        <w:rPr>
          <w:i/>
          <w:color w:val="231F20"/>
          <w:sz w:val="24"/>
        </w:rPr>
        <w:t>Report</w:t>
      </w:r>
      <w:r>
        <w:rPr>
          <w:color w:val="231F20"/>
          <w:sz w:val="24"/>
        </w:rPr>
        <w:t>. Although the extent of this deterioration was uncertain, the risk of inflation falling below the target two years or so ahead had increased. The Committee therefore voted to reduce the repo rate from 7.5% to 7.25%.</w:t>
      </w:r>
    </w:p>
    <w:p>
      <w:pPr>
        <w:pStyle w:val="BodyText"/>
        <w:spacing w:before="4"/>
        <w:rPr>
          <w:sz w:val="25"/>
        </w:rPr>
      </w:pPr>
    </w:p>
    <w:p>
      <w:pPr>
        <w:spacing w:line="242" w:lineRule="auto" w:before="0"/>
        <w:ind w:left="4999" w:right="314" w:firstLine="0"/>
        <w:jc w:val="left"/>
        <w:rPr>
          <w:sz w:val="24"/>
        </w:rPr>
      </w:pPr>
      <w:r>
        <w:rPr>
          <w:color w:val="231F20"/>
          <w:sz w:val="24"/>
        </w:rPr>
        <w:t>At its meeting on 4–5 November, the Committee voted to reduce the repo rate from 7.25% to 6.75%.</w:t>
      </w:r>
    </w:p>
    <w:p>
      <w:pPr>
        <w:spacing w:after="0" w:line="242" w:lineRule="auto"/>
        <w:jc w:val="left"/>
        <w:rPr>
          <w:sz w:val="24"/>
        </w:rPr>
        <w:sectPr>
          <w:footerReference w:type="even" r:id="rId97"/>
          <w:footerReference w:type="default" r:id="rId98"/>
          <w:pgSz w:w="11900" w:h="16840"/>
          <w:pgMar w:footer="597" w:header="586" w:top="780" w:bottom="780" w:left="620" w:right="520"/>
          <w:pgNumType w:start="40"/>
        </w:sectPr>
      </w:pPr>
    </w:p>
    <w:p>
      <w:pPr>
        <w:pStyle w:val="BodyText"/>
        <w:spacing w:line="20" w:lineRule="exact"/>
        <w:ind w:left="158"/>
        <w:rPr>
          <w:sz w:val="2"/>
        </w:rPr>
      </w:pPr>
      <w:r>
        <w:rPr>
          <w:sz w:val="2"/>
        </w:rPr>
        <w:pict>
          <v:group style="width:517pt;height:.15pt;mso-position-horizontal-relative:char;mso-position-vertical-relative:line" coordorigin="0,0" coordsize="10340,3">
            <v:line style="position:absolute" from="0,1" to="10340,1" stroked="true" strokeweight=".125pt" strokecolor="#000000">
              <v:stroke dashstyle="solid"/>
            </v:line>
          </v:group>
        </w:pict>
      </w:r>
      <w:r>
        <w:rPr>
          <w:sz w:val="2"/>
        </w:rPr>
      </w:r>
    </w:p>
    <w:p>
      <w:pPr>
        <w:pStyle w:val="BodyText"/>
        <w:rPr>
          <w:sz w:val="20"/>
        </w:rPr>
      </w:pPr>
    </w:p>
    <w:p>
      <w:pPr>
        <w:pStyle w:val="BodyText"/>
        <w:spacing w:before="5"/>
        <w:rPr>
          <w:sz w:val="17"/>
        </w:rPr>
      </w:pPr>
      <w:r>
        <w:rPr/>
        <w:pict>
          <v:group style="position:absolute;margin-left:40.090pt;margin-top:12.000977pt;width:516pt;height:48pt;mso-position-horizontal-relative:page;mso-position-vertical-relative:paragraph;z-index:-15391232;mso-wrap-distance-left:0;mso-wrap-distance-right:0" coordorigin="802,240" coordsize="10320,960">
            <v:rect style="position:absolute;left:801;top:240;width:10320;height:960" filled="true" fillcolor="#b5dad6" stroked="false">
              <v:fill type="solid"/>
            </v:rect>
            <v:shape style="position:absolute;left:1061;top:455;width:4559;height:532" type="#_x0000_t202" filled="false" stroked="false">
              <v:textbox inset="0,0,0,0">
                <w:txbxContent>
                  <w:p>
                    <w:pPr>
                      <w:spacing w:line="532" w:lineRule="exact" w:before="0"/>
                      <w:ind w:left="0" w:right="0" w:firstLine="0"/>
                      <w:jc w:val="left"/>
                      <w:rPr>
                        <w:b/>
                        <w:sz w:val="48"/>
                      </w:rPr>
                    </w:pPr>
                    <w:bookmarkStart w:name="Prospects for inflation" w:id="77"/>
                    <w:bookmarkEnd w:id="77"/>
                    <w:r>
                      <w:rPr/>
                    </w:r>
                    <w:bookmarkStart w:name="The inflation projection assumptions" w:id="78"/>
                    <w:bookmarkEnd w:id="78"/>
                    <w:r>
                      <w:rPr/>
                    </w:r>
                    <w:bookmarkStart w:name="_bookmark28" w:id="79"/>
                    <w:bookmarkEnd w:id="79"/>
                    <w:r>
                      <w:rPr/>
                    </w:r>
                    <w:r>
                      <w:rPr>
                        <w:b/>
                        <w:color w:val="009483"/>
                        <w:sz w:val="48"/>
                      </w:rPr>
                      <w:t>Prospects </w:t>
                    </w:r>
                    <w:r>
                      <w:rPr>
                        <w:b/>
                        <w:color w:val="009483"/>
                        <w:spacing w:val="-4"/>
                        <w:sz w:val="48"/>
                      </w:rPr>
                      <w:t>for </w:t>
                    </w:r>
                    <w:r>
                      <w:rPr>
                        <w:b/>
                        <w:color w:val="009483"/>
                        <w:sz w:val="48"/>
                      </w:rPr>
                      <w:t>inflation</w:t>
                    </w:r>
                  </w:p>
                </w:txbxContent>
              </v:textbox>
              <w10:wrap type="none"/>
            </v:shape>
            <v:shape style="position:absolute;left:10541;top:301;width:380;height:798" type="#_x0000_t202" filled="false" stroked="false">
              <v:textbox inset="0,0,0,0">
                <w:txbxContent>
                  <w:p>
                    <w:pPr>
                      <w:spacing w:line="797" w:lineRule="exact" w:before="0"/>
                      <w:ind w:left="0" w:right="0" w:firstLine="0"/>
                      <w:jc w:val="left"/>
                      <w:rPr>
                        <w:b/>
                        <w:sz w:val="72"/>
                      </w:rPr>
                    </w:pPr>
                    <w:r>
                      <w:rPr>
                        <w:b/>
                        <w:color w:val="009483"/>
                        <w:sz w:val="72"/>
                      </w:rPr>
                      <w:t>6</w:t>
                    </w:r>
                  </w:p>
                </w:txbxContent>
              </v:textbox>
              <w10:wrap type="none"/>
            </v:shape>
            <w10:wrap type="topAndBottom"/>
          </v:group>
        </w:pict>
      </w:r>
    </w:p>
    <w:p>
      <w:pPr>
        <w:pStyle w:val="BodyText"/>
        <w:rPr>
          <w:sz w:val="20"/>
        </w:rPr>
      </w:pPr>
    </w:p>
    <w:p>
      <w:pPr>
        <w:pStyle w:val="BodyText"/>
        <w:spacing w:before="6"/>
        <w:rPr>
          <w:sz w:val="27"/>
        </w:rPr>
      </w:pPr>
    </w:p>
    <w:p>
      <w:pPr>
        <w:pStyle w:val="ListParagraph"/>
        <w:numPr>
          <w:ilvl w:val="1"/>
          <w:numId w:val="35"/>
        </w:numPr>
        <w:tabs>
          <w:tab w:pos="5871" w:val="left" w:leader="none"/>
          <w:tab w:pos="5872" w:val="left" w:leader="none"/>
          <w:tab w:pos="10479" w:val="left" w:leader="none"/>
        </w:tabs>
        <w:spacing w:line="240" w:lineRule="auto" w:before="89" w:after="0"/>
        <w:ind w:left="5871" w:right="0" w:hanging="892"/>
        <w:jc w:val="left"/>
        <w:rPr>
          <w:b/>
          <w:sz w:val="28"/>
        </w:rPr>
      </w:pPr>
      <w:r>
        <w:rPr>
          <w:b/>
          <w:color w:val="009483"/>
          <w:sz w:val="28"/>
          <w:u w:val="thick" w:color="0093C1"/>
        </w:rPr>
        <w:t>The inflation projection</w:t>
      </w:r>
      <w:r>
        <w:rPr>
          <w:b/>
          <w:color w:val="009483"/>
          <w:spacing w:val="-6"/>
          <w:sz w:val="28"/>
          <w:u w:val="thick" w:color="0093C1"/>
        </w:rPr>
        <w:t> </w:t>
      </w:r>
      <w:r>
        <w:rPr>
          <w:b/>
          <w:color w:val="009483"/>
          <w:sz w:val="28"/>
          <w:u w:val="thick" w:color="0093C1"/>
        </w:rPr>
        <w:t>assumptions</w:t>
        <w:tab/>
      </w:r>
    </w:p>
    <w:p>
      <w:pPr>
        <w:spacing w:line="242" w:lineRule="auto" w:before="263"/>
        <w:ind w:left="4979" w:right="301" w:firstLine="0"/>
        <w:jc w:val="left"/>
        <w:rPr>
          <w:sz w:val="24"/>
        </w:rPr>
      </w:pPr>
      <w:r>
        <w:rPr>
          <w:sz w:val="24"/>
        </w:rPr>
        <w:t>This </w:t>
      </w:r>
      <w:r>
        <w:rPr>
          <w:i/>
          <w:color w:val="231F20"/>
          <w:sz w:val="24"/>
        </w:rPr>
        <w:t>Report</w:t>
      </w:r>
      <w:r>
        <w:rPr>
          <w:color w:val="231F20"/>
          <w:sz w:val="24"/>
        </w:rPr>
        <w:t>, which the MPC approved on 6 November, contains the Committee’s assessment of developments in inflation in the economy since August, and prospects for the medium term. Charts 6.2 and 6.3 below show projections for GDP growth and RPIX inflation up to two years ahead, and the uncertainties surrounding them. The projections assume that official interest rates will remain unchanged at 6.75% during the next two years, and are conditioned on the assumptions described below.</w:t>
      </w:r>
    </w:p>
    <w:p>
      <w:pPr>
        <w:pStyle w:val="BodyText"/>
        <w:spacing w:before="4"/>
        <w:rPr>
          <w:sz w:val="32"/>
        </w:rPr>
      </w:pPr>
    </w:p>
    <w:p>
      <w:pPr>
        <w:spacing w:line="242" w:lineRule="auto" w:before="0"/>
        <w:ind w:left="4979" w:right="283" w:firstLine="0"/>
        <w:jc w:val="left"/>
        <w:rPr>
          <w:sz w:val="24"/>
        </w:rPr>
      </w:pPr>
      <w:r>
        <w:rPr>
          <w:color w:val="231F20"/>
          <w:sz w:val="24"/>
        </w:rPr>
        <w:t>There has been a marked downturn in the prospects for world trade since the August </w:t>
      </w:r>
      <w:r>
        <w:rPr>
          <w:i/>
          <w:color w:val="231F20"/>
          <w:sz w:val="24"/>
        </w:rPr>
        <w:t>Report</w:t>
      </w:r>
      <w:r>
        <w:rPr>
          <w:color w:val="231F20"/>
          <w:sz w:val="24"/>
        </w:rPr>
        <w:t>, following problems in some emerging market economies, disturbed conditions in financial markets, and further weakening in Japan. Demand for UK exports is now likely to be much weaker than thought at the time of the August </w:t>
      </w:r>
      <w:r>
        <w:rPr>
          <w:i/>
          <w:color w:val="231F20"/>
          <w:sz w:val="24"/>
        </w:rPr>
        <w:t>Report</w:t>
      </w:r>
      <w:r>
        <w:rPr>
          <w:color w:val="231F20"/>
          <w:sz w:val="24"/>
        </w:rPr>
        <w:t>. In making its projections, the Committee has taken into account the O</w:t>
      </w:r>
      <w:r>
        <w:rPr>
          <w:color w:val="231F20"/>
          <w:sz w:val="20"/>
        </w:rPr>
        <w:t>ECD </w:t>
      </w:r>
      <w:r>
        <w:rPr>
          <w:color w:val="231F20"/>
          <w:sz w:val="24"/>
        </w:rPr>
        <w:t>and </w:t>
      </w:r>
      <w:r>
        <w:rPr>
          <w:color w:val="231F20"/>
          <w:spacing w:val="-3"/>
          <w:sz w:val="24"/>
        </w:rPr>
        <w:t>IMF’s </w:t>
      </w:r>
      <w:r>
        <w:rPr>
          <w:color w:val="231F20"/>
          <w:sz w:val="24"/>
        </w:rPr>
        <w:t>latest global projections, and has assumed that UK-weighted export markets will grow by around 7</w:t>
      </w:r>
      <w:r>
        <w:rPr>
          <w:color w:val="231F20"/>
          <w:position w:val="8"/>
          <w:sz w:val="12"/>
        </w:rPr>
        <w:t>1</w:t>
      </w:r>
      <w:r>
        <w:rPr>
          <w:color w:val="231F20"/>
          <w:sz w:val="24"/>
        </w:rPr>
        <w:t>/</w:t>
      </w:r>
      <w:r>
        <w:rPr>
          <w:color w:val="231F20"/>
          <w:sz w:val="12"/>
        </w:rPr>
        <w:t>2</w:t>
      </w:r>
      <w:r>
        <w:rPr>
          <w:color w:val="231F20"/>
          <w:sz w:val="24"/>
        </w:rPr>
        <w:t>% in 1998 and just over 6% in 1999 in its central projection. That is a marked fall from growth of just under 10% in 1997. </w:t>
      </w:r>
      <w:r>
        <w:rPr>
          <w:color w:val="231F20"/>
          <w:spacing w:val="-4"/>
          <w:sz w:val="24"/>
        </w:rPr>
        <w:t>However, </w:t>
      </w:r>
      <w:r>
        <w:rPr>
          <w:color w:val="231F20"/>
          <w:sz w:val="24"/>
        </w:rPr>
        <w:t>the slowdown in the growth rate of UK-weighted export markets between 1997 and 1998–99 is likely to be less severe than the slowdown in total world trade, because</w:t>
      </w:r>
      <w:r>
        <w:rPr>
          <w:color w:val="231F20"/>
          <w:spacing w:val="-24"/>
          <w:sz w:val="24"/>
        </w:rPr>
        <w:t> </w:t>
      </w:r>
      <w:r>
        <w:rPr>
          <w:color w:val="231F20"/>
          <w:spacing w:val="-8"/>
          <w:sz w:val="24"/>
        </w:rPr>
        <w:t>of </w:t>
      </w:r>
      <w:r>
        <w:rPr>
          <w:color w:val="231F20"/>
          <w:sz w:val="24"/>
        </w:rPr>
        <w:t>the compression of intra-Asian trade, which accounted for much of the increase in total world trade during the 1990s. But UK exports are likely to grow less quickly than weighted export markets, because of a worsening in competitiveness. There is a risk that growth in industrial countries will be </w:t>
      </w:r>
      <w:r>
        <w:rPr>
          <w:color w:val="231F20"/>
          <w:spacing w:val="-3"/>
          <w:sz w:val="24"/>
        </w:rPr>
        <w:t>even </w:t>
      </w:r>
      <w:r>
        <w:rPr>
          <w:color w:val="231F20"/>
          <w:sz w:val="24"/>
        </w:rPr>
        <w:t>weaker than envisaged in the central projection, especially if wealth effects related to the falls in asset prices are large, or if credit conditions become tighter. So as well as a weaker central projection, the MPC considers that there is a substantial downside risk to UK demand from lower world</w:t>
      </w:r>
      <w:r>
        <w:rPr>
          <w:color w:val="231F20"/>
          <w:spacing w:val="-17"/>
          <w:sz w:val="24"/>
        </w:rPr>
        <w:t> </w:t>
      </w:r>
      <w:r>
        <w:rPr>
          <w:color w:val="231F20"/>
          <w:sz w:val="24"/>
        </w:rPr>
        <w:t>growth.</w:t>
      </w:r>
    </w:p>
    <w:p>
      <w:pPr>
        <w:pStyle w:val="BodyText"/>
        <w:spacing w:before="5"/>
        <w:rPr>
          <w:sz w:val="32"/>
        </w:rPr>
      </w:pPr>
    </w:p>
    <w:p>
      <w:pPr>
        <w:spacing w:line="242" w:lineRule="auto" w:before="0"/>
        <w:ind w:left="4979" w:right="344" w:firstLine="0"/>
        <w:jc w:val="left"/>
        <w:rPr>
          <w:sz w:val="24"/>
        </w:rPr>
      </w:pPr>
      <w:r>
        <w:rPr>
          <w:color w:val="231F20"/>
          <w:sz w:val="24"/>
        </w:rPr>
        <w:t>The outlook is for lower world inflation—and hence for lower imported inflation—than at the time of the </w:t>
      </w:r>
      <w:r>
        <w:rPr>
          <w:color w:val="231F20"/>
          <w:spacing w:val="-3"/>
          <w:sz w:val="24"/>
        </w:rPr>
        <w:t>August </w:t>
      </w:r>
      <w:r>
        <w:rPr>
          <w:i/>
          <w:color w:val="231F20"/>
          <w:sz w:val="24"/>
        </w:rPr>
        <w:t>Report</w:t>
      </w:r>
      <w:r>
        <w:rPr>
          <w:color w:val="231F20"/>
          <w:sz w:val="24"/>
        </w:rPr>
        <w:t>. Commodity prices </w:t>
      </w:r>
      <w:r>
        <w:rPr>
          <w:color w:val="231F20"/>
          <w:spacing w:val="-3"/>
          <w:sz w:val="24"/>
        </w:rPr>
        <w:t>have </w:t>
      </w:r>
      <w:r>
        <w:rPr>
          <w:color w:val="231F20"/>
          <w:sz w:val="24"/>
        </w:rPr>
        <w:t>continued to be weak, as international demand and the prospects for world growth </w:t>
      </w:r>
      <w:r>
        <w:rPr>
          <w:color w:val="231F20"/>
          <w:spacing w:val="-3"/>
          <w:sz w:val="24"/>
        </w:rPr>
        <w:t>have </w:t>
      </w:r>
      <w:r>
        <w:rPr>
          <w:color w:val="231F20"/>
          <w:sz w:val="24"/>
        </w:rPr>
        <w:t>deteriorated. In particular, demand from Japan and emerging market economies is important</w:t>
      </w:r>
      <w:r>
        <w:rPr>
          <w:color w:val="231F20"/>
          <w:spacing w:val="-6"/>
          <w:sz w:val="24"/>
        </w:rPr>
        <w:t> </w:t>
      </w:r>
      <w:r>
        <w:rPr>
          <w:color w:val="231F20"/>
          <w:sz w:val="24"/>
        </w:rPr>
        <w:t>for</w:t>
      </w:r>
    </w:p>
    <w:p>
      <w:pPr>
        <w:spacing w:after="0" w:line="242" w:lineRule="auto"/>
        <w:jc w:val="left"/>
        <w:rPr>
          <w:sz w:val="24"/>
        </w:rPr>
        <w:sectPr>
          <w:headerReference w:type="default" r:id="rId99"/>
          <w:pgSz w:w="11900" w:h="16840"/>
          <w:pgMar w:header="0" w:footer="617" w:top="780" w:bottom="800" w:left="620" w:right="520"/>
        </w:sectPr>
      </w:pPr>
    </w:p>
    <w:p>
      <w:pPr>
        <w:pStyle w:val="BodyText"/>
        <w:rPr>
          <w:sz w:val="20"/>
        </w:rPr>
      </w:pPr>
    </w:p>
    <w:p>
      <w:pPr>
        <w:spacing w:line="242" w:lineRule="auto" w:before="207"/>
        <w:ind w:left="4960" w:right="328" w:firstLine="0"/>
        <w:jc w:val="left"/>
        <w:rPr>
          <w:sz w:val="24"/>
        </w:rPr>
      </w:pPr>
      <w:r>
        <w:rPr>
          <w:sz w:val="24"/>
        </w:rPr>
        <w:t>many commodities. The MPC assumes in its central projection that commodity prices, which are already weak, will be broadly flat through the remainder of 1998 and in 1999, before rising in 2000.</w:t>
      </w:r>
    </w:p>
    <w:p>
      <w:pPr>
        <w:pStyle w:val="BodyText"/>
        <w:rPr>
          <w:sz w:val="17"/>
        </w:rPr>
      </w:pPr>
    </w:p>
    <w:p>
      <w:pPr>
        <w:spacing w:after="0"/>
        <w:rPr>
          <w:sz w:val="17"/>
        </w:rPr>
        <w:sectPr>
          <w:headerReference w:type="even" r:id="rId100"/>
          <w:headerReference w:type="default" r:id="rId101"/>
          <w:footerReference w:type="even" r:id="rId102"/>
          <w:footerReference w:type="default" r:id="rId103"/>
          <w:pgSz w:w="11900" w:h="16840"/>
          <w:pgMar w:header="586" w:footer="597" w:top="780" w:bottom="780" w:left="620" w:right="520"/>
          <w:pgNumType w:start="42"/>
        </w:sectPr>
      </w:pPr>
    </w:p>
    <w:p>
      <w:pPr>
        <w:pStyle w:val="Heading7"/>
        <w:spacing w:before="119"/>
        <w:ind w:left="180"/>
      </w:pPr>
      <w:r>
        <w:rPr>
          <w:color w:val="0093C1"/>
        </w:rPr>
        <w:t>Chart 6.1</w:t>
      </w:r>
    </w:p>
    <w:p>
      <w:pPr>
        <w:spacing w:before="10"/>
        <w:ind w:left="180" w:right="0" w:firstLine="0"/>
        <w:jc w:val="left"/>
        <w:rPr>
          <w:b/>
          <w:sz w:val="20"/>
        </w:rPr>
      </w:pPr>
      <w:r>
        <w:rPr/>
        <w:pict>
          <v:group style="position:absolute;margin-left:43pt;margin-top:39.345947pt;width:169pt;height:140.75pt;mso-position-horizontal-relative:page;mso-position-vertical-relative:paragraph;z-index:16068608" coordorigin="860,787" coordsize="3380,2815">
            <v:shape style="position:absolute;left:1040;top:1596;width:3020;height:1860" coordorigin="1040,1597" coordsize="3020,1860" path="m1040,2097l1140,1597,1240,2457,1340,2357,1440,2037,1540,1637,1640,2837,1740,3137,1840,1817,1940,2137,2040,2237,2140,2237,2240,2597,2340,3057,2440,3457,2540,2737,2640,1957,2740,2277,2840,2457,2940,2297,3040,2077,3140,2497,3240,2737,3340,2997,3440,2737,3540,2697,3640,2297,3760,2397,3840,2197,3960,2237,4060,2937e" filled="false" stroked="true" strokeweight="1pt" strokecolor="#ed1b2d">
              <v:path arrowok="t"/>
              <v:stroke dashstyle="solid"/>
            </v:shape>
            <v:shape style="position:absolute;left:1040;top:796;width:3020;height:2240" coordorigin="1040,797" coordsize="3020,2240" path="m1040,2857l1140,797,1240,2137,1340,2137,1440,2297,1540,1637,1640,1637,1740,2097,1840,1317,1940,1717,2040,2257,2140,1817,2240,1717,2340,3037,2440,3037,2540,2837,2640,1797,2740,1897,2840,2157,2940,1937,3040,1957,3140,2457,3240,2257,3340,1937,3440,1397,3540,1417,3640,1317,3760,1597,3840,1397,3960,1657,4060,2837e" filled="false" stroked="true" strokeweight="1pt" strokecolor="#0066a5">
              <v:path arrowok="t"/>
              <v:stroke dashstyle="solid"/>
            </v:shape>
            <v:shape style="position:absolute;left:860;top:916;width:3380;height:2680" coordorigin="860,917" coordsize="3380,2680" path="m960,3257l860,3257m960,2937l860,2937m960,2597l860,2597m960,2257l860,2257m960,1917l860,1917m960,1597l860,1597m960,1257l860,1257m960,917l860,917m4240,3257l4140,3257m4240,2937l4140,2937m4240,2597l4140,2597m4240,2257l4140,2257m4240,1917l4140,1917m4240,1597l4140,1597m4240,1257l4140,1257m4240,917l4140,917m1040,3597l4040,3597m1040,3597l1040,3557m1140,3597l1140,3557m1240,3597l1240,3557m1340,3597l1340,3557m1440,3597l1440,3557m1540,3597l1540,3557m1640,3597l1640,3557m1740,3597l1740,3557m1840,3597l1840,3557m1940,3597l1940,3557m2040,3597l2040,3557m2140,3597l2140,3557m2240,3597l2240,3557m2340,3597l2340,3557m2440,3597l2440,3557m2540,3597l2540,3557m2640,3597l2640,3557m2740,3597l2740,3557m2840,3597l2840,3557m2940,3597l2940,3557m3040,3597l3040,3557m3140,3597l3140,3557m3240,3597l3240,3557m3340,3597l3340,3557m3440,3597l3440,3557m3540,3597l3540,3557m3640,3597l3640,3557m3740,3597l3740,3557m3840,3597l3840,3557m3940,3597l3940,3557m4040,3597l4040,3557m1240,3597l1240,3497m1740,3597l1740,3497m2240,3597l2240,3497m2740,3597l2740,3497m3240,3597l3240,3497m3740,3597l3740,3497e" filled="false" stroked="true" strokeweight=".5pt" strokecolor="#000000">
              <v:path arrowok="t"/>
              <v:stroke dashstyle="solid"/>
            </v:shape>
            <v:shape style="position:absolute;left:2340;top:1199;width:1210;height:133" type="#_x0000_t202" filled="false" stroked="false">
              <v:textbox inset="0,0,0,0">
                <w:txbxContent>
                  <w:p>
                    <w:pPr>
                      <w:spacing w:line="133" w:lineRule="exact" w:before="0"/>
                      <w:ind w:left="0" w:right="0" w:firstLine="0"/>
                      <w:jc w:val="left"/>
                      <w:rPr>
                        <w:sz w:val="12"/>
                      </w:rPr>
                    </w:pPr>
                    <w:r>
                      <w:rPr>
                        <w:sz w:val="12"/>
                      </w:rPr>
                      <w:t>Developing countries (a)</w:t>
                    </w:r>
                  </w:p>
                </w:txbxContent>
              </v:textbox>
              <w10:wrap type="none"/>
            </v:shape>
            <v:shape style="position:absolute;left:3070;top:3049;width:490;height:133" type="#_x0000_t202" filled="false" stroked="false">
              <v:textbox inset="0,0,0,0">
                <w:txbxContent>
                  <w:p>
                    <w:pPr>
                      <w:spacing w:line="133" w:lineRule="exact" w:before="0"/>
                      <w:ind w:left="0" w:right="0" w:firstLine="0"/>
                      <w:jc w:val="left"/>
                      <w:rPr>
                        <w:sz w:val="12"/>
                      </w:rPr>
                    </w:pPr>
                    <w:r>
                      <w:rPr>
                        <w:sz w:val="12"/>
                      </w:rPr>
                      <w:t>World (a)</w:t>
                    </w:r>
                  </w:p>
                </w:txbxContent>
              </v:textbox>
              <w10:wrap type="none"/>
            </v:shape>
            <w10:wrap type="none"/>
          </v:group>
        </w:pict>
      </w:r>
      <w:r>
        <w:rPr>
          <w:b/>
          <w:color w:val="0093C1"/>
          <w:sz w:val="20"/>
        </w:rPr>
        <w:t>Annual GDP growth</w:t>
      </w:r>
    </w:p>
    <w:p>
      <w:pPr>
        <w:pStyle w:val="BodyText"/>
        <w:spacing w:before="2"/>
        <w:rPr>
          <w:b/>
          <w:sz w:val="27"/>
        </w:rPr>
      </w:pPr>
      <w:r>
        <w:rPr/>
        <w:pict>
          <v:shape style="position:absolute;margin-left:43pt;margin-top:17.861025pt;width:5pt;height:.1pt;mso-position-horizontal-relative:page;mso-position-vertical-relative:paragraph;z-index:-15390720;mso-wrap-distance-left:0;mso-wrap-distance-right:0" coordorigin="860,357" coordsize="100,0" path="m960,357l860,357e" filled="false" stroked="true" strokeweight=".5pt" strokecolor="#000000">
            <v:path arrowok="t"/>
            <v:stroke dashstyle="solid"/>
            <w10:wrap type="topAndBottom"/>
          </v:shape>
        </w:pic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
        <w:rPr>
          <w:b/>
          <w:sz w:val="14"/>
        </w:rPr>
      </w:pPr>
      <w:r>
        <w:rPr/>
        <w:pict>
          <v:shape style="position:absolute;margin-left:43pt;margin-top:10.311719pt;width:5pt;height:.1pt;mso-position-horizontal-relative:page;mso-position-vertical-relative:paragraph;z-index:-15390208;mso-wrap-distance-left:0;mso-wrap-distance-right:0" coordorigin="860,206" coordsize="100,0" path="m960,206l860,206e" filled="false" stroked="true" strokeweight=".5pt" strokecolor="#000000">
            <v:path arrowok="t"/>
            <v:stroke dashstyle="solid"/>
            <w10:wrap type="topAndBottom"/>
          </v:shape>
        </w:pict>
      </w:r>
    </w:p>
    <w:p>
      <w:pPr>
        <w:tabs>
          <w:tab w:pos="1049" w:val="left" w:leader="none"/>
          <w:tab w:pos="1569" w:val="left" w:leader="none"/>
          <w:tab w:pos="2069" w:val="left" w:leader="none"/>
          <w:tab w:pos="2569" w:val="left" w:leader="none"/>
          <w:tab w:pos="3069" w:val="left" w:leader="none"/>
        </w:tabs>
        <w:spacing w:before="0"/>
        <w:ind w:left="270" w:right="0" w:firstLine="0"/>
        <w:jc w:val="left"/>
        <w:rPr>
          <w:sz w:val="12"/>
        </w:rPr>
      </w:pPr>
      <w:r>
        <w:rPr>
          <w:sz w:val="12"/>
        </w:rPr>
        <w:t>1968  70</w:t>
        <w:tab/>
        <w:t>75</w:t>
        <w:tab/>
        <w:t>80</w:t>
        <w:tab/>
        <w:t>85</w:t>
        <w:tab/>
        <w:t>90</w:t>
        <w:tab/>
      </w:r>
      <w:r>
        <w:rPr>
          <w:spacing w:val="-10"/>
          <w:sz w:val="12"/>
        </w:rPr>
        <w:t>95</w:t>
      </w:r>
    </w:p>
    <w:p>
      <w:pPr>
        <w:pStyle w:val="BodyText"/>
        <w:spacing w:before="9"/>
        <w:rPr>
          <w:sz w:val="14"/>
        </w:rPr>
      </w:pPr>
    </w:p>
    <w:p>
      <w:pPr>
        <w:spacing w:before="1"/>
        <w:ind w:left="180" w:right="0" w:firstLine="0"/>
        <w:jc w:val="left"/>
        <w:rPr>
          <w:sz w:val="12"/>
        </w:rPr>
      </w:pPr>
      <w:r>
        <w:rPr>
          <w:sz w:val="12"/>
        </w:rPr>
        <w:t>Source: International Monetary Fund (IMF).</w:t>
      </w:r>
    </w:p>
    <w:p>
      <w:pPr>
        <w:spacing w:line="129" w:lineRule="exact" w:before="102"/>
        <w:ind w:left="180" w:right="0" w:firstLine="0"/>
        <w:jc w:val="left"/>
        <w:rPr>
          <w:sz w:val="12"/>
        </w:rPr>
      </w:pPr>
      <w:r>
        <w:rPr>
          <w:sz w:val="12"/>
        </w:rPr>
        <w:t>(a) 1998 figures are projections from the IMF’s October</w:t>
      </w:r>
    </w:p>
    <w:p>
      <w:pPr>
        <w:spacing w:line="129" w:lineRule="exact" w:before="0"/>
        <w:ind w:left="369" w:right="0" w:firstLine="0"/>
        <w:jc w:val="left"/>
        <w:rPr>
          <w:sz w:val="12"/>
        </w:rPr>
      </w:pPr>
      <w:r>
        <w:rPr>
          <w:i/>
          <w:sz w:val="12"/>
        </w:rPr>
        <w:t>World Economic Outlook</w:t>
      </w:r>
      <w:r>
        <w:rPr>
          <w:sz w:val="12"/>
        </w:rPr>
        <w:t>.</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spacing w:line="119" w:lineRule="exact" w:before="74"/>
        <w:ind w:left="5" w:right="0" w:firstLine="0"/>
        <w:jc w:val="left"/>
        <w:rPr>
          <w:sz w:val="12"/>
        </w:rPr>
      </w:pPr>
      <w:r>
        <w:rPr>
          <w:sz w:val="12"/>
        </w:rPr>
        <w:t>Per cent</w:t>
      </w:r>
    </w:p>
    <w:p>
      <w:pPr>
        <w:spacing w:line="119" w:lineRule="exact" w:before="0"/>
        <w:ind w:left="479" w:right="0" w:firstLine="0"/>
        <w:jc w:val="left"/>
        <w:rPr>
          <w:sz w:val="12"/>
        </w:rPr>
      </w:pPr>
      <w:r>
        <w:rPr/>
        <w:pict>
          <v:line style="position:absolute;mso-position-horizontal-relative:page;mso-position-vertical-relative:paragraph;z-index:16069632" from="212pt,3.15155pt" to="207pt,3.15155pt" stroked="true" strokeweight=".5pt" strokecolor="#000000">
            <v:stroke dashstyle="solid"/>
            <w10:wrap type="none"/>
          </v:line>
        </w:pict>
      </w:r>
      <w:r>
        <w:rPr>
          <w:sz w:val="12"/>
        </w:rPr>
        <w:t>9</w:t>
      </w:r>
    </w:p>
    <w:p>
      <w:pPr>
        <w:pStyle w:val="BodyText"/>
        <w:spacing w:before="9"/>
        <w:rPr>
          <w:sz w:val="15"/>
        </w:rPr>
      </w:pPr>
    </w:p>
    <w:p>
      <w:pPr>
        <w:spacing w:before="0"/>
        <w:ind w:left="0" w:right="38" w:firstLine="0"/>
        <w:jc w:val="right"/>
        <w:rPr>
          <w:sz w:val="12"/>
        </w:rPr>
      </w:pPr>
      <w:r>
        <w:rPr>
          <w:sz w:val="12"/>
        </w:rPr>
        <w:t>8</w:t>
      </w:r>
    </w:p>
    <w:p>
      <w:pPr>
        <w:pStyle w:val="BodyText"/>
        <w:spacing w:before="7"/>
        <w:rPr>
          <w:sz w:val="17"/>
        </w:rPr>
      </w:pPr>
    </w:p>
    <w:p>
      <w:pPr>
        <w:spacing w:before="0"/>
        <w:ind w:left="0" w:right="38" w:firstLine="0"/>
        <w:jc w:val="right"/>
        <w:rPr>
          <w:sz w:val="12"/>
        </w:rPr>
      </w:pPr>
      <w:r>
        <w:rPr>
          <w:sz w:val="12"/>
        </w:rPr>
        <w:t>7</w:t>
      </w:r>
    </w:p>
    <w:p>
      <w:pPr>
        <w:pStyle w:val="BodyText"/>
        <w:spacing w:before="6"/>
        <w:rPr>
          <w:sz w:val="17"/>
        </w:rPr>
      </w:pPr>
    </w:p>
    <w:p>
      <w:pPr>
        <w:spacing w:before="0"/>
        <w:ind w:left="0" w:right="38" w:firstLine="0"/>
        <w:jc w:val="right"/>
        <w:rPr>
          <w:sz w:val="12"/>
        </w:rPr>
      </w:pPr>
      <w:r>
        <w:rPr>
          <w:sz w:val="12"/>
        </w:rPr>
        <w:t>6</w:t>
      </w:r>
    </w:p>
    <w:p>
      <w:pPr>
        <w:pStyle w:val="BodyText"/>
        <w:spacing w:before="10"/>
        <w:rPr>
          <w:sz w:val="15"/>
        </w:rPr>
      </w:pPr>
    </w:p>
    <w:p>
      <w:pPr>
        <w:spacing w:before="0"/>
        <w:ind w:left="0" w:right="38" w:firstLine="0"/>
        <w:jc w:val="right"/>
        <w:rPr>
          <w:sz w:val="12"/>
        </w:rPr>
      </w:pPr>
      <w:r>
        <w:rPr>
          <w:sz w:val="12"/>
        </w:rPr>
        <w:t>5</w:t>
      </w:r>
    </w:p>
    <w:p>
      <w:pPr>
        <w:pStyle w:val="BodyText"/>
        <w:spacing w:before="6"/>
        <w:rPr>
          <w:sz w:val="17"/>
        </w:rPr>
      </w:pPr>
    </w:p>
    <w:p>
      <w:pPr>
        <w:spacing w:before="1"/>
        <w:ind w:left="0" w:right="38" w:firstLine="0"/>
        <w:jc w:val="right"/>
        <w:rPr>
          <w:sz w:val="12"/>
        </w:rPr>
      </w:pPr>
      <w:r>
        <w:rPr>
          <w:sz w:val="12"/>
        </w:rPr>
        <w:t>4</w:t>
      </w:r>
    </w:p>
    <w:p>
      <w:pPr>
        <w:pStyle w:val="BodyText"/>
        <w:spacing w:before="6"/>
        <w:rPr>
          <w:sz w:val="17"/>
        </w:rPr>
      </w:pPr>
    </w:p>
    <w:p>
      <w:pPr>
        <w:spacing w:before="0"/>
        <w:ind w:left="0" w:right="38" w:firstLine="0"/>
        <w:jc w:val="right"/>
        <w:rPr>
          <w:sz w:val="12"/>
        </w:rPr>
      </w:pPr>
      <w:r>
        <w:rPr>
          <w:sz w:val="12"/>
        </w:rPr>
        <w:t>3</w:t>
      </w:r>
    </w:p>
    <w:p>
      <w:pPr>
        <w:pStyle w:val="BodyText"/>
        <w:spacing w:before="6"/>
        <w:rPr>
          <w:sz w:val="17"/>
        </w:rPr>
      </w:pPr>
    </w:p>
    <w:p>
      <w:pPr>
        <w:spacing w:before="1"/>
        <w:ind w:left="0" w:right="38" w:firstLine="0"/>
        <w:jc w:val="right"/>
        <w:rPr>
          <w:sz w:val="12"/>
        </w:rPr>
      </w:pPr>
      <w:r>
        <w:rPr>
          <w:sz w:val="12"/>
        </w:rPr>
        <w:t>2</w:t>
      </w:r>
    </w:p>
    <w:p>
      <w:pPr>
        <w:pStyle w:val="BodyText"/>
        <w:spacing w:before="9"/>
        <w:rPr>
          <w:sz w:val="15"/>
        </w:rPr>
      </w:pPr>
    </w:p>
    <w:p>
      <w:pPr>
        <w:spacing w:before="0"/>
        <w:ind w:left="0" w:right="38" w:firstLine="0"/>
        <w:jc w:val="right"/>
        <w:rPr>
          <w:sz w:val="12"/>
        </w:rPr>
      </w:pPr>
      <w:r>
        <w:rPr>
          <w:sz w:val="12"/>
        </w:rPr>
        <w:t>1</w:t>
      </w:r>
    </w:p>
    <w:p>
      <w:pPr>
        <w:pStyle w:val="BodyText"/>
        <w:spacing w:before="6"/>
        <w:rPr>
          <w:sz w:val="17"/>
        </w:rPr>
      </w:pPr>
    </w:p>
    <w:p>
      <w:pPr>
        <w:spacing w:before="1"/>
        <w:ind w:left="0" w:right="38" w:firstLine="0"/>
        <w:jc w:val="right"/>
        <w:rPr>
          <w:sz w:val="12"/>
        </w:rPr>
      </w:pPr>
      <w:r>
        <w:rPr/>
        <w:pict>
          <v:line style="position:absolute;mso-position-horizontal-relative:page;mso-position-vertical-relative:paragraph;z-index:16069120" from="212pt,4.151563pt" to="207pt,4.151563pt" stroked="true" strokeweight=".5pt" strokecolor="#000000">
            <v:stroke dashstyle="solid"/>
            <w10:wrap type="none"/>
          </v:line>
        </w:pict>
      </w:r>
      <w:r>
        <w:rPr>
          <w:sz w:val="12"/>
        </w:rPr>
        <w:t>0</w:t>
      </w:r>
    </w:p>
    <w:p>
      <w:pPr>
        <w:pStyle w:val="Heading4"/>
        <w:spacing w:line="242" w:lineRule="auto" w:before="90"/>
        <w:ind w:left="180" w:right="247"/>
      </w:pPr>
      <w:r>
        <w:rPr/>
        <w:br w:type="column"/>
      </w:r>
      <w:r>
        <w:rPr/>
        <w:t>In assessing the outlook for UK net exports, it is important to consider demand and prices outside, as well as within, the industrialised countries. Compared with recent downturns in world growth, there is likely to be a different relationship now between activity in industrial and emerging market economies. Developing countries are likely to account for more of the slowdown in world GDP growth than in the early 1990s, when the downturn was primarily in the industrialised countries (Chart 6.1). In particular, if capital flows to emerging market economies decline, their current account deficits will fall (or surpluses rise), with the consequence that deficits will rise (or surpluses fall) in industrialised countries.</w:t>
      </w:r>
    </w:p>
    <w:p>
      <w:pPr>
        <w:pStyle w:val="BodyText"/>
        <w:spacing w:before="3"/>
        <w:rPr>
          <w:sz w:val="22"/>
        </w:rPr>
      </w:pPr>
    </w:p>
    <w:p>
      <w:pPr>
        <w:spacing w:line="242" w:lineRule="auto" w:before="0"/>
        <w:ind w:left="180" w:right="348" w:firstLine="0"/>
        <w:jc w:val="left"/>
        <w:rPr>
          <w:sz w:val="24"/>
        </w:rPr>
      </w:pPr>
      <w:r>
        <w:rPr>
          <w:sz w:val="24"/>
        </w:rPr>
        <w:t>Adjustment in many of the emerging market economies—particularly in East Asia—has given rise to a marked fall in their real exchange rates against industrialised countries. The counterpart to this is a rise in the real exchange rates of industrialised countries as a group. The MPC has considered the consequences for UK growth and inflation of movements in a broad measure of the real effective exchange rate, which includes many emerging market currencies. The extent of the real exchange rate appreciation for the individual industrial countries’ currencies has varied, with Japan recently experiencing an especially large appreciation.</w:t>
      </w:r>
    </w:p>
    <w:p>
      <w:pPr>
        <w:pStyle w:val="BodyText"/>
        <w:spacing w:before="2"/>
        <w:rPr>
          <w:sz w:val="22"/>
        </w:rPr>
      </w:pPr>
    </w:p>
    <w:p>
      <w:pPr>
        <w:spacing w:line="242" w:lineRule="auto" w:before="0"/>
        <w:ind w:left="180" w:right="259" w:firstLine="0"/>
        <w:jc w:val="left"/>
        <w:rPr>
          <w:sz w:val="24"/>
        </w:rPr>
      </w:pPr>
      <w:r>
        <w:rPr>
          <w:sz w:val="24"/>
        </w:rPr>
        <w:t>The sterling exchange rate against other industrialised countries—as measured by the effective exchange rate index—averaged 100.0 in the 15 working days up to and including 4 November; this is the starting-point for the assumed exchange rate profile in the projection. It compares with an average of 104.7 at the time of the August </w:t>
      </w:r>
      <w:r>
        <w:rPr>
          <w:i/>
          <w:sz w:val="24"/>
        </w:rPr>
        <w:t>Report </w:t>
      </w:r>
      <w:r>
        <w:rPr>
          <w:sz w:val="24"/>
        </w:rPr>
        <w:t>(and an implied level of around 103.8 for November in the August projection). At the short end of the yield curve, the differential between the expected path of UK and overseas interest rates has narrowed </w:t>
      </w:r>
      <w:r>
        <w:rPr>
          <w:spacing w:val="-4"/>
          <w:sz w:val="24"/>
        </w:rPr>
        <w:t>since </w:t>
      </w:r>
      <w:r>
        <w:rPr>
          <w:sz w:val="24"/>
        </w:rPr>
        <w:t>the August </w:t>
      </w:r>
      <w:r>
        <w:rPr>
          <w:i/>
          <w:sz w:val="24"/>
        </w:rPr>
        <w:t>Report</w:t>
      </w:r>
      <w:r>
        <w:rPr>
          <w:sz w:val="24"/>
        </w:rPr>
        <w:t>, and can account for some of the fall in the effective index since then. Looking further ahead, implied forward nominal interest rates expected in the United Kingdom </w:t>
      </w:r>
      <w:r>
        <w:rPr>
          <w:spacing w:val="-3"/>
          <w:sz w:val="24"/>
        </w:rPr>
        <w:t>have </w:t>
      </w:r>
      <w:r>
        <w:rPr>
          <w:sz w:val="24"/>
        </w:rPr>
        <w:t>risen slightly relative to overseas. This is consistent with markets expecting a steeper depreciation of sterling than at the time of the August </w:t>
      </w:r>
      <w:r>
        <w:rPr>
          <w:i/>
          <w:sz w:val="24"/>
        </w:rPr>
        <w:t>Report</w:t>
      </w:r>
      <w:r>
        <w:rPr>
          <w:sz w:val="24"/>
        </w:rPr>
        <w:t>.</w:t>
      </w:r>
    </w:p>
    <w:p>
      <w:pPr>
        <w:pStyle w:val="BodyText"/>
        <w:spacing w:before="9"/>
        <w:rPr>
          <w:sz w:val="22"/>
        </w:rPr>
      </w:pPr>
    </w:p>
    <w:p>
      <w:pPr>
        <w:spacing w:line="242" w:lineRule="auto" w:before="0"/>
        <w:ind w:left="180" w:right="507" w:firstLine="0"/>
        <w:jc w:val="left"/>
        <w:rPr>
          <w:sz w:val="24"/>
        </w:rPr>
      </w:pPr>
      <w:r>
        <w:rPr>
          <w:sz w:val="24"/>
        </w:rPr>
        <w:t>In judging the most likely path for sterling, conditional on unchanged UK nominal interest rates, the MPC has</w:t>
      </w:r>
    </w:p>
    <w:p>
      <w:pPr>
        <w:spacing w:after="0" w:line="242" w:lineRule="auto"/>
        <w:jc w:val="left"/>
        <w:rPr>
          <w:sz w:val="24"/>
        </w:rPr>
        <w:sectPr>
          <w:type w:val="continuous"/>
          <w:pgSz w:w="11900" w:h="16840"/>
          <w:pgMar w:top="1220" w:bottom="280" w:left="620" w:right="520"/>
          <w:cols w:num="3" w:equalWidth="0">
            <w:col w:w="3191" w:space="40"/>
            <w:col w:w="580" w:space="969"/>
            <w:col w:w="5980"/>
          </w:cols>
        </w:sectPr>
      </w:pPr>
    </w:p>
    <w:p>
      <w:pPr>
        <w:pStyle w:val="BodyText"/>
        <w:rPr>
          <w:sz w:val="20"/>
        </w:rPr>
      </w:pPr>
    </w:p>
    <w:p>
      <w:pPr>
        <w:spacing w:line="242" w:lineRule="auto" w:before="207"/>
        <w:ind w:left="4980" w:right="308" w:firstLine="0"/>
        <w:jc w:val="left"/>
        <w:rPr>
          <w:sz w:val="24"/>
        </w:rPr>
      </w:pPr>
      <w:r>
        <w:rPr>
          <w:sz w:val="24"/>
        </w:rPr>
        <w:t>taken into account both interest rate differentials and </w:t>
      </w:r>
      <w:r>
        <w:rPr>
          <w:spacing w:val="-5"/>
          <w:sz w:val="24"/>
        </w:rPr>
        <w:t>risk </w:t>
      </w:r>
      <w:r>
        <w:rPr>
          <w:sz w:val="24"/>
        </w:rPr>
        <w:t>considerations.  In the central projection, the sterling ERI declines to 97.7 by the end of the forecast period.</w:t>
      </w:r>
    </w:p>
    <w:p>
      <w:pPr>
        <w:spacing w:before="4"/>
        <w:ind w:left="4980" w:right="0" w:firstLine="0"/>
        <w:jc w:val="left"/>
        <w:rPr>
          <w:sz w:val="24"/>
        </w:rPr>
      </w:pPr>
      <w:r>
        <w:rPr>
          <w:sz w:val="24"/>
        </w:rPr>
        <w:t>This implies bilateral sterling exchange rates of</w:t>
      </w:r>
      <w:r>
        <w:rPr>
          <w:spacing w:val="-4"/>
          <w:sz w:val="24"/>
        </w:rPr>
        <w:t> </w:t>
      </w:r>
      <w:r>
        <w:rPr>
          <w:sz w:val="24"/>
        </w:rPr>
        <w:t>about</w:t>
      </w:r>
    </w:p>
    <w:p>
      <w:pPr>
        <w:spacing w:line="242" w:lineRule="auto" w:before="4"/>
        <w:ind w:left="4980" w:right="363" w:firstLine="0"/>
        <w:jc w:val="left"/>
        <w:rPr>
          <w:sz w:val="24"/>
        </w:rPr>
      </w:pPr>
      <w:r>
        <w:rPr>
          <w:sz w:val="24"/>
        </w:rPr>
        <w:t>$1.68 and DM 2.69 two years ahead. In the </w:t>
      </w:r>
      <w:r>
        <w:rPr>
          <w:spacing w:val="-3"/>
          <w:sz w:val="24"/>
        </w:rPr>
        <w:t>MPC’s </w:t>
      </w:r>
      <w:r>
        <w:rPr>
          <w:spacing w:val="-5"/>
          <w:sz w:val="24"/>
        </w:rPr>
        <w:t>view, </w:t>
      </w:r>
      <w:r>
        <w:rPr>
          <w:sz w:val="24"/>
        </w:rPr>
        <w:t>the risks of a fall relative to the central projection are slightly greater than the risks of a rise. On average, the sterling ERI is expected to decline more steeply </w:t>
      </w:r>
      <w:r>
        <w:rPr>
          <w:spacing w:val="-5"/>
          <w:sz w:val="24"/>
        </w:rPr>
        <w:t>than </w:t>
      </w:r>
      <w:r>
        <w:rPr>
          <w:sz w:val="24"/>
        </w:rPr>
        <w:t>in the central projection, reaching a level of 94.9 in two years’ time.</w:t>
      </w:r>
    </w:p>
    <w:p>
      <w:pPr>
        <w:pStyle w:val="BodyText"/>
        <w:spacing w:before="8"/>
        <w:rPr>
          <w:sz w:val="26"/>
        </w:rPr>
      </w:pPr>
    </w:p>
    <w:p>
      <w:pPr>
        <w:spacing w:line="242" w:lineRule="auto" w:before="1"/>
        <w:ind w:left="4980" w:right="299" w:firstLine="0"/>
        <w:jc w:val="left"/>
        <w:rPr>
          <w:sz w:val="24"/>
        </w:rPr>
      </w:pPr>
      <w:r>
        <w:rPr>
          <w:sz w:val="24"/>
        </w:rPr>
        <w:t>The </w:t>
      </w:r>
      <w:r>
        <w:rPr>
          <w:spacing w:val="-3"/>
          <w:sz w:val="24"/>
        </w:rPr>
        <w:t>MPC’s </w:t>
      </w:r>
      <w:r>
        <w:rPr>
          <w:sz w:val="24"/>
        </w:rPr>
        <w:t>central projection assumes that there will not be a credit crunch in the United Kingdom. Despite speculation about a tightening in credit conditions, money and credit growth </w:t>
      </w:r>
      <w:r>
        <w:rPr>
          <w:spacing w:val="-3"/>
          <w:sz w:val="24"/>
        </w:rPr>
        <w:t>have </w:t>
      </w:r>
      <w:r>
        <w:rPr>
          <w:sz w:val="24"/>
        </w:rPr>
        <w:t>so far remained robust. In capital markets, spreads on corporate debt </w:t>
      </w:r>
      <w:r>
        <w:rPr>
          <w:spacing w:val="-3"/>
          <w:sz w:val="24"/>
        </w:rPr>
        <w:t>have </w:t>
      </w:r>
      <w:r>
        <w:rPr>
          <w:sz w:val="24"/>
        </w:rPr>
        <w:t>risen following the recent turbulence in financial markets. But despite the rise in spreads, nominal yields on high-rated corporate bonds are significantly lower now than a year ago. Beyond this, there are few signs of tightening </w:t>
      </w:r>
      <w:r>
        <w:rPr>
          <w:spacing w:val="-3"/>
          <w:sz w:val="24"/>
        </w:rPr>
        <w:t>credit </w:t>
      </w:r>
      <w:r>
        <w:rPr>
          <w:sz w:val="24"/>
        </w:rPr>
        <w:t>conditions.  There is still, </w:t>
      </w:r>
      <w:r>
        <w:rPr>
          <w:spacing w:val="-4"/>
          <w:sz w:val="24"/>
        </w:rPr>
        <w:t>however, </w:t>
      </w:r>
      <w:r>
        <w:rPr>
          <w:sz w:val="24"/>
        </w:rPr>
        <w:t>a small risk of a  more marked reduction in the supply of credit, which would affect aggregate demand and inflation. The MPC has taken account of this as a downside risk to the central projection.</w:t>
      </w:r>
    </w:p>
    <w:p>
      <w:pPr>
        <w:pStyle w:val="BodyText"/>
        <w:spacing w:before="4"/>
        <w:rPr>
          <w:sz w:val="29"/>
        </w:rPr>
      </w:pPr>
    </w:p>
    <w:p>
      <w:pPr>
        <w:spacing w:line="242" w:lineRule="auto" w:before="0"/>
        <w:ind w:left="4980" w:right="464" w:firstLine="0"/>
        <w:jc w:val="left"/>
        <w:rPr>
          <w:sz w:val="24"/>
        </w:rPr>
      </w:pPr>
      <w:r>
        <w:rPr>
          <w:sz w:val="24"/>
        </w:rPr>
        <w:t>The autumn pre-Budget fiscal statement was made on 3 November, and these latest figures for nominal government expenditure </w:t>
      </w:r>
      <w:r>
        <w:rPr>
          <w:spacing w:val="-3"/>
          <w:sz w:val="24"/>
        </w:rPr>
        <w:t>have </w:t>
      </w:r>
      <w:r>
        <w:rPr>
          <w:sz w:val="24"/>
        </w:rPr>
        <w:t>been factored into the </w:t>
      </w:r>
      <w:r>
        <w:rPr>
          <w:spacing w:val="-3"/>
          <w:sz w:val="24"/>
        </w:rPr>
        <w:t>MPC’s </w:t>
      </w:r>
      <w:r>
        <w:rPr>
          <w:sz w:val="24"/>
        </w:rPr>
        <w:t>projections. The overall fiscal stance is </w:t>
      </w:r>
      <w:r>
        <w:rPr>
          <w:spacing w:val="-3"/>
          <w:sz w:val="24"/>
        </w:rPr>
        <w:t>broadly </w:t>
      </w:r>
      <w:r>
        <w:rPr>
          <w:sz w:val="24"/>
        </w:rPr>
        <w:t>the same as at the time of the August </w:t>
      </w:r>
      <w:r>
        <w:rPr>
          <w:i/>
          <w:sz w:val="24"/>
        </w:rPr>
        <w:t>Report</w:t>
      </w:r>
      <w:r>
        <w:rPr>
          <w:sz w:val="24"/>
        </w:rPr>
        <w:t>, after allowing for the effects of the ESA accounting changes and projections of weaker </w:t>
      </w:r>
      <w:r>
        <w:rPr>
          <w:spacing w:val="-3"/>
          <w:sz w:val="24"/>
        </w:rPr>
        <w:t>activity.</w:t>
      </w:r>
    </w:p>
    <w:p>
      <w:pPr>
        <w:pStyle w:val="BodyText"/>
        <w:spacing w:before="7"/>
        <w:rPr>
          <w:sz w:val="28"/>
        </w:rPr>
      </w:pPr>
    </w:p>
    <w:p>
      <w:pPr>
        <w:spacing w:line="242" w:lineRule="auto" w:before="0"/>
        <w:ind w:left="4980" w:right="674" w:firstLine="0"/>
        <w:jc w:val="left"/>
        <w:rPr>
          <w:sz w:val="24"/>
        </w:rPr>
      </w:pPr>
      <w:r>
        <w:rPr>
          <w:sz w:val="24"/>
        </w:rPr>
        <w:t>The EU Working Time Directive came into force in October. The MPC judges that although there is a risk that this might raise the wages and salaries bill, and so affect the level of retail prices, it is not sufficient to warrant changing the central projection</w:t>
      </w:r>
    </w:p>
    <w:p>
      <w:pPr>
        <w:spacing w:line="242" w:lineRule="auto" w:before="6"/>
        <w:ind w:left="4980" w:right="375" w:firstLine="0"/>
        <w:jc w:val="left"/>
        <w:rPr>
          <w:sz w:val="24"/>
        </w:rPr>
      </w:pPr>
      <w:r>
        <w:rPr>
          <w:sz w:val="24"/>
        </w:rPr>
        <w:t>for RPIX inflation two years ahead, but it is reflected in a small upside risk to inflation in the first year of the projection.</w:t>
      </w:r>
    </w:p>
    <w:p>
      <w:pPr>
        <w:pStyle w:val="BodyText"/>
        <w:spacing w:before="2"/>
        <w:rPr>
          <w:sz w:val="28"/>
        </w:rPr>
      </w:pPr>
    </w:p>
    <w:p>
      <w:pPr>
        <w:spacing w:line="242" w:lineRule="auto" w:before="0"/>
        <w:ind w:left="4980" w:right="314" w:firstLine="0"/>
        <w:jc w:val="left"/>
        <w:rPr>
          <w:sz w:val="24"/>
        </w:rPr>
      </w:pPr>
      <w:r>
        <w:rPr>
          <w:sz w:val="24"/>
        </w:rPr>
        <w:t>Millennium-related investment expenditure is continuing—for example, on Year 2000 compliant software. The MPC has included a small upside risk to inflation from this source. There has also been speculation about a disruption to output early in 2000 from the ‘Millennium bug’, but any effect is very difficult to quantify. The MPC’s central projection assumes no material impact from any disruption.</w:t>
      </w:r>
    </w:p>
    <w:p>
      <w:pPr>
        <w:spacing w:after="0" w:line="242" w:lineRule="auto"/>
        <w:jc w:val="left"/>
        <w:rPr>
          <w:sz w:val="24"/>
        </w:rPr>
        <w:sectPr>
          <w:pgSz w:w="11900" w:h="16840"/>
          <w:pgMar w:header="586" w:footer="617" w:top="780" w:bottom="800" w:left="620" w:right="520"/>
        </w:sectPr>
      </w:pPr>
    </w:p>
    <w:p>
      <w:pPr>
        <w:pStyle w:val="BodyText"/>
        <w:spacing w:before="6"/>
        <w:rPr>
          <w:sz w:val="29"/>
        </w:rPr>
      </w:pPr>
    </w:p>
    <w:p>
      <w:pPr>
        <w:pStyle w:val="ListParagraph"/>
        <w:numPr>
          <w:ilvl w:val="1"/>
          <w:numId w:val="35"/>
        </w:numPr>
        <w:tabs>
          <w:tab w:pos="5681" w:val="left" w:leader="none"/>
          <w:tab w:pos="5682" w:val="left" w:leader="none"/>
          <w:tab w:pos="10479" w:val="left" w:leader="none"/>
        </w:tabs>
        <w:spacing w:line="240" w:lineRule="auto" w:before="88" w:after="0"/>
        <w:ind w:left="5681" w:right="0" w:hanging="722"/>
        <w:jc w:val="left"/>
        <w:rPr>
          <w:b/>
          <w:sz w:val="28"/>
        </w:rPr>
      </w:pPr>
      <w:bookmarkStart w:name="The medium-term inflation projection" w:id="80"/>
      <w:bookmarkEnd w:id="80"/>
      <w:r>
        <w:rPr/>
      </w:r>
      <w:bookmarkStart w:name="_bookmark29" w:id="81"/>
      <w:bookmarkEnd w:id="81"/>
      <w:r>
        <w:rPr/>
      </w:r>
      <w:bookmarkStart w:name="_bookmark29" w:id="82"/>
      <w:bookmarkEnd w:id="82"/>
      <w:r>
        <w:rPr>
          <w:b/>
          <w:color w:val="009483"/>
          <w:sz w:val="28"/>
          <w:u w:val="thick" w:color="0093C1"/>
        </w:rPr>
        <w:t>Th</w:t>
      </w:r>
      <w:r>
        <w:rPr>
          <w:b/>
          <w:color w:val="009483"/>
          <w:sz w:val="28"/>
          <w:u w:val="thick" w:color="0093C1"/>
        </w:rPr>
        <w:t>e medium-term inflation</w:t>
      </w:r>
      <w:r>
        <w:rPr>
          <w:b/>
          <w:color w:val="009483"/>
          <w:spacing w:val="-6"/>
          <w:sz w:val="28"/>
          <w:u w:val="thick" w:color="0093C1"/>
        </w:rPr>
        <w:t> </w:t>
      </w:r>
      <w:r>
        <w:rPr>
          <w:b/>
          <w:color w:val="009483"/>
          <w:sz w:val="28"/>
          <w:u w:val="thick" w:color="0093C1"/>
        </w:rPr>
        <w:t>projection</w:t>
        <w:tab/>
      </w:r>
    </w:p>
    <w:p>
      <w:pPr>
        <w:spacing w:line="242" w:lineRule="auto" w:before="264"/>
        <w:ind w:left="4959" w:right="314" w:firstLine="0"/>
        <w:jc w:val="left"/>
        <w:rPr>
          <w:sz w:val="24"/>
        </w:rPr>
      </w:pPr>
      <w:r>
        <w:rPr>
          <w:sz w:val="24"/>
        </w:rPr>
        <w:t>The September changes to the National Accounts were extensive.  The revised figures showed that output growth in 1998 Q2 was as expected at the time of the August </w:t>
      </w:r>
      <w:r>
        <w:rPr>
          <w:i/>
          <w:sz w:val="24"/>
        </w:rPr>
        <w:t>Inflation Report</w:t>
      </w:r>
      <w:r>
        <w:rPr>
          <w:sz w:val="24"/>
        </w:rPr>
        <w:t>, although there had been a change in the balance between external and domestic demand. Overall, the National Accounts revisions do </w:t>
      </w:r>
      <w:r>
        <w:rPr>
          <w:spacing w:val="-6"/>
          <w:sz w:val="24"/>
        </w:rPr>
        <w:t>not </w:t>
      </w:r>
      <w:r>
        <w:rPr>
          <w:sz w:val="24"/>
        </w:rPr>
        <w:t>significantly affect the immediate prospects for demand and output</w:t>
      </w:r>
      <w:r>
        <w:rPr>
          <w:spacing w:val="-1"/>
          <w:sz w:val="24"/>
        </w:rPr>
        <w:t> </w:t>
      </w:r>
      <w:r>
        <w:rPr>
          <w:sz w:val="24"/>
        </w:rPr>
        <w:t>growth.</w:t>
      </w:r>
    </w:p>
    <w:p>
      <w:pPr>
        <w:pStyle w:val="BodyText"/>
        <w:spacing w:before="11"/>
        <w:rPr>
          <w:sz w:val="26"/>
        </w:rPr>
      </w:pPr>
    </w:p>
    <w:p>
      <w:pPr>
        <w:spacing w:line="242" w:lineRule="auto" w:before="0"/>
        <w:ind w:left="4959" w:right="308" w:firstLine="0"/>
        <w:jc w:val="left"/>
        <w:rPr>
          <w:sz w:val="24"/>
        </w:rPr>
      </w:pPr>
      <w:r>
        <w:rPr>
          <w:sz w:val="24"/>
        </w:rPr>
        <w:t>The preliminary estimate of GDP in Q3 was for growth of 0.5%, which was slightly higher than in the central projection of the August </w:t>
      </w:r>
      <w:r>
        <w:rPr>
          <w:i/>
          <w:sz w:val="24"/>
        </w:rPr>
        <w:t>Report</w:t>
      </w:r>
      <w:r>
        <w:rPr>
          <w:sz w:val="24"/>
        </w:rPr>
        <w:t>. Services output increased by 0.6%. The subsequent industrial production figures showed that output had risen by 0.1% in Q3. The strength of GDP growth in the third quarter contrasts with the business survey evidence. Reports from the </w:t>
      </w:r>
      <w:r>
        <w:rPr>
          <w:spacing w:val="-3"/>
          <w:sz w:val="24"/>
        </w:rPr>
        <w:t>Bank’s </w:t>
      </w:r>
      <w:r>
        <w:rPr>
          <w:sz w:val="24"/>
        </w:rPr>
        <w:t>regional Agencies also suggested that business sentiment had weakened sharply during the summer and autumn. The weakness in surveys has become more uniform since the August </w:t>
      </w:r>
      <w:r>
        <w:rPr>
          <w:i/>
          <w:sz w:val="24"/>
        </w:rPr>
        <w:t>Report</w:t>
      </w:r>
      <w:r>
        <w:rPr>
          <w:sz w:val="24"/>
        </w:rPr>
        <w:t>.  In particular, there was a further marked deterioration in both the recent quarterly CBI and BCC</w:t>
      </w:r>
      <w:r>
        <w:rPr>
          <w:spacing w:val="-1"/>
          <w:sz w:val="24"/>
        </w:rPr>
        <w:t> </w:t>
      </w:r>
      <w:r>
        <w:rPr>
          <w:sz w:val="24"/>
        </w:rPr>
        <w:t>surveys.</w:t>
      </w:r>
    </w:p>
    <w:p>
      <w:pPr>
        <w:pStyle w:val="BodyText"/>
        <w:spacing w:before="6"/>
        <w:rPr>
          <w:sz w:val="27"/>
        </w:rPr>
      </w:pPr>
    </w:p>
    <w:p>
      <w:pPr>
        <w:spacing w:line="242" w:lineRule="auto" w:before="0"/>
        <w:ind w:left="4960" w:right="174" w:firstLine="0"/>
        <w:jc w:val="left"/>
        <w:rPr>
          <w:sz w:val="24"/>
        </w:rPr>
      </w:pPr>
      <w:r>
        <w:rPr>
          <w:sz w:val="24"/>
        </w:rPr>
        <w:t>There are various possible explanations for the contrast between the survey evidence and the official output data. But essentially the output data are backward-looking, while the surveys are more forward-looking, and this is reflected in the MPC’s forecast.</w:t>
      </w:r>
    </w:p>
    <w:p>
      <w:pPr>
        <w:pStyle w:val="BodyText"/>
        <w:spacing w:before="4"/>
        <w:rPr>
          <w:sz w:val="28"/>
        </w:rPr>
      </w:pPr>
    </w:p>
    <w:p>
      <w:pPr>
        <w:spacing w:line="242" w:lineRule="auto" w:before="1"/>
        <w:ind w:left="4960" w:right="291" w:firstLine="0"/>
        <w:jc w:val="left"/>
        <w:rPr>
          <w:sz w:val="24"/>
        </w:rPr>
      </w:pPr>
      <w:r>
        <w:rPr>
          <w:sz w:val="24"/>
        </w:rPr>
        <w:t>Turning to the expenditure components of </w:t>
      </w:r>
      <w:r>
        <w:rPr>
          <w:spacing w:val="-7"/>
          <w:sz w:val="24"/>
        </w:rPr>
        <w:t>GDP, </w:t>
      </w:r>
      <w:r>
        <w:rPr>
          <w:sz w:val="24"/>
        </w:rPr>
        <w:t>the recent marked fall in the GfK measure of consumer confidence suggests a slowdown in consumption growth. But it is difficult to quantify the extent to which consumer confidence measures explain future consumption growth.  Consumption growth is likely to be weaker because of the fall in equity wealth, which </w:t>
      </w:r>
      <w:r>
        <w:rPr>
          <w:spacing w:val="-6"/>
          <w:sz w:val="24"/>
        </w:rPr>
        <w:t>had </w:t>
      </w:r>
      <w:r>
        <w:rPr>
          <w:sz w:val="24"/>
        </w:rPr>
        <w:t>been identified as a risk in previous </w:t>
      </w:r>
      <w:r>
        <w:rPr>
          <w:i/>
          <w:sz w:val="24"/>
        </w:rPr>
        <w:t>Reports</w:t>
      </w:r>
      <w:r>
        <w:rPr>
          <w:sz w:val="24"/>
        </w:rPr>
        <w:t>. Indeed, there remains a risk of a further fall in equity</w:t>
      </w:r>
      <w:r>
        <w:rPr>
          <w:spacing w:val="-2"/>
          <w:sz w:val="24"/>
        </w:rPr>
        <w:t> </w:t>
      </w:r>
      <w:r>
        <w:rPr>
          <w:sz w:val="24"/>
        </w:rPr>
        <w:t>wealth.</w:t>
      </w:r>
    </w:p>
    <w:p>
      <w:pPr>
        <w:pStyle w:val="BodyText"/>
        <w:spacing w:before="9"/>
        <w:rPr>
          <w:sz w:val="28"/>
        </w:rPr>
      </w:pPr>
    </w:p>
    <w:p>
      <w:pPr>
        <w:spacing w:line="242" w:lineRule="auto" w:before="0"/>
        <w:ind w:left="4960" w:right="314" w:firstLine="0"/>
        <w:jc w:val="left"/>
        <w:rPr>
          <w:sz w:val="24"/>
        </w:rPr>
      </w:pPr>
      <w:r>
        <w:rPr>
          <w:sz w:val="24"/>
        </w:rPr>
        <w:t>The upward revision to investment in the National Accounts virtually eliminated the puzzle about the weakness of investment noted in </w:t>
      </w:r>
      <w:r>
        <w:rPr>
          <w:i/>
          <w:sz w:val="24"/>
        </w:rPr>
        <w:t>Inflation Reports </w:t>
      </w:r>
      <w:r>
        <w:rPr>
          <w:sz w:val="24"/>
        </w:rPr>
        <w:t>from 1995–97. Given the higher starting-level of investment and the deterioration in business sentiment during recent months, the central projection is for slightly weaker investment growth than in August. Indeed, it is possible that business investment could fall in 1999—though aggregate investment is likely to be boosted by Government investment plans.</w:t>
      </w:r>
    </w:p>
    <w:p>
      <w:pPr>
        <w:spacing w:after="0" w:line="242" w:lineRule="auto"/>
        <w:jc w:val="left"/>
        <w:rPr>
          <w:sz w:val="24"/>
        </w:rPr>
        <w:sectPr>
          <w:pgSz w:w="11900" w:h="16840"/>
          <w:pgMar w:header="586" w:footer="597" w:top="780" w:bottom="780" w:left="620" w:right="520"/>
        </w:sectPr>
      </w:pPr>
    </w:p>
    <w:p>
      <w:pPr>
        <w:pStyle w:val="BodyText"/>
        <w:rPr>
          <w:sz w:val="20"/>
        </w:rPr>
      </w:pPr>
    </w:p>
    <w:p>
      <w:pPr>
        <w:spacing w:line="242" w:lineRule="auto" w:before="207"/>
        <w:ind w:left="4980" w:right="314" w:firstLine="0"/>
        <w:jc w:val="left"/>
        <w:rPr>
          <w:sz w:val="24"/>
        </w:rPr>
      </w:pPr>
      <w:r>
        <w:rPr>
          <w:sz w:val="24"/>
        </w:rPr>
        <w:t>The balance of payments figures </w:t>
      </w:r>
      <w:r>
        <w:rPr>
          <w:spacing w:val="-3"/>
          <w:sz w:val="24"/>
        </w:rPr>
        <w:t>have </w:t>
      </w:r>
      <w:r>
        <w:rPr>
          <w:sz w:val="24"/>
        </w:rPr>
        <w:t>also been revised. The current account was in surplus by £0.6 billion in the second quarter of 1998. So although the prospects for world trade </w:t>
      </w:r>
      <w:r>
        <w:rPr>
          <w:spacing w:val="-3"/>
          <w:sz w:val="24"/>
        </w:rPr>
        <w:t>have </w:t>
      </w:r>
      <w:r>
        <w:rPr>
          <w:sz w:val="24"/>
        </w:rPr>
        <w:t>deteriorated in recent months, the starting-point for the United Kingdom’s net trade position was stronger than expected at the time of the August </w:t>
      </w:r>
      <w:r>
        <w:rPr>
          <w:i/>
          <w:sz w:val="24"/>
        </w:rPr>
        <w:t>Report</w:t>
      </w:r>
      <w:r>
        <w:rPr>
          <w:sz w:val="24"/>
        </w:rPr>
        <w:t>. Nonetheless, the </w:t>
      </w:r>
      <w:r>
        <w:rPr>
          <w:spacing w:val="-3"/>
          <w:sz w:val="24"/>
        </w:rPr>
        <w:t>MPC’s </w:t>
      </w:r>
      <w:r>
        <w:rPr>
          <w:sz w:val="24"/>
        </w:rPr>
        <w:t>central projection is for further negative contributions to UK output growth from net trade in the next two years, </w:t>
      </w:r>
      <w:r>
        <w:rPr>
          <w:spacing w:val="-6"/>
          <w:sz w:val="24"/>
        </w:rPr>
        <w:t>given </w:t>
      </w:r>
      <w:r>
        <w:rPr>
          <w:sz w:val="24"/>
        </w:rPr>
        <w:t>the prospects for the world economy and the past appreciation of sterling. On balance, the MPC judges that the risks to net trade are on the</w:t>
      </w:r>
      <w:r>
        <w:rPr>
          <w:spacing w:val="-3"/>
          <w:sz w:val="24"/>
        </w:rPr>
        <w:t> </w:t>
      </w:r>
      <w:r>
        <w:rPr>
          <w:sz w:val="24"/>
        </w:rPr>
        <w:t>downside.</w:t>
      </w:r>
    </w:p>
    <w:p>
      <w:pPr>
        <w:pStyle w:val="BodyText"/>
        <w:spacing w:before="10"/>
        <w:rPr>
          <w:sz w:val="17"/>
        </w:rPr>
      </w:pPr>
    </w:p>
    <w:p>
      <w:pPr>
        <w:spacing w:after="0"/>
        <w:rPr>
          <w:sz w:val="17"/>
        </w:rPr>
        <w:sectPr>
          <w:pgSz w:w="11900" w:h="16840"/>
          <w:pgMar w:header="586" w:footer="617" w:top="780" w:bottom="800" w:left="620" w:right="52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7"/>
        <w:spacing w:before="141"/>
        <w:ind w:left="180"/>
      </w:pPr>
      <w:r>
        <w:rPr>
          <w:color w:val="0093C1"/>
        </w:rPr>
        <w:t>Chart 6.2</w:t>
      </w:r>
    </w:p>
    <w:p>
      <w:pPr>
        <w:spacing w:line="249" w:lineRule="auto" w:before="10"/>
        <w:ind w:left="180" w:right="20" w:firstLine="0"/>
        <w:jc w:val="left"/>
        <w:rPr>
          <w:b/>
          <w:sz w:val="20"/>
        </w:rPr>
      </w:pPr>
      <w:r>
        <w:rPr>
          <w:b/>
          <w:color w:val="0093C1"/>
          <w:sz w:val="20"/>
        </w:rPr>
        <w:t>Current GDP projection based on constant nominal interest rates</w:t>
      </w:r>
    </w:p>
    <w:p>
      <w:pPr>
        <w:spacing w:line="83" w:lineRule="exact" w:before="160"/>
        <w:ind w:left="1260" w:right="0" w:firstLine="0"/>
        <w:jc w:val="left"/>
        <w:rPr>
          <w:sz w:val="12"/>
        </w:rPr>
      </w:pPr>
      <w:r>
        <w:rPr>
          <w:color w:val="231F20"/>
          <w:sz w:val="12"/>
        </w:rPr>
        <w:t>Percentage increase in output on a year earlier</w:t>
      </w:r>
    </w:p>
    <w:p>
      <w:pPr>
        <w:pStyle w:val="Heading4"/>
        <w:spacing w:line="242" w:lineRule="auto" w:before="90"/>
        <w:ind w:left="180" w:right="382"/>
      </w:pPr>
      <w:r>
        <w:rPr/>
        <w:br w:type="column"/>
      </w:r>
      <w:r>
        <w:rPr/>
        <w:t>Notwithstanding the stronger-than-expected Q3 GDP figures, the MPC judges that the immediate prospects are for significantly weaker activity in the period ahead than previously thought. There are two main reasons: first, the marked downturn in the prospects for world activity; second, the further decline in business and consumer sentiment since the August </w:t>
      </w:r>
      <w:r>
        <w:rPr>
          <w:i/>
        </w:rPr>
        <w:t>Report</w:t>
      </w:r>
      <w:r>
        <w:rPr/>
        <w:t>. These factors are related, as some of the deterioration in domestic consumer and business sentiment probably</w:t>
      </w:r>
    </w:p>
    <w:p>
      <w:pPr>
        <w:spacing w:after="0" w:line="242" w:lineRule="auto"/>
        <w:sectPr>
          <w:type w:val="continuous"/>
          <w:pgSz w:w="11900" w:h="16840"/>
          <w:pgMar w:top="1220" w:bottom="280" w:left="620" w:right="520"/>
          <w:cols w:num="2" w:equalWidth="0">
            <w:col w:w="3893" w:space="907"/>
            <w:col w:w="5960"/>
          </w:cols>
        </w:sectPr>
      </w:pPr>
    </w:p>
    <w:p>
      <w:pPr>
        <w:pStyle w:val="BodyText"/>
        <w:spacing w:before="6"/>
        <w:rPr>
          <w:sz w:val="10"/>
        </w:rPr>
      </w:pPr>
    </w:p>
    <w:p>
      <w:pPr>
        <w:pStyle w:val="BodyText"/>
        <w:spacing w:line="20" w:lineRule="exact"/>
        <w:ind w:left="255"/>
        <w:rPr>
          <w:sz w:val="2"/>
        </w:rPr>
      </w:pPr>
      <w:r>
        <w:rPr>
          <w:sz w:val="2"/>
        </w:rPr>
        <w:pict>
          <v:group style="width:3.7pt;height:.5pt;mso-position-horizontal-relative:char;mso-position-vertical-relative:line" coordorigin="0,0" coordsize="74,10">
            <v:line style="position:absolute" from="0,5" to="74,5" stroked="true" strokeweight=".5pt" strokecolor="#000000">
              <v:stroke dashstyle="solid"/>
            </v:line>
          </v:group>
        </w:pict>
      </w:r>
      <w:r>
        <w:rPr>
          <w:sz w:val="2"/>
        </w:rPr>
      </w:r>
    </w:p>
    <w:p>
      <w:pPr>
        <w:pStyle w:val="BodyText"/>
        <w:rPr>
          <w:sz w:val="27"/>
        </w:rPr>
      </w:pPr>
      <w:r>
        <w:rPr/>
        <w:pict>
          <v:shape style="position:absolute;margin-left:44pt;margin-top:17.75pt;width:3.7pt;height:.1pt;mso-position-horizontal-relative:page;mso-position-vertical-relative:paragraph;z-index:-15386624;mso-wrap-distance-left:0;mso-wrap-distance-right:0" coordorigin="880,355" coordsize="74,0" path="m880,355l954,355e" filled="false" stroked="true" strokeweight=".5pt" strokecolor="#000000">
            <v:path arrowok="t"/>
            <v:stroke dashstyle="solid"/>
            <w10:wrap type="topAndBottom"/>
          </v:shape>
        </w:pict>
      </w:r>
      <w:r>
        <w:rPr/>
        <w:pict>
          <v:shape style="position:absolute;margin-left:44pt;margin-top:36.25pt;width:3.7pt;height:.1pt;mso-position-horizontal-relative:page;mso-position-vertical-relative:paragraph;z-index:-15386112;mso-wrap-distance-left:0;mso-wrap-distance-right:0" coordorigin="880,725" coordsize="74,0" path="m880,725l954,725e" filled="false" stroked="true" strokeweight=".5pt" strokecolor="#000000">
            <v:path arrowok="t"/>
            <v:stroke dashstyle="solid"/>
            <w10:wrap type="topAndBottom"/>
          </v:shape>
        </w:pict>
      </w:r>
      <w:r>
        <w:rPr/>
        <w:pict>
          <v:shape style="position:absolute;margin-left:44pt;margin-top:54.75pt;width:3.7pt;height:.1pt;mso-position-horizontal-relative:page;mso-position-vertical-relative:paragraph;z-index:-15385600;mso-wrap-distance-left:0;mso-wrap-distance-right:0" coordorigin="880,1095" coordsize="74,0" path="m880,1095l954,1095e" filled="false" stroked="true" strokeweight=".5pt" strokecolor="#000000">
            <v:path arrowok="t"/>
            <v:stroke dashstyle="solid"/>
            <w10:wrap type="topAndBottom"/>
          </v:shape>
        </w:pict>
      </w:r>
      <w:r>
        <w:rPr/>
        <w:pict>
          <v:shape style="position:absolute;margin-left:44pt;margin-top:73.25pt;width:3.7pt;height:.1pt;mso-position-horizontal-relative:page;mso-position-vertical-relative:paragraph;z-index:-15385088;mso-wrap-distance-left:0;mso-wrap-distance-right:0" coordorigin="880,1465" coordsize="74,0" path="m880,1465l954,1465e" filled="false" stroked="true" strokeweight=".5pt" strokecolor="#000000">
            <v:path arrowok="t"/>
            <v:stroke dashstyle="solid"/>
            <w10:wrap type="topAndBottom"/>
          </v:shape>
        </w:pict>
      </w:r>
      <w:r>
        <w:rPr/>
        <w:pict>
          <v:shape style="position:absolute;margin-left:44pt;margin-top:91.75pt;width:3.7pt;height:.1pt;mso-position-horizontal-relative:page;mso-position-vertical-relative:paragraph;z-index:-15384576;mso-wrap-distance-left:0;mso-wrap-distance-right:0" coordorigin="880,1835" coordsize="74,0" path="m880,1835l954,1835e" filled="false" stroked="true" strokeweight=".5pt" strokecolor="#000000">
            <v:path arrowok="t"/>
            <v:stroke dashstyle="solid"/>
            <w10:wrap type="topAndBottom"/>
          </v:shape>
        </w:pict>
      </w:r>
      <w:r>
        <w:rPr/>
        <w:pict>
          <v:shape style="position:absolute;margin-left:43.650002pt;margin-top:110.25pt;width:3.7pt;height:.1pt;mso-position-horizontal-relative:page;mso-position-vertical-relative:paragraph;z-index:-15384064;mso-wrap-distance-left:0;mso-wrap-distance-right:0" coordorigin="873,2205" coordsize="74,0" path="m873,2205l947,2205e" filled="false" stroked="true" strokeweight=".5pt" strokecolor="#000000">
            <v:path arrowok="t"/>
            <v:stroke dashstyle="solid"/>
            <w10:wrap type="topAndBottom"/>
          </v:shape>
        </w:pict>
      </w:r>
      <w:r>
        <w:rPr/>
        <w:pict>
          <v:shape style="position:absolute;margin-left:44pt;margin-top:128.75pt;width:3.7pt;height:.1pt;mso-position-horizontal-relative:page;mso-position-vertical-relative:paragraph;z-index:-15383552;mso-wrap-distance-left:0;mso-wrap-distance-right:0" coordorigin="880,2575" coordsize="74,0" path="m880,2575l954,2575e" filled="false" stroked="true" strokeweight=".5pt" strokecolor="#000000">
            <v:path arrowok="t"/>
            <v:stroke dashstyle="solid"/>
            <w10:wrap type="topAndBottom"/>
          </v:shape>
        </w:pict>
      </w:r>
      <w:r>
        <w:rPr/>
        <w:pict>
          <v:shape style="position:absolute;margin-left:44.5pt;margin-top:146.75pt;width:3.7pt;height:.1pt;mso-position-horizontal-relative:page;mso-position-vertical-relative:paragraph;z-index:-15383040;mso-wrap-distance-left:0;mso-wrap-distance-right:0" coordorigin="890,2935" coordsize="74,0" path="m890,2935l964,2935e" filled="false" stroked="true" strokeweight=".5pt" strokecolor="#000000">
            <v:path arrowok="t"/>
            <v:stroke dashstyle="solid"/>
            <w10:wrap type="topAndBottom"/>
          </v:shape>
        </w:pict>
      </w:r>
    </w:p>
    <w:p>
      <w:pPr>
        <w:pStyle w:val="BodyText"/>
        <w:spacing w:before="4"/>
        <w:rPr>
          <w:sz w:val="25"/>
        </w:rPr>
      </w:pPr>
    </w:p>
    <w:p>
      <w:pPr>
        <w:pStyle w:val="BodyText"/>
        <w:spacing w:before="4"/>
        <w:rPr>
          <w:sz w:val="25"/>
        </w:rPr>
      </w:pPr>
    </w:p>
    <w:p>
      <w:pPr>
        <w:pStyle w:val="BodyText"/>
        <w:spacing w:before="4"/>
        <w:rPr>
          <w:sz w:val="25"/>
        </w:rPr>
      </w:pPr>
    </w:p>
    <w:p>
      <w:pPr>
        <w:pStyle w:val="BodyText"/>
        <w:spacing w:before="4"/>
        <w:rPr>
          <w:sz w:val="25"/>
        </w:rPr>
      </w:pPr>
    </w:p>
    <w:p>
      <w:pPr>
        <w:pStyle w:val="BodyText"/>
        <w:spacing w:before="4"/>
        <w:rPr>
          <w:sz w:val="25"/>
        </w:rPr>
      </w:pPr>
    </w:p>
    <w:p>
      <w:pPr>
        <w:pStyle w:val="BodyText"/>
        <w:spacing w:before="4"/>
        <w:rPr>
          <w:sz w:val="25"/>
        </w:rPr>
      </w:pPr>
    </w:p>
    <w:p>
      <w:pPr>
        <w:pStyle w:val="BodyText"/>
        <w:spacing w:before="6"/>
        <w:rPr>
          <w:sz w:val="24"/>
        </w:rPr>
      </w:pPr>
    </w:p>
    <w:p>
      <w:pPr>
        <w:tabs>
          <w:tab w:pos="1024" w:val="left" w:leader="none"/>
          <w:tab w:pos="1424" w:val="left" w:leader="none"/>
          <w:tab w:pos="1849" w:val="left" w:leader="none"/>
        </w:tabs>
        <w:spacing w:before="17"/>
        <w:ind w:left="526" w:right="0" w:firstLine="0"/>
        <w:jc w:val="left"/>
        <w:rPr>
          <w:sz w:val="12"/>
        </w:rPr>
      </w:pPr>
      <w:r>
        <w:rPr>
          <w:color w:val="231F20"/>
          <w:sz w:val="12"/>
        </w:rPr>
        <w:t>1994</w:t>
        <w:tab/>
        <w:t>95</w:t>
        <w:tab/>
        <w:t>96</w:t>
        <w:tab/>
      </w:r>
      <w:r>
        <w:rPr>
          <w:color w:val="231F20"/>
          <w:spacing w:val="-10"/>
          <w:sz w:val="12"/>
        </w:rPr>
        <w:t>97</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tabs>
          <w:tab w:pos="696" w:val="left" w:leader="none"/>
        </w:tabs>
        <w:spacing w:before="91"/>
        <w:ind w:left="274" w:right="0" w:firstLine="0"/>
        <w:jc w:val="left"/>
        <w:rPr>
          <w:sz w:val="12"/>
        </w:rPr>
      </w:pPr>
      <w:r>
        <w:rPr>
          <w:color w:val="231F20"/>
          <w:sz w:val="12"/>
        </w:rPr>
        <w:t>98</w:t>
        <w:tab/>
      </w:r>
      <w:r>
        <w:rPr>
          <w:color w:val="231F20"/>
          <w:spacing w:val="-10"/>
          <w:sz w:val="12"/>
        </w:rPr>
        <w:t>99</w:t>
      </w:r>
    </w:p>
    <w:p>
      <w:pPr>
        <w:spacing w:before="66"/>
        <w:ind w:left="0" w:right="38" w:firstLine="0"/>
        <w:jc w:val="right"/>
        <w:rPr>
          <w:sz w:val="12"/>
        </w:rPr>
      </w:pPr>
      <w:r>
        <w:rPr/>
        <w:br w:type="column"/>
      </w:r>
      <w:r>
        <w:rPr>
          <w:color w:val="231F20"/>
          <w:sz w:val="12"/>
        </w:rPr>
        <w:t>6</w:t>
      </w:r>
    </w:p>
    <w:p>
      <w:pPr>
        <w:pStyle w:val="BodyText"/>
        <w:rPr>
          <w:sz w:val="12"/>
        </w:rPr>
      </w:pPr>
    </w:p>
    <w:p>
      <w:pPr>
        <w:spacing w:before="94"/>
        <w:ind w:left="0" w:right="38" w:firstLine="0"/>
        <w:jc w:val="right"/>
        <w:rPr>
          <w:sz w:val="12"/>
        </w:rPr>
      </w:pPr>
      <w:r>
        <w:rPr/>
        <w:pict>
          <v:group style="position:absolute;margin-left:52.143002pt;margin-top:10.158169pt;width:143.4pt;height:106.7pt;mso-position-horizontal-relative:page;mso-position-vertical-relative:paragraph;z-index:16075264" coordorigin="1043,203" coordsize="2868,2134">
            <v:shape style="position:absolute;left:2955;top:304;width:952;height:2032" coordorigin="2956,305" coordsize="952,2032" path="m3907,305l3802,523,3696,708,3485,1041,3379,1163,3273,1193,3167,1178,3062,1104,2956,1104,3062,1493,3167,1955,3273,2162,3379,2329,3485,2336,3696,2247,3802,2181,3907,2085,3907,305xe" filled="true" fillcolor="#dbeae4" stroked="false">
              <v:path arrowok="t"/>
              <v:fill type="solid"/>
            </v:shape>
            <v:shape style="position:absolute;left:2955;top:477;width:952;height:1714" coordorigin="2956,477" coordsize="952,1714" path="m3907,477l3802,685,3696,859,3590,1018,3485,1173,3379,1280,3273,1291,3167,1258,3062,1147,2956,1106,3062,1451,3167,1861,3273,2050,3379,2191,3485,2183,3590,2120,3696,2061,3802,1980,3907,1865,3907,477xe" filled="true" fillcolor="#bfdbcf" stroked="false">
              <v:path arrowok="t"/>
              <v:fill type="solid"/>
            </v:shape>
            <v:shape style="position:absolute;left:2955;top:591;width:952;height:1503" coordorigin="2956,592" coordsize="952,1503" path="m3907,592l3802,791,3696,958,3590,1110,3485,1258,3379,1358,3273,1354,3167,1306,3062,1173,2956,1106,3062,1417,3167,1798,3273,1968,3379,2094,3485,2075,3590,2001,3696,1931,3802,1839,3907,1716,3907,592xe" filled="true" fillcolor="#a4cdbd" stroked="false">
              <v:path arrowok="t"/>
              <v:fill type="solid"/>
            </v:shape>
            <v:shape style="position:absolute;left:2955;top:682;width:952;height:1332" coordorigin="2956,683" coordsize="952,1332" path="m3907,683l3802,879,3696,1038,3485,1327,3379,1419,3273,1404,3167,1349,3062,1190,2956,1105,3062,1390,3167,1745,3273,1904,3379,2015,3485,1989,3696,1826,3802,1730,3907,1597,3907,683xe" filled="true" fillcolor="#8abfab" stroked="false">
              <v:path arrowok="t"/>
              <v:fill type="solid"/>
            </v:shape>
            <v:shape style="position:absolute;left:2955;top:764;width:952;height:1188" coordorigin="2956,764" coordsize="952,1188" path="m3907,764l3802,953,3696,1108,3590,1249,3485,1386,3379,1475,3273,1449,3167,1382,3062,1208,2956,1105,3062,1367,3167,1704,3273,1848,3379,1952,3485,1919,3696,1741,3802,1637,3907,1497,3907,764xe" filled="true" fillcolor="#6fb39a" stroked="false">
              <v:path arrowok="t"/>
              <v:fill type="solid"/>
            </v:shape>
            <v:shape style="position:absolute;left:2955;top:833;width:952;height:1062" coordorigin="2956,833" coordsize="952,1062" path="m3907,833l3802,1018,3696,1170,3590,1307,3485,1440,3379,1521,3273,1492,3167,1414,3062,1225,2956,1103,3062,1347,3167,1666,3273,1802,3379,1895,3485,1854,3696,1662,3802,1551,3907,1403,3907,833xe" filled="true" fillcolor="#53a78b" stroked="false">
              <v:path arrowok="t"/>
              <v:fill type="solid"/>
            </v:shape>
            <v:shape style="position:absolute;left:2955;top:901;width:952;height:940" coordorigin="2956,901" coordsize="952,940" path="m3907,901l3802,1082,3696,1230,3590,1364,3485,1493,3379,1571,3273,1530,3167,1449,3062,1242,2956,1105,3062,1330,3167,1630,3273,1760,3379,1841,3485,1797,3590,1693,3696,1593,3802,1471,3907,1319,3907,901xe" filled="true" fillcolor="#309d7d" stroked="false">
              <v:path arrowok="t"/>
              <v:fill type="solid"/>
            </v:shape>
            <v:shape style="position:absolute;left:2955;top:963;width:952;height:826" coordorigin="2956,964" coordsize="952,826" path="m3907,964l3802,1142,3696,1286,3485,1537,3379,1608,3273,1563,3167,1475,3062,1253,2956,1105,3062,1315,3167,1593,3273,1715,3379,1789,3485,1737,3696,1523,3802,1401,3907,1241,3907,964xe" filled="true" fillcolor="#00936f" stroked="false">
              <v:path arrowok="t"/>
              <v:fill type="solid"/>
            </v:shape>
            <v:line style="position:absolute" from="1050,2004" to="3910,2004" stroked="true" strokeweight=".5pt" strokecolor="#000000">
              <v:stroke dashstyle="solid"/>
            </v:line>
            <v:shape style="position:absolute;left:1052;top:213;width:846;height:1077" coordorigin="1053,213" coordsize="846,1077" path="m1159,376l1053,631m1264,213l1159,376m1370,302l1264,213m1476,517l1370,302m1581,850l1476,517m1687,1208l1581,850m1793,1290l1687,1208m1899,1072l1793,1290e" filled="false" stroked="true" strokeweight="1pt" strokecolor="#008256">
              <v:path arrowok="t"/>
              <v:stroke dashstyle="solid"/>
            </v:shape>
            <v:line style="position:absolute" from="1889,1077" to="2014,1077" stroked="true" strokeweight="1.555pt" strokecolor="#008256">
              <v:stroke dashstyle="solid"/>
            </v:line>
            <v:shape style="position:absolute;left:2004;top:542;width:952;height:563" coordorigin="2004,542" coordsize="952,563" path="m2110,1046l2004,1083m2216,1031l2110,1046m2321,1053l2216,1031m2427,724l2321,1053m2533,565l2427,724m2639,542l2533,565m2744,624l2639,542m2850,905l2744,624m2956,1105l2850,905e" filled="false" stroked="true" strokeweight="1pt" strokecolor="#008256">
              <v:path arrowok="t"/>
              <v:stroke dashstyle="solid"/>
            </v:shape>
            <w10:wrap type="none"/>
          </v:group>
        </w:pict>
      </w:r>
      <w:r>
        <w:rPr/>
        <w:pict>
          <v:line style="position:absolute;mso-position-horizontal-relative:page;mso-position-vertical-relative:paragraph;z-index:16079872" from="205.000003pt,7.698169pt" to="201.300003pt,7.698169pt" stroked="true" strokeweight=".5pt" strokecolor="#000000">
            <v:stroke dashstyle="solid"/>
            <w10:wrap type="none"/>
          </v:line>
        </w:pict>
      </w:r>
      <w:r>
        <w:rPr/>
        <w:pict>
          <v:line style="position:absolute;mso-position-horizontal-relative:page;mso-position-vertical-relative:paragraph;z-index:16080384" from="205.000003pt,-10.801831pt" to="201.300003pt,-10.801831pt" stroked="true" strokeweight=".5pt" strokecolor="#000000">
            <v:stroke dashstyle="solid"/>
            <w10:wrap type="none"/>
          </v:line>
        </w:pict>
      </w:r>
      <w:r>
        <w:rPr>
          <w:color w:val="231F20"/>
          <w:sz w:val="12"/>
        </w:rPr>
        <w:t>5</w:t>
      </w:r>
    </w:p>
    <w:p>
      <w:pPr>
        <w:pStyle w:val="BodyText"/>
        <w:rPr>
          <w:sz w:val="12"/>
        </w:rPr>
      </w:pPr>
    </w:p>
    <w:p>
      <w:pPr>
        <w:spacing w:before="94"/>
        <w:ind w:left="0" w:right="38" w:firstLine="0"/>
        <w:jc w:val="right"/>
        <w:rPr>
          <w:sz w:val="12"/>
        </w:rPr>
      </w:pPr>
      <w:r>
        <w:rPr/>
        <w:pict>
          <v:line style="position:absolute;mso-position-horizontal-relative:page;mso-position-vertical-relative:paragraph;z-index:16079360" from="204.000003pt,7.698352pt" to="200.300003pt,7.698352pt" stroked="true" strokeweight=".5pt" strokecolor="#000000">
            <v:stroke dashstyle="solid"/>
            <w10:wrap type="none"/>
          </v:line>
        </w:pict>
      </w:r>
      <w:r>
        <w:rPr>
          <w:color w:val="231F20"/>
          <w:sz w:val="12"/>
        </w:rPr>
        <w:t>4</w:t>
      </w:r>
    </w:p>
    <w:p>
      <w:pPr>
        <w:pStyle w:val="BodyText"/>
        <w:rPr>
          <w:sz w:val="12"/>
        </w:rPr>
      </w:pPr>
    </w:p>
    <w:p>
      <w:pPr>
        <w:spacing w:before="94"/>
        <w:ind w:left="0" w:right="38" w:firstLine="0"/>
        <w:jc w:val="right"/>
        <w:rPr>
          <w:sz w:val="12"/>
        </w:rPr>
      </w:pPr>
      <w:r>
        <w:rPr/>
        <w:pict>
          <v:line style="position:absolute;mso-position-horizontal-relative:page;mso-position-vertical-relative:paragraph;z-index:16078848" from="204.000003pt,7.698565pt" to="200.300003pt,7.698565pt" stroked="true" strokeweight=".5pt" strokecolor="#000000">
            <v:stroke dashstyle="solid"/>
            <w10:wrap type="none"/>
          </v:line>
        </w:pict>
      </w:r>
      <w:r>
        <w:rPr>
          <w:color w:val="231F20"/>
          <w:sz w:val="12"/>
        </w:rPr>
        <w:t>3</w:t>
      </w:r>
    </w:p>
    <w:p>
      <w:pPr>
        <w:pStyle w:val="BodyText"/>
        <w:rPr>
          <w:sz w:val="12"/>
        </w:rPr>
      </w:pPr>
    </w:p>
    <w:p>
      <w:pPr>
        <w:spacing w:before="94"/>
        <w:ind w:left="0" w:right="38" w:firstLine="0"/>
        <w:jc w:val="right"/>
        <w:rPr>
          <w:sz w:val="12"/>
        </w:rPr>
      </w:pPr>
      <w:r>
        <w:rPr/>
        <w:pict>
          <v:line style="position:absolute;mso-position-horizontal-relative:page;mso-position-vertical-relative:paragraph;z-index:16078336" from="204.000003pt,7.698749pt" to="200.300003pt,7.698749pt" stroked="true" strokeweight=".5pt" strokecolor="#000000">
            <v:stroke dashstyle="solid"/>
            <w10:wrap type="none"/>
          </v:line>
        </w:pict>
      </w:r>
      <w:r>
        <w:rPr>
          <w:color w:val="231F20"/>
          <w:sz w:val="12"/>
        </w:rPr>
        <w:t>2</w:t>
      </w:r>
    </w:p>
    <w:p>
      <w:pPr>
        <w:pStyle w:val="BodyText"/>
        <w:rPr>
          <w:sz w:val="12"/>
        </w:rPr>
      </w:pPr>
    </w:p>
    <w:p>
      <w:pPr>
        <w:spacing w:line="136" w:lineRule="exact" w:before="94"/>
        <w:ind w:left="659" w:right="0" w:firstLine="0"/>
        <w:jc w:val="left"/>
        <w:rPr>
          <w:sz w:val="12"/>
        </w:rPr>
      </w:pPr>
      <w:r>
        <w:rPr/>
        <w:pict>
          <v:line style="position:absolute;mso-position-horizontal-relative:page;mso-position-vertical-relative:paragraph;z-index:16077824" from="204.000003pt,7.698962pt" to="200.300003pt,7.698962pt" stroked="true" strokeweight=".5pt" strokecolor="#000000">
            <v:stroke dashstyle="solid"/>
            <w10:wrap type="none"/>
          </v:line>
        </w:pict>
      </w:r>
      <w:r>
        <w:rPr>
          <w:color w:val="231F20"/>
          <w:sz w:val="12"/>
        </w:rPr>
        <w:t>1</w:t>
      </w:r>
    </w:p>
    <w:p>
      <w:pPr>
        <w:spacing w:line="182" w:lineRule="exact" w:before="0"/>
        <w:ind w:left="596" w:right="0" w:firstLine="0"/>
        <w:jc w:val="left"/>
        <w:rPr>
          <w:sz w:val="16"/>
        </w:rPr>
      </w:pPr>
      <w:r>
        <w:rPr>
          <w:color w:val="231F20"/>
          <w:sz w:val="16"/>
        </w:rPr>
        <w:t>+</w:t>
      </w:r>
    </w:p>
    <w:p>
      <w:pPr>
        <w:spacing w:before="52"/>
        <w:ind w:left="0" w:right="38" w:firstLine="0"/>
        <w:jc w:val="right"/>
        <w:rPr>
          <w:sz w:val="12"/>
        </w:rPr>
      </w:pPr>
      <w:r>
        <w:rPr/>
        <w:pict>
          <v:line style="position:absolute;mso-position-horizontal-relative:page;mso-position-vertical-relative:paragraph;z-index:16077312" from="204.000003pt,5.599176pt" to="200.300003pt,5.599176pt" stroked="true" strokeweight=".5pt" strokecolor="#000000">
            <v:stroke dashstyle="solid"/>
            <w10:wrap type="none"/>
          </v:line>
        </w:pict>
      </w:r>
      <w:r>
        <w:rPr>
          <w:color w:val="231F20"/>
          <w:sz w:val="12"/>
        </w:rPr>
        <w:t>0</w:t>
      </w:r>
    </w:p>
    <w:p>
      <w:pPr>
        <w:spacing w:before="46"/>
        <w:ind w:left="596" w:right="0" w:firstLine="0"/>
        <w:jc w:val="left"/>
        <w:rPr>
          <w:sz w:val="16"/>
        </w:rPr>
      </w:pPr>
      <w:r>
        <w:rPr>
          <w:color w:val="231F20"/>
          <w:sz w:val="16"/>
        </w:rPr>
        <w:t>–</w:t>
      </w:r>
    </w:p>
    <w:p>
      <w:pPr>
        <w:spacing w:before="2"/>
        <w:ind w:left="0" w:right="38" w:firstLine="0"/>
        <w:jc w:val="right"/>
        <w:rPr>
          <w:sz w:val="12"/>
        </w:rPr>
      </w:pPr>
      <w:r>
        <w:rPr/>
        <w:pict>
          <v:line style="position:absolute;mso-position-horizontal-relative:page;mso-position-vertical-relative:paragraph;z-index:16076800" from="205.000003pt,3.099359pt" to="201.300003pt,3.099359pt" stroked="true" strokeweight=".5pt" strokecolor="#000000">
            <v:stroke dashstyle="solid"/>
            <w10:wrap type="none"/>
          </v:line>
        </w:pict>
      </w:r>
      <w:r>
        <w:rPr>
          <w:color w:val="231F20"/>
          <w:sz w:val="12"/>
        </w:rPr>
        <w:t>1</w:t>
      </w:r>
    </w:p>
    <w:p>
      <w:pPr>
        <w:pStyle w:val="BodyText"/>
        <w:rPr>
          <w:sz w:val="12"/>
        </w:rPr>
      </w:pPr>
    </w:p>
    <w:p>
      <w:pPr>
        <w:spacing w:line="120" w:lineRule="exact" w:before="94"/>
        <w:ind w:left="659" w:right="0" w:firstLine="0"/>
        <w:jc w:val="left"/>
        <w:rPr>
          <w:sz w:val="12"/>
        </w:rPr>
      </w:pPr>
      <w:r>
        <w:rPr/>
        <w:pict>
          <v:shape style="position:absolute;margin-left:52.687pt;margin-top:3.124573pt;width:143pt;height:3.95pt;mso-position-horizontal-relative:page;mso-position-vertical-relative:paragraph;z-index:16075776" coordorigin="1054,62" coordsize="2860,79" path="m1059,136l1059,62m1165,138l1165,101m1271,138l1271,101m1377,138l1377,101m1482,136l1482,62m1588,138l1588,101m1694,138l1694,101m1799,138l1799,101m1905,136l1905,62m2011,138l2011,101m2117,138l2117,101m2222,138l2222,101m2328,136l2328,62m2434,138l2434,101m2539,138l2539,101m2645,138l2645,101m2751,136l2751,62m2857,138l2857,101m2962,138l2962,101m3068,138l3068,101m3174,136l3174,62m3279,138l3279,101m3385,138l3385,101m3597,136l3597,62m3702,138l3702,101m3808,138l3808,101m3914,138l3914,101m1054,139l3914,139m3480,141l3480,104e" filled="false" stroked="true" strokeweight=".5pt" strokecolor="#000000">
            <v:path arrowok="t"/>
            <v:stroke dashstyle="solid"/>
            <w10:wrap type="none"/>
          </v:shape>
        </w:pict>
      </w:r>
      <w:r>
        <w:rPr/>
        <w:pict>
          <v:line style="position:absolute;mso-position-horizontal-relative:page;mso-position-vertical-relative:paragraph;z-index:16076288" from="205.000003pt,7.699573pt" to="201.300003pt,7.699573pt" stroked="true" strokeweight=".5pt" strokecolor="#000000">
            <v:stroke dashstyle="solid"/>
            <w10:wrap type="none"/>
          </v:line>
        </w:pict>
      </w:r>
      <w:r>
        <w:rPr>
          <w:color w:val="231F20"/>
          <w:sz w:val="12"/>
        </w:rPr>
        <w:t>2</w:t>
      </w:r>
    </w:p>
    <w:p>
      <w:pPr>
        <w:spacing w:line="120" w:lineRule="exact" w:before="0"/>
        <w:ind w:left="168" w:right="0" w:firstLine="0"/>
        <w:jc w:val="left"/>
        <w:rPr>
          <w:sz w:val="12"/>
        </w:rPr>
      </w:pPr>
      <w:r>
        <w:rPr>
          <w:color w:val="231F20"/>
          <w:sz w:val="12"/>
        </w:rPr>
        <w:t>2000</w:t>
      </w:r>
    </w:p>
    <w:p>
      <w:pPr>
        <w:pStyle w:val="Heading4"/>
        <w:spacing w:line="242" w:lineRule="auto"/>
        <w:ind w:left="526" w:right="309"/>
        <w:rPr>
          <w:sz w:val="16"/>
        </w:rPr>
      </w:pPr>
      <w:r>
        <w:rPr/>
        <w:br w:type="column"/>
      </w:r>
      <w:r>
        <w:rPr/>
        <w:t>reflects developments in the world economy.  The central projection is for the four-quarter growth rate of GDP at constant market prices to slow over the next year, before increasing to around trend in the second </w:t>
      </w:r>
      <w:r>
        <w:rPr>
          <w:spacing w:val="-5"/>
        </w:rPr>
        <w:t>half </w:t>
      </w:r>
      <w:r>
        <w:rPr/>
        <w:t>of 2000 as domestic demand, especially by the public sector, picks up (see Chart</w:t>
      </w:r>
      <w:r>
        <w:rPr>
          <w:spacing w:val="-2"/>
        </w:rPr>
        <w:t> </w:t>
      </w:r>
      <w:r>
        <w:rPr/>
        <w:t>6.2).</w:t>
      </w:r>
      <w:r>
        <w:rPr>
          <w:position w:val="5"/>
          <w:sz w:val="16"/>
        </w:rPr>
        <w:t>(1)</w:t>
      </w:r>
    </w:p>
    <w:p>
      <w:pPr>
        <w:pStyle w:val="BodyText"/>
        <w:spacing w:before="1"/>
        <w:rPr>
          <w:sz w:val="24"/>
        </w:rPr>
      </w:pPr>
    </w:p>
    <w:p>
      <w:pPr>
        <w:spacing w:line="242" w:lineRule="auto" w:before="0"/>
        <w:ind w:left="526" w:right="256" w:hanging="1"/>
        <w:jc w:val="left"/>
        <w:rPr>
          <w:sz w:val="24"/>
        </w:rPr>
      </w:pPr>
      <w:r>
        <w:rPr>
          <w:sz w:val="24"/>
        </w:rPr>
        <w:t>At the time of the August </w:t>
      </w:r>
      <w:r>
        <w:rPr>
          <w:i/>
          <w:sz w:val="24"/>
        </w:rPr>
        <w:t>Report</w:t>
      </w:r>
      <w:r>
        <w:rPr>
          <w:sz w:val="24"/>
        </w:rPr>
        <w:t>, the main question was whether the slowdown in aggregate demand already under way would be sufficient to hold inflation at a level consistent with the inflation target, once the temporary restraining influence of the earlier appreciation of</w:t>
      </w:r>
    </w:p>
    <w:p>
      <w:pPr>
        <w:spacing w:after="0" w:line="242" w:lineRule="auto"/>
        <w:jc w:val="left"/>
        <w:rPr>
          <w:sz w:val="24"/>
        </w:rPr>
        <w:sectPr>
          <w:type w:val="continuous"/>
          <w:pgSz w:w="11900" w:h="16840"/>
          <w:pgMar w:top="1220" w:bottom="280" w:left="620" w:right="520"/>
          <w:cols w:num="4" w:equalWidth="0">
            <w:col w:w="1970" w:space="40"/>
            <w:col w:w="817" w:space="39"/>
            <w:col w:w="760" w:space="827"/>
            <w:col w:w="6307"/>
          </w:cols>
        </w:sectPr>
      </w:pPr>
    </w:p>
    <w:p>
      <w:pPr>
        <w:pStyle w:val="BodyText"/>
        <w:rPr>
          <w:sz w:val="13"/>
        </w:rPr>
      </w:pPr>
    </w:p>
    <w:p>
      <w:pPr>
        <w:spacing w:line="208" w:lineRule="auto" w:before="0"/>
        <w:ind w:left="200" w:right="20" w:firstLine="0"/>
        <w:jc w:val="left"/>
        <w:rPr>
          <w:sz w:val="12"/>
        </w:rPr>
      </w:pPr>
      <w:r>
        <w:rPr>
          <w:sz w:val="12"/>
        </w:rPr>
        <w:t>The fan chart depicting the probability distribution for output growth is rather like a contour map. At any given point during the forecast period, the depth of shading represents the height of the probability density function over a range of outcomes for output. The darkest band includes the central (single most likely) projection and covers 10% of the probability. Each successive pair of bands is drawn to cover a further 10% of the probability, until 90% of the probability distribution is covered. The bands widen as the time horizon is extended, indicating increasing uncertainty about outcomes.</w:t>
      </w:r>
    </w:p>
    <w:p>
      <w:pPr>
        <w:pStyle w:val="Heading4"/>
        <w:spacing w:line="242" w:lineRule="auto" w:before="7"/>
        <w:ind w:right="312"/>
      </w:pPr>
      <w:r>
        <w:rPr/>
        <w:br w:type="column"/>
      </w:r>
      <w:r>
        <w:rPr/>
        <w:t>sterling wore off. Since August, inflation has turned out broadly as expected, and was on target in August and September. But the news on prospective output growth led to a significant moderation in the forecasts for inflation (at constant interest rates). Meanwhile, a central issue in assessing prospects for inflation has </w:t>
      </w:r>
      <w:r>
        <w:rPr>
          <w:spacing w:val="-5"/>
        </w:rPr>
        <w:t>been </w:t>
      </w:r>
      <w:r>
        <w:rPr/>
        <w:t>recent developments in the labour</w:t>
      </w:r>
      <w:r>
        <w:rPr>
          <w:spacing w:val="-3"/>
        </w:rPr>
        <w:t> </w:t>
      </w:r>
      <w:r>
        <w:rPr/>
        <w:t>market.</w:t>
      </w:r>
    </w:p>
    <w:p>
      <w:pPr>
        <w:pStyle w:val="BodyText"/>
        <w:spacing w:before="1"/>
        <w:rPr>
          <w:sz w:val="25"/>
        </w:rPr>
      </w:pPr>
    </w:p>
    <w:p>
      <w:pPr>
        <w:spacing w:line="242" w:lineRule="auto" w:before="0"/>
        <w:ind w:left="200" w:right="321" w:firstLine="0"/>
        <w:jc w:val="left"/>
        <w:rPr>
          <w:sz w:val="24"/>
        </w:rPr>
      </w:pPr>
      <w:r>
        <w:rPr>
          <w:sz w:val="24"/>
        </w:rPr>
        <w:t>The Average Earnings Index was first revised and then rebased in October. This led to increased uncertainty about conditions in the labour market. First, the changes in methodology mean that the new series for earnings growth is more volatile than the old. This makes it more difficult to place weight on recent movements in earnings growth, which might prove temporary. Second, the revised data sit uncomfortably with the continuing</w:t>
      </w:r>
    </w:p>
    <w:p>
      <w:pPr>
        <w:spacing w:after="0" w:line="242" w:lineRule="auto"/>
        <w:jc w:val="left"/>
        <w:rPr>
          <w:sz w:val="24"/>
        </w:rPr>
        <w:sectPr>
          <w:type w:val="continuous"/>
          <w:pgSz w:w="11900" w:h="16840"/>
          <w:pgMar w:top="1220" w:bottom="280" w:left="620" w:right="520"/>
          <w:cols w:num="2" w:equalWidth="0">
            <w:col w:w="3550" w:space="1230"/>
            <w:col w:w="5980"/>
          </w:cols>
        </w:sectPr>
      </w:pPr>
    </w:p>
    <w:p>
      <w:pPr>
        <w:pStyle w:val="BodyText"/>
        <w:spacing w:before="10"/>
        <w:rPr>
          <w:sz w:val="16"/>
        </w:rPr>
      </w:pPr>
    </w:p>
    <w:p>
      <w:pPr>
        <w:pStyle w:val="BodyText"/>
        <w:spacing w:line="20" w:lineRule="exact"/>
        <w:ind w:left="4958"/>
        <w:rPr>
          <w:sz w:val="2"/>
        </w:rPr>
      </w:pPr>
      <w:r>
        <w:rPr>
          <w:sz w:val="2"/>
        </w:rPr>
        <w:pict>
          <v:group style="width:277.5pt;height:.15pt;mso-position-horizontal-relative:char;mso-position-vertical-relative:line" coordorigin="0,0" coordsize="5550,3">
            <v:line style="position:absolute" from="0,1" to="5550,1" stroked="true" strokeweight=".125pt" strokecolor="#000000">
              <v:stroke dashstyle="solid"/>
            </v:line>
          </v:group>
        </w:pict>
      </w:r>
      <w:r>
        <w:rPr>
          <w:sz w:val="2"/>
        </w:rPr>
      </w:r>
    </w:p>
    <w:p>
      <w:pPr>
        <w:spacing w:before="14"/>
        <w:ind w:left="4980" w:right="0" w:firstLine="0"/>
        <w:jc w:val="left"/>
        <w:rPr>
          <w:sz w:val="16"/>
        </w:rPr>
      </w:pPr>
      <w:r>
        <w:rPr>
          <w:sz w:val="16"/>
        </w:rPr>
        <w:t>(1) Also shown as Chart 1 in the Overview.</w:t>
      </w:r>
    </w:p>
    <w:p>
      <w:pPr>
        <w:spacing w:after="0"/>
        <w:jc w:val="left"/>
        <w:rPr>
          <w:sz w:val="16"/>
        </w:rPr>
        <w:sectPr>
          <w:type w:val="continuous"/>
          <w:pgSz w:w="11900" w:h="16840"/>
          <w:pgMar w:top="1220" w:bottom="280" w:left="620" w:right="520"/>
        </w:sectPr>
      </w:pPr>
    </w:p>
    <w:p>
      <w:pPr>
        <w:pStyle w:val="BodyText"/>
        <w:rPr>
          <w:sz w:val="20"/>
        </w:rPr>
      </w:pPr>
    </w:p>
    <w:p>
      <w:pPr>
        <w:pStyle w:val="Heading4"/>
        <w:spacing w:line="242" w:lineRule="auto" w:before="207"/>
        <w:ind w:left="4980" w:right="314"/>
      </w:pPr>
      <w:r>
        <w:rPr/>
        <w:t>gentle rise in twelve-month employment-weighted pay settlements, the profile for earnings implied by the National Accounts wages and salaries data,</w:t>
      </w:r>
      <w:r>
        <w:rPr>
          <w:position w:val="5"/>
          <w:sz w:val="16"/>
        </w:rPr>
        <w:t>(1) </w:t>
      </w:r>
      <w:r>
        <w:rPr/>
        <w:t>and the recently published New Earnings Survey. And the latest profile of falling earnings growth through 1997 is difficult to reconcile with the tightening of the labour market shown by most of the quantity indicators for this period. The Average Earnings Index was suspended at the beginning of November, pending the outcome of the independent review announced by the Chancellor. So there is more uncertainty than usual about the news on earnings since August, and the appropriate</w:t>
      </w:r>
    </w:p>
    <w:p>
      <w:pPr>
        <w:spacing w:line="242" w:lineRule="auto" w:before="15"/>
        <w:ind w:left="4980" w:right="469" w:firstLine="0"/>
        <w:jc w:val="left"/>
        <w:rPr>
          <w:sz w:val="24"/>
        </w:rPr>
      </w:pPr>
      <w:r>
        <w:rPr>
          <w:sz w:val="24"/>
        </w:rPr>
        <w:t>starting-point for the inflation projections. The MPC has taken account of this greater uncertainty by increasing the variance around its projections for earnings growth.</w:t>
      </w:r>
    </w:p>
    <w:p>
      <w:pPr>
        <w:spacing w:line="242" w:lineRule="auto" w:before="205"/>
        <w:ind w:left="4980" w:right="468" w:firstLine="0"/>
        <w:jc w:val="left"/>
        <w:rPr>
          <w:sz w:val="24"/>
        </w:rPr>
      </w:pPr>
      <w:r>
        <w:rPr>
          <w:sz w:val="24"/>
        </w:rPr>
        <w:t>Unemployment rose slightly in the three months to August according to the latest LFS data, but has continued to fall on the claimant-count measure. The labour market remains tight, although some recent data suggest that it is no longer continuing to tighten. As in the August </w:t>
      </w:r>
      <w:r>
        <w:rPr>
          <w:i/>
          <w:sz w:val="24"/>
        </w:rPr>
        <w:t>Report</w:t>
      </w:r>
      <w:r>
        <w:rPr>
          <w:sz w:val="24"/>
        </w:rPr>
        <w:t>, the central projection is that unemployment is likely to rise for a time, reflecting a period of output growth below trend.</w:t>
      </w:r>
    </w:p>
    <w:p>
      <w:pPr>
        <w:spacing w:line="242" w:lineRule="auto" w:before="211"/>
        <w:ind w:left="4980" w:right="332" w:firstLine="0"/>
        <w:jc w:val="left"/>
        <w:rPr>
          <w:sz w:val="24"/>
        </w:rPr>
      </w:pPr>
      <w:r>
        <w:rPr>
          <w:sz w:val="24"/>
        </w:rPr>
        <w:t>There is uncertainty about recent trends in the employment data, with the LFS and </w:t>
      </w:r>
      <w:r>
        <w:rPr>
          <w:spacing w:val="-3"/>
          <w:sz w:val="24"/>
        </w:rPr>
        <w:t>Workforce </w:t>
      </w:r>
      <w:r>
        <w:rPr>
          <w:sz w:val="24"/>
        </w:rPr>
        <w:t>jobs measures moving in different directions over the summer. Details of the Annual Employment Surveys </w:t>
      </w:r>
      <w:r>
        <w:rPr>
          <w:spacing w:val="-6"/>
          <w:sz w:val="24"/>
        </w:rPr>
        <w:t>for </w:t>
      </w:r>
      <w:r>
        <w:rPr>
          <w:sz w:val="24"/>
        </w:rPr>
        <w:t>1995 and 1996 </w:t>
      </w:r>
      <w:r>
        <w:rPr>
          <w:spacing w:val="-3"/>
          <w:sz w:val="24"/>
        </w:rPr>
        <w:t>have </w:t>
      </w:r>
      <w:r>
        <w:rPr>
          <w:sz w:val="24"/>
        </w:rPr>
        <w:t>been published.  These surveys form the annual benchmark for the quarterly </w:t>
      </w:r>
      <w:r>
        <w:rPr>
          <w:spacing w:val="-3"/>
          <w:sz w:val="24"/>
        </w:rPr>
        <w:t>Workforce </w:t>
      </w:r>
      <w:r>
        <w:rPr>
          <w:sz w:val="24"/>
        </w:rPr>
        <w:t>jobs series, but will only be reflected in the published quarterly data when it is next updated in</w:t>
      </w:r>
      <w:r>
        <w:rPr>
          <w:spacing w:val="-9"/>
          <w:sz w:val="24"/>
        </w:rPr>
        <w:t> </w:t>
      </w:r>
      <w:r>
        <w:rPr>
          <w:sz w:val="24"/>
        </w:rPr>
        <w:t>December.</w:t>
      </w:r>
    </w:p>
    <w:p>
      <w:pPr>
        <w:spacing w:line="242" w:lineRule="auto" w:before="10"/>
        <w:ind w:left="4980" w:right="427" w:firstLine="0"/>
        <w:jc w:val="left"/>
        <w:rPr>
          <w:sz w:val="24"/>
        </w:rPr>
      </w:pPr>
      <w:r>
        <w:rPr>
          <w:sz w:val="24"/>
        </w:rPr>
        <w:t>This could lower measures of productivity based on the Workforce jobs series. However, the Committee placed more weight on LFS household survey measures of employment and unemployment, which are not subject to these revisions.</w:t>
      </w:r>
    </w:p>
    <w:p>
      <w:pPr>
        <w:spacing w:line="242" w:lineRule="auto" w:before="206"/>
        <w:ind w:left="4980" w:right="469" w:firstLine="0"/>
        <w:jc w:val="left"/>
        <w:rPr>
          <w:sz w:val="24"/>
        </w:rPr>
      </w:pPr>
      <w:r>
        <w:rPr>
          <w:sz w:val="24"/>
        </w:rPr>
        <w:t>Trade prices have also been revised. There has now been a slightly larger recorded fall in import prices following sterling’s appreciation than reported three months ago, and so a smaller further fall is expected over the forecast period. By itself, this has tended to raise the profile for RPIX inflation slightly during the early part of the forecast.</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6"/>
        </w:rPr>
      </w:pPr>
      <w:r>
        <w:rPr/>
        <w:pict>
          <v:shape style="position:absolute;margin-left:278.5pt;margin-top:17.264492pt;width:276.75pt;height:.1pt;mso-position-horizontal-relative:page;mso-position-vertical-relative:paragraph;z-index:-15376384;mso-wrap-distance-left:0;mso-wrap-distance-right:0" coordorigin="5570,345" coordsize="5535,0" path="m5570,345l11105,345e" filled="false" stroked="true" strokeweight=".125pt" strokecolor="#000000">
            <v:path arrowok="t"/>
            <v:stroke dashstyle="solid"/>
            <w10:wrap type="topAndBottom"/>
          </v:shape>
        </w:pict>
      </w:r>
    </w:p>
    <w:p>
      <w:pPr>
        <w:spacing w:before="11"/>
        <w:ind w:left="4960" w:right="0" w:firstLine="0"/>
        <w:jc w:val="left"/>
        <w:rPr>
          <w:sz w:val="16"/>
        </w:rPr>
      </w:pPr>
      <w:r>
        <w:rPr>
          <w:sz w:val="16"/>
        </w:rPr>
        <w:t>(1) Which may also be subject to future revisions.</w:t>
      </w:r>
    </w:p>
    <w:p>
      <w:pPr>
        <w:spacing w:after="0"/>
        <w:jc w:val="left"/>
        <w:rPr>
          <w:sz w:val="16"/>
        </w:rPr>
        <w:sectPr>
          <w:pgSz w:w="11900" w:h="16840"/>
          <w:pgMar w:header="586" w:footer="597" w:top="780" w:bottom="780" w:left="620" w:right="520"/>
        </w:sectPr>
      </w:pPr>
    </w:p>
    <w:p>
      <w:pPr>
        <w:pStyle w:val="BodyText"/>
        <w:rPr>
          <w:sz w:val="20"/>
        </w:rPr>
      </w:pPr>
    </w:p>
    <w:p>
      <w:pPr>
        <w:pStyle w:val="BodyText"/>
        <w:rPr>
          <w:sz w:val="20"/>
        </w:rPr>
      </w:pPr>
    </w:p>
    <w:p>
      <w:pPr>
        <w:pStyle w:val="BodyText"/>
        <w:rPr>
          <w:sz w:val="20"/>
        </w:rPr>
      </w:pPr>
    </w:p>
    <w:p>
      <w:pPr>
        <w:pStyle w:val="BodyText"/>
        <w:rPr>
          <w:sz w:val="20"/>
        </w:rPr>
      </w:pPr>
    </w:p>
    <w:p>
      <w:pPr>
        <w:spacing w:after="0"/>
        <w:rPr>
          <w:sz w:val="20"/>
        </w:rPr>
        <w:sectPr>
          <w:pgSz w:w="11900" w:h="16840"/>
          <w:pgMar w:header="586" w:footer="617" w:top="780" w:bottom="800" w:left="620" w:right="520"/>
        </w:sectPr>
      </w:pPr>
    </w:p>
    <w:p>
      <w:pPr>
        <w:pStyle w:val="BodyText"/>
        <w:spacing w:before="2"/>
        <w:rPr>
          <w:sz w:val="23"/>
        </w:rPr>
      </w:pPr>
    </w:p>
    <w:p>
      <w:pPr>
        <w:pStyle w:val="Heading7"/>
        <w:spacing w:before="0"/>
      </w:pPr>
      <w:r>
        <w:rPr>
          <w:color w:val="0093C1"/>
        </w:rPr>
        <w:t>Chart 6.3</w:t>
      </w:r>
    </w:p>
    <w:p>
      <w:pPr>
        <w:spacing w:line="249" w:lineRule="auto" w:before="10"/>
        <w:ind w:left="200" w:right="303" w:firstLine="0"/>
        <w:jc w:val="left"/>
        <w:rPr>
          <w:b/>
          <w:sz w:val="20"/>
        </w:rPr>
      </w:pPr>
      <w:r>
        <w:rPr>
          <w:b/>
          <w:color w:val="0093C1"/>
          <w:sz w:val="20"/>
        </w:rPr>
        <w:t>Current RPIX inflation projection based on constant nominal interest rates</w:t>
      </w:r>
    </w:p>
    <w:p>
      <w:pPr>
        <w:spacing w:before="186"/>
        <w:ind w:left="1903" w:right="0" w:firstLine="0"/>
        <w:jc w:val="left"/>
        <w:rPr>
          <w:sz w:val="12"/>
        </w:rPr>
      </w:pPr>
      <w:r>
        <w:rPr/>
        <w:pict>
          <v:line style="position:absolute;mso-position-horizontal-relative:page;mso-position-vertical-relative:paragraph;z-index:16086016" from="43.186001pt,17.234591pt" to="47.786001pt,17.234591pt" stroked="true" strokeweight=".5pt" strokecolor="#231f20">
            <v:stroke dashstyle="solid"/>
            <w10:wrap type="none"/>
          </v:line>
        </w:pict>
      </w:r>
      <w:r>
        <w:rPr/>
        <w:pict>
          <v:line style="position:absolute;mso-position-horizontal-relative:page;mso-position-vertical-relative:paragraph;z-index:-21401600" from="235.853006pt,17.234591pt" to="231.253006pt,17.234591pt" stroked="true" strokeweight=".5pt" strokecolor="#231f20">
            <v:stroke dashstyle="solid"/>
            <w10:wrap type="none"/>
          </v:line>
        </w:pict>
      </w:r>
      <w:r>
        <w:rPr>
          <w:sz w:val="12"/>
        </w:rPr>
        <w:t>Percentage increase in prices on a year earlier </w:t>
      </w:r>
      <w:r>
        <w:rPr>
          <w:position w:val="-6"/>
          <w:sz w:val="12"/>
        </w:rPr>
        <w:t>6</w:t>
      </w:r>
    </w:p>
    <w:p>
      <w:pPr>
        <w:pStyle w:val="BodyText"/>
        <w:spacing w:before="2"/>
        <w:rPr>
          <w:sz w:val="23"/>
        </w:rPr>
      </w:pPr>
      <w:r>
        <w:rPr/>
        <w:br w:type="column"/>
      </w:r>
      <w:r>
        <w:rPr>
          <w:sz w:val="23"/>
        </w:rPr>
      </w:r>
    </w:p>
    <w:p>
      <w:pPr>
        <w:pStyle w:val="Heading7"/>
        <w:spacing w:before="0"/>
      </w:pPr>
      <w:r>
        <w:rPr>
          <w:color w:val="0093C1"/>
        </w:rPr>
        <w:t>Chart 6.4</w:t>
      </w:r>
    </w:p>
    <w:p>
      <w:pPr>
        <w:spacing w:line="249" w:lineRule="auto" w:before="10"/>
        <w:ind w:left="200" w:right="1872" w:firstLine="0"/>
        <w:jc w:val="left"/>
        <w:rPr>
          <w:b/>
          <w:sz w:val="20"/>
        </w:rPr>
      </w:pPr>
      <w:r>
        <w:rPr>
          <w:b/>
          <w:color w:val="0093C1"/>
          <w:sz w:val="20"/>
        </w:rPr>
        <w:t>RPIX inflation projection in August based on constant nominal interest rates</w:t>
      </w:r>
    </w:p>
    <w:p>
      <w:pPr>
        <w:spacing w:before="186"/>
        <w:ind w:left="1883" w:right="0" w:firstLine="0"/>
        <w:jc w:val="left"/>
        <w:rPr>
          <w:sz w:val="12"/>
        </w:rPr>
      </w:pPr>
      <w:r>
        <w:rPr/>
        <w:pict>
          <v:line style="position:absolute;mso-position-horizontal-relative:page;mso-position-vertical-relative:paragraph;z-index:16091648" from="283.311005pt,17.234591pt" to="288.000005pt,17.234591pt" stroked="true" strokeweight=".5pt" strokecolor="#000000">
            <v:stroke dashstyle="solid"/>
            <w10:wrap type="none"/>
          </v:line>
        </w:pict>
      </w:r>
      <w:r>
        <w:rPr/>
        <w:pict>
          <v:line style="position:absolute;mso-position-horizontal-relative:page;mso-position-vertical-relative:paragraph;z-index:-21395968" from="474.852991pt,17.234591pt" to="470.252991pt,17.234591pt" stroked="true" strokeweight=".5pt" strokecolor="#000000">
            <v:stroke dashstyle="solid"/>
            <w10:wrap type="none"/>
          </v:line>
        </w:pict>
      </w:r>
      <w:r>
        <w:rPr>
          <w:sz w:val="12"/>
        </w:rPr>
        <w:t>Percentage increase in prices on a year earlier </w:t>
      </w:r>
      <w:r>
        <w:rPr>
          <w:position w:val="-6"/>
          <w:sz w:val="12"/>
        </w:rPr>
        <w:t>6</w:t>
      </w:r>
    </w:p>
    <w:p>
      <w:pPr>
        <w:spacing w:after="0"/>
        <w:jc w:val="left"/>
        <w:rPr>
          <w:sz w:val="12"/>
        </w:rPr>
        <w:sectPr>
          <w:type w:val="continuous"/>
          <w:pgSz w:w="11900" w:h="16840"/>
          <w:pgMar w:top="1220" w:bottom="280" w:left="620" w:right="520"/>
          <w:cols w:num="2" w:equalWidth="0">
            <w:col w:w="4262" w:space="538"/>
            <w:col w:w="5960"/>
          </w:cols>
        </w:sectPr>
      </w:pPr>
    </w:p>
    <w:p>
      <w:pPr>
        <w:pStyle w:val="BodyText"/>
        <w:spacing w:before="9"/>
        <w:rPr>
          <w:sz w:val="22"/>
        </w:rPr>
      </w:pPr>
    </w:p>
    <w:p>
      <w:pPr>
        <w:tabs>
          <w:tab w:pos="8941" w:val="left" w:leader="none"/>
        </w:tabs>
        <w:spacing w:before="95"/>
        <w:ind w:left="4161" w:right="0" w:firstLine="0"/>
        <w:jc w:val="left"/>
        <w:rPr>
          <w:sz w:val="12"/>
        </w:rPr>
      </w:pPr>
      <w:r>
        <w:rPr/>
        <w:pict>
          <v:line style="position:absolute;mso-position-horizontal-relative:page;mso-position-vertical-relative:paragraph;z-index:16085504" from="43.186001pt,9.120573pt" to="47.786001pt,9.120573pt" stroked="true" strokeweight=".5pt" strokecolor="#231f20">
            <v:stroke dashstyle="solid"/>
            <w10:wrap type="none"/>
          </v:line>
        </w:pict>
      </w:r>
      <w:r>
        <w:rPr/>
        <w:pict>
          <v:line style="position:absolute;mso-position-horizontal-relative:page;mso-position-vertical-relative:paragraph;z-index:16086528" from="235.853006pt,9.120573pt" to="231.253006pt,9.120573pt" stroked="true" strokeweight=".5pt" strokecolor="#231f20">
            <v:stroke dashstyle="solid"/>
            <w10:wrap type="none"/>
          </v:line>
        </w:pict>
      </w:r>
      <w:r>
        <w:rPr/>
        <w:pict>
          <v:line style="position:absolute;mso-position-horizontal-relative:page;mso-position-vertical-relative:paragraph;z-index:-21397504" from="283.311005pt,9.120573pt" to="287.911005pt,9.120573pt" stroked="true" strokeweight=".5pt" strokecolor="#000000">
            <v:stroke dashstyle="solid"/>
            <w10:wrap type="none"/>
          </v:line>
        </w:pict>
      </w:r>
      <w:r>
        <w:rPr/>
        <w:pict>
          <v:line style="position:absolute;mso-position-horizontal-relative:page;mso-position-vertical-relative:paragraph;z-index:-21396480" from="474.852991pt,9.120573pt" to="470.252991pt,9.120573pt" stroked="true" strokeweight=".5pt" strokecolor="#000000">
            <v:stroke dashstyle="solid"/>
            <w10:wrap type="none"/>
          </v:line>
        </w:pict>
      </w:r>
      <w:r>
        <w:rPr>
          <w:sz w:val="12"/>
        </w:rPr>
        <w:t>5</w:t>
        <w:tab/>
        <w:t>5</w:t>
      </w:r>
    </w:p>
    <w:p>
      <w:pPr>
        <w:pStyle w:val="BodyText"/>
        <w:spacing w:before="7"/>
        <w:rPr>
          <w:sz w:val="22"/>
        </w:rPr>
      </w:pPr>
    </w:p>
    <w:p>
      <w:pPr>
        <w:tabs>
          <w:tab w:pos="8941" w:val="left" w:leader="none"/>
        </w:tabs>
        <w:spacing w:before="95"/>
        <w:ind w:left="4161" w:right="0" w:firstLine="0"/>
        <w:jc w:val="left"/>
        <w:rPr>
          <w:sz w:val="12"/>
        </w:rPr>
      </w:pPr>
      <w:r>
        <w:rPr/>
        <w:pict>
          <v:group style="position:absolute;margin-left:50.972pt;margin-top:8.869337pt;width:184.9pt;height:79.9pt;mso-position-horizontal-relative:page;mso-position-vertical-relative:paragraph;z-index:16082432" coordorigin="1019,177" coordsize="3698,1598">
            <v:shape style="position:absolute;left:3398;top:205;width:1183;height:1569" coordorigin="3399,206" coordsize="1183,1569" path="m4581,206l4450,230,4319,250,4187,265,4056,290,3924,275,3793,378,3661,536,3530,724,3399,887,3530,1035,3661,1158,3793,1153,3924,1207,4056,1326,4187,1434,4319,1553,4450,1666,4581,1775,4581,206xe" filled="true" fillcolor="#fee7de" stroked="false">
              <v:path arrowok="t"/>
              <v:fill type="solid"/>
            </v:shape>
            <v:shape style="position:absolute;left:3398;top:368;width:1183;height:1224" coordorigin="3399,369" coordsize="1183,1224" path="m4581,369l4319,398,4187,408,4056,423,3924,393,3793,477,3661,615,3530,763,3399,887,3530,1005,3661,1099,3793,1079,3924,1118,4056,1227,4187,1316,4319,1414,4581,1592,4581,369xe" filled="true" fillcolor="#fcd3c4" stroked="false">
              <v:path arrowok="t"/>
              <v:fill type="solid"/>
            </v:shape>
            <v:shape style="position:absolute;left:3398;top:467;width:1183;height:1002" coordorigin="3399,467" coordsize="1183,1002" path="m3924,467l3793,541,3530,788,3399,886,3530,985,3661,1054,3793,1029,3924,1054,4056,1158,4187,1232,4319,1316,4450,1394,4581,1468,4581,477,4319,497,4187,497,4056,506,3924,467xe" filled="true" fillcolor="#fabeac" stroked="false">
              <v:path arrowok="t"/>
              <v:fill type="solid"/>
            </v:shape>
            <v:shape style="position:absolute;left:3398;top:532;width:1183;height:839" coordorigin="3399,532" coordsize="1183,839" path="m3924,532l3793,591,3661,705,3530,813,3399,887,3530,971,3661,1025,3793,991,3924,1011,4056,1109,4187,1173,4319,1243,4581,1371,4581,567,4319,577,4187,572,4056,577,3924,532xe" filled="true" fillcolor="#f8aa95" stroked="false">
              <v:path arrowok="t"/>
              <v:fill type="solid"/>
            </v:shape>
            <v:shape style="position:absolute;left:3398;top:587;width:1183;height:701" coordorigin="3399,587" coordsize="1183,701" path="m3924,587l3793,637,3661,745,3530,829,3399,888,3530,957,3661,997,3793,957,3924,967,4056,1061,4187,1115,4319,1179,4581,1288,4581,642,4319,642,4187,637,4056,637,3924,587xe" filled="true" fillcolor="#f69780" stroked="false">
              <v:path arrowok="t"/>
              <v:fill type="solid"/>
            </v:shape>
            <v:shape style="position:absolute;left:3398;top:635;width:1183;height:578" coordorigin="3399,636" coordsize="1183,578" path="m3924,636l3793,675,3661,774,3530,848,3399,887,3530,947,3661,971,3793,927,3924,932,4056,1021,4187,1065,4319,1119,4450,1169,4581,1213,4581,710,4450,705,4319,705,4187,690,4056,690,3924,636xe" filled="true" fillcolor="#f5846d" stroked="false">
              <v:path arrowok="t"/>
              <v:fill type="solid"/>
            </v:shape>
            <v:shape style="position:absolute;left:3398;top:679;width:1183;height:464" coordorigin="3399,679" coordsize="1183,464" path="m3924,679l3793,714,3661,803,3530,862,3399,886,3530,931,3661,951,3793,896,3924,896,4056,980,4187,1020,4319,1064,4581,1143,4581,773,4450,768,4319,758,4187,743,4056,738,3924,679xe" filled="true" fillcolor="#f3715b" stroked="false">
              <v:path arrowok="t"/>
              <v:fill type="solid"/>
            </v:shape>
            <v:shape style="position:absolute;left:3398;top:720;width:1183;height:356" coordorigin="3399,721" coordsize="1183,356" path="m3924,721l3793,750,3661,834,3530,873,3399,888,3530,923,3661,928,3793,869,3924,869,4056,947,4187,977,4319,1017,4581,1076,4581,834,4319,814,4187,795,4056,785,3924,721xe" filled="true" fillcolor="#f15b4a" stroked="false">
              <v:path arrowok="t"/>
              <v:fill type="solid"/>
            </v:shape>
            <v:shape style="position:absolute;left:3398;top:765;width:1183;height:247" coordorigin="3399,765" coordsize="1183,247" path="m3927,765l3793,785,3661,864,3530,889,3399,889,3530,913,3661,908,3793,844,3924,834,4056,913,4187,933,4319,968,4450,987,4581,1012,4581,889,4450,879,4319,864,4187,844,4058,834,3927,765xe" filled="true" fillcolor="#ed1b2d" stroked="false">
              <v:path arrowok="t"/>
              <v:fill type="solid"/>
            </v:shape>
            <v:shape style="position:absolute;left:4625;top:182;width:92;height:1480" coordorigin="4625,182" coordsize="92,1480" path="m4717,1662l4625,1662m4717,1169l4625,1169m4717,676l4625,676m4717,182l4625,182e" filled="false" stroked="true" strokeweight=".5pt" strokecolor="#231f20">
              <v:path arrowok="t"/>
              <v:stroke dashstyle="solid"/>
            </v:shape>
            <v:shape style="position:absolute;left:1029;top:710;width:789;height:375" coordorigin="1029,710" coordsize="789,375" path="m1161,967l1029,824m1292,1085l1161,967m1424,1051l1292,1085m1555,779l1424,1051m1687,799l1555,779m1818,710l1687,799e" filled="false" stroked="true" strokeweight="1pt" strokecolor="#ed1b2d">
              <v:path arrowok="t"/>
              <v:stroke dashstyle="solid"/>
            </v:shape>
            <v:line style="position:absolute" from="1808,713" to="1959,713" stroked="true" strokeweight="1.246pt" strokecolor="#ed1b2d">
              <v:stroke dashstyle="solid"/>
            </v:line>
            <v:shape style="position:absolute;left:1949;top:567;width:1446;height:331" coordorigin="1949,567" coordsize="1446,331" path="m2081,760l1949,715m2212,779l2081,760m2344,740l2212,779m2475,567l2344,740m2607,745l2475,567m2738,893l2607,745m2869,755l2738,893m3001,799l2869,755m3132,898l3001,799m3264,681l3132,898m3395,888l3264,681e" filled="false" stroked="true" strokeweight="1pt" strokecolor="#ed1b2d">
              <v:path arrowok="t"/>
              <v:stroke dashstyle="solid"/>
            </v:shape>
            <v:shape style="position:absolute;left:1019;top:177;width:3698;height:1598" type="#_x0000_t202" filled="false" stroked="false">
              <v:textbox inset="0,0,0,0">
                <w:txbxContent>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tabs>
                        <w:tab w:pos="3550" w:val="left" w:leader="none"/>
                      </w:tabs>
                      <w:spacing w:before="87"/>
                      <w:ind w:left="4" w:right="-15" w:firstLine="0"/>
                      <w:jc w:val="left"/>
                      <w:rPr>
                        <w:sz w:val="12"/>
                      </w:rPr>
                    </w:pPr>
                    <w:r>
                      <w:rPr>
                        <w:sz w:val="12"/>
                        <w:u w:val="single"/>
                      </w:rPr>
                      <w:t> </w:t>
                      <w:tab/>
                    </w:r>
                    <w:r>
                      <w:rPr>
                        <w:sz w:val="12"/>
                      </w:rPr>
                      <w:t> </w:t>
                    </w:r>
                    <w:r>
                      <w:rPr>
                        <w:spacing w:val="1"/>
                        <w:sz w:val="12"/>
                      </w:rPr>
                      <w:t> </w:t>
                    </w:r>
                    <w:r>
                      <w:rPr>
                        <w:sz w:val="12"/>
                        <w:u w:val="single"/>
                      </w:rPr>
                      <w:t> </w:t>
                    </w:r>
                    <w:r>
                      <w:rPr>
                        <w:spacing w:val="2"/>
                        <w:sz w:val="12"/>
                        <w:u w:val="single"/>
                      </w:rPr>
                      <w:t> </w:t>
                    </w:r>
                  </w:p>
                </w:txbxContent>
              </v:textbox>
              <w10:wrap type="none"/>
            </v:shape>
            <w10:wrap type="none"/>
          </v:group>
        </w:pict>
      </w:r>
      <w:r>
        <w:rPr/>
        <w:pict>
          <v:line style="position:absolute;mso-position-horizontal-relative:page;mso-position-vertical-relative:paragraph;z-index:16084992" from="43.186001pt,9.119337pt" to="47.786001pt,9.119337pt" stroked="true" strokeweight=".5pt" strokecolor="#231f20">
            <v:stroke dashstyle="solid"/>
            <w10:wrap type="none"/>
          </v:line>
        </w:pict>
      </w:r>
      <w:r>
        <w:rPr/>
        <w:pict>
          <v:group style="position:absolute;margin-left:290.093994pt;margin-top:-1.098663pt;width:185.1pt;height:84.5pt;mso-position-horizontal-relative:page;mso-position-vertical-relative:paragraph;z-index:-21400576" coordorigin="5802,-22" coordsize="3702,1690">
            <v:shape style="position:absolute;left:8132;top:-22;width:1227;height:1633" coordorigin="8133,-22" coordsize="1227,1633" path="m9360,-22l9223,32,9087,63,8951,118,8814,166,8678,187,8542,311,8406,488,8269,688,8133,696,8269,1091,8406,1193,8542,1217,8678,1193,8814,1173,8951,1281,9087,1382,9223,1509,9360,1611,9360,-22xe" filled="true" fillcolor="#fee7de" stroked="false">
              <v:path arrowok="t"/>
              <v:fill type="solid"/>
            </v:shape>
            <v:shape style="position:absolute;left:8132;top:190;width:1227;height:1273" coordorigin="8133,191" coordsize="1227,1273" path="m9360,191l9223,224,9087,234,8951,268,8814,295,8678,316,8542,428,8406,579,8269,740,8133,696,8269,1054,8406,1128,8542,1134,8678,1100,8814,1080,8951,1175,9087,1262,9223,1375,9360,1464,9360,191xe" filled="true" fillcolor="#fcd3c4" stroked="false">
              <v:path arrowok="t"/>
              <v:fill type="solid"/>
            </v:shape>
            <v:shape style="position:absolute;left:8132;top:332;width:1227;height:1027" coordorigin="8133,333" coordsize="1227,1027" path="m9360,333l9223,351,9087,346,8951,366,8814,378,8678,398,8542,502,8406,636,8269,772,8133,695,8269,1027,8406,1081,8542,1075,8678,1035,8814,1014,8951,1099,9087,1177,9223,1280,9360,1359,9360,333xe" filled="true" fillcolor="#fabeac" stroked="false">
              <v:path arrowok="t"/>
              <v:fill type="solid"/>
            </v:shape>
            <v:shape style="position:absolute;left:8132;top:436;width:1227;height:843" coordorigin="8133,436" coordsize="1227,843" path="m9087,436l8951,445,8814,446,8678,467,8542,563,8406,684,8269,799,8133,694,8269,1007,8406,1046,8542,1029,8678,985,8814,964,8951,1042,9087,1112,9223,1208,9360,1279,9360,445,9223,453,9087,436xe" filled="true" fillcolor="#f8aa95" stroked="false">
              <v:path arrowok="t"/>
              <v:fill type="solid"/>
            </v:shape>
            <v:shape style="position:absolute;left:8132;top:505;width:1227;height:705" coordorigin="8133,505" coordsize="1227,705" path="m8814,505l8678,526,8542,616,8406,725,8269,823,8133,694,8269,989,8406,1015,8542,989,8678,940,8814,920,8951,991,9087,1056,9223,1145,9360,1210,9360,539,9223,538,9087,513,8951,513,8814,505xe" filled="true" fillcolor="#f69780" stroked="false">
              <v:path arrowok="t"/>
              <v:fill type="solid"/>
            </v:shape>
            <v:shape style="position:absolute;left:8132;top:558;width:1227;height:592" coordorigin="8133,559" coordsize="1227,592" path="m8814,559l8678,579,8542,664,8406,762,8269,844,8133,693,8269,972,8406,987,8542,953,8678,900,8814,880,8951,946,9087,1005,9223,1090,9360,1150,9360,627,9223,617,9087,584,8951,575,8814,559xe" filled="true" fillcolor="#f5846d" stroked="false">
              <v:path arrowok="t"/>
              <v:fill type="solid"/>
            </v:shape>
            <v:shape style="position:absolute;left:8132;top:606;width:1227;height:483" coordorigin="8133,606" coordsize="1227,483" path="m8814,606l8678,627,8542,707,8406,795,8269,862,8133,692,8269,957,8406,961,8542,920,8678,864,8814,843,8951,904,9087,957,9223,1035,9360,1089,9360,704,9223,687,9087,646,8951,630,8814,606xe" filled="true" fillcolor="#f3715b" stroked="false">
              <v:path arrowok="t"/>
              <v:fill type="solid"/>
            </v:shape>
            <v:shape style="position:absolute;left:8132;top:652;width:1227;height:384" coordorigin="8133,653" coordsize="1227,384" path="m8814,653l8678,673,8542,749,8406,828,8269,882,8133,694,8269,945,8406,939,8542,891,8678,831,8814,811,8951,866,9087,914,9223,987,9360,1037,9360,785,9223,759,9087,710,8951,685,8814,653xe" filled="true" fillcolor="#f15b4a" stroked="false">
              <v:path arrowok="t"/>
              <v:fill type="solid"/>
            </v:shape>
            <v:shape style="position:absolute;left:8132;top:694;width:1227;height:294" coordorigin="8133,694" coordsize="1227,294" path="m8133,694l8269,932,8406,915,8542,861,8678,797,8814,777,8951,829,9087,873,9223,942,9360,988,9360,860,9223,826,9087,769,8953,737,8817,698,8678,718,8542,790,8406,860,8269,900,8133,694xe" filled="true" fillcolor="#ed1b2d" stroked="false">
              <v:path arrowok="t"/>
              <v:fill type="solid"/>
            </v:shape>
            <v:shape style="position:absolute;left:9405;top:182;width:92;height:1480" coordorigin="9405,182" coordsize="92,1480" path="m9497,1662l9405,1662m9497,1169l9405,1169m9497,676l9405,676m9497,182l9405,182e" filled="false" stroked="true" strokeweight=".5pt" strokecolor="#000000">
              <v:path arrowok="t"/>
              <v:stroke dashstyle="solid"/>
            </v:shape>
            <v:shape style="position:absolute;left:5811;top:709;width:818;height:374" coordorigin="5812,709" coordsize="818,374" path="m5948,965l5812,825m6084,1083l5948,965m6221,1052l6084,1083m6357,777l6221,1052m6493,802l6357,777m6630,709l6493,802e" filled="false" stroked="true" strokeweight="1pt" strokecolor="#ed1b2d">
              <v:path arrowok="t"/>
              <v:stroke dashstyle="solid"/>
            </v:shape>
            <v:line style="position:absolute" from="6620,712" to="6776,712" stroked="true" strokeweight="1.265pt" strokecolor="#ed1b2d">
              <v:stroke dashstyle="solid"/>
            </v:line>
            <v:shape style="position:absolute;left:6765;top:566;width:1227;height:327" coordorigin="6766,567" coordsize="1227,327" path="m6902,760l6766,715m7039,778l6902,760m7175,737l7039,778m7311,567l7175,737m7447,743l7311,567m7584,893l7447,743m7720,757l7584,893m7856,796l7720,757m7993,873l7856,796e" filled="false" stroked="true" strokeweight="1pt" strokecolor="#ed1b2d">
              <v:path arrowok="t"/>
              <v:stroke dashstyle="solid"/>
            </v:shape>
            <v:line style="position:absolute" from="8129,695" to="7993,873" stroked="true" strokeweight="1pt" strokecolor="#ed1b2d">
              <v:stroke dashstyle="solid"/>
            </v:line>
            <v:line style="position:absolute" from="9503,916" to="9411,916" stroked="true" strokeweight=".5pt" strokecolor="#000000">
              <v:stroke dashstyle="solid"/>
            </v:line>
            <v:shape style="position:absolute;left:5801;top:-22;width:3702;height:1690" type="#_x0000_t202" filled="false" stroked="false">
              <v:textbox inset="0,0,0,0">
                <w:txbxContent>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11"/>
                      <w:rPr>
                        <w:sz w:val="12"/>
                      </w:rPr>
                    </w:pPr>
                  </w:p>
                  <w:p>
                    <w:pPr>
                      <w:tabs>
                        <w:tab w:pos="3547" w:val="left" w:leader="none"/>
                      </w:tabs>
                      <w:spacing w:before="0"/>
                      <w:ind w:left="2" w:right="0" w:firstLine="0"/>
                      <w:jc w:val="left"/>
                      <w:rPr>
                        <w:sz w:val="12"/>
                      </w:rPr>
                    </w:pPr>
                    <w:r>
                      <w:rPr>
                        <w:sz w:val="12"/>
                        <w:u w:val="single"/>
                      </w:rPr>
                      <w:t> </w:t>
                      <w:tab/>
                    </w:r>
                  </w:p>
                </w:txbxContent>
              </v:textbox>
              <w10:wrap type="none"/>
            </v:shape>
            <w10:wrap type="none"/>
          </v:group>
        </w:pict>
      </w:r>
      <w:r>
        <w:rPr/>
        <w:pict>
          <v:line style="position:absolute;mso-position-horizontal-relative:page;mso-position-vertical-relative:paragraph;z-index:-21398016" from="283.311005pt,9.119337pt" to="287.911005pt,9.119337pt" stroked="true" strokeweight=".5pt" strokecolor="#000000">
            <v:stroke dashstyle="solid"/>
            <w10:wrap type="none"/>
          </v:line>
        </w:pict>
      </w:r>
      <w:r>
        <w:rPr>
          <w:sz w:val="12"/>
        </w:rPr>
        <w:t>4</w:t>
        <w:tab/>
        <w:t>4</w:t>
      </w:r>
    </w:p>
    <w:p>
      <w:pPr>
        <w:pStyle w:val="BodyText"/>
        <w:spacing w:before="7"/>
        <w:rPr>
          <w:sz w:val="22"/>
        </w:rPr>
      </w:pPr>
    </w:p>
    <w:p>
      <w:pPr>
        <w:tabs>
          <w:tab w:pos="8941" w:val="left" w:leader="none"/>
        </w:tabs>
        <w:spacing w:before="96"/>
        <w:ind w:left="4161" w:right="0" w:firstLine="0"/>
        <w:jc w:val="left"/>
        <w:rPr>
          <w:sz w:val="12"/>
        </w:rPr>
      </w:pPr>
      <w:r>
        <w:rPr/>
        <w:pict>
          <v:line style="position:absolute;mso-position-horizontal-relative:page;mso-position-vertical-relative:paragraph;z-index:16084480" from="43.186001pt,9.169162pt" to="47.786001pt,9.169162pt" stroked="true" strokeweight=".5pt" strokecolor="#231f20">
            <v:stroke dashstyle="solid"/>
            <w10:wrap type="none"/>
          </v:line>
        </w:pict>
      </w:r>
      <w:r>
        <w:rPr/>
        <w:pict>
          <v:line style="position:absolute;mso-position-horizontal-relative:page;mso-position-vertical-relative:paragraph;z-index:-21398528" from="283.311005pt,9.169162pt" to="287.911005pt,9.169162pt" stroked="true" strokeweight=".5pt" strokecolor="#000000">
            <v:stroke dashstyle="solid"/>
            <w10:wrap type="none"/>
          </v:line>
        </w:pict>
      </w:r>
      <w:r>
        <w:rPr>
          <w:sz w:val="12"/>
        </w:rPr>
        <w:t>3</w:t>
        <w:tab/>
        <w:t>3</w:t>
      </w:r>
    </w:p>
    <w:p>
      <w:pPr>
        <w:tabs>
          <w:tab w:pos="8950" w:val="left" w:leader="none"/>
        </w:tabs>
        <w:spacing w:before="90"/>
        <w:ind w:left="4170" w:right="0" w:firstLine="0"/>
        <w:jc w:val="left"/>
        <w:rPr>
          <w:sz w:val="12"/>
        </w:rPr>
      </w:pPr>
      <w:r>
        <w:rPr>
          <w:sz w:val="12"/>
        </w:rPr>
        <w:t>2.5</w:t>
        <w:tab/>
        <w:t>2.5</w:t>
      </w:r>
    </w:p>
    <w:p>
      <w:pPr>
        <w:pStyle w:val="BodyText"/>
        <w:rPr>
          <w:sz w:val="11"/>
        </w:rPr>
      </w:pPr>
    </w:p>
    <w:p>
      <w:pPr>
        <w:tabs>
          <w:tab w:pos="8941" w:val="left" w:leader="none"/>
        </w:tabs>
        <w:spacing w:before="0"/>
        <w:ind w:left="4161" w:right="0" w:firstLine="0"/>
        <w:jc w:val="left"/>
        <w:rPr>
          <w:sz w:val="12"/>
        </w:rPr>
      </w:pPr>
      <w:r>
        <w:rPr/>
        <w:pict>
          <v:line style="position:absolute;mso-position-horizontal-relative:page;mso-position-vertical-relative:paragraph;z-index:16083968" from="43.186001pt,4.368986pt" to="47.786001pt,4.368986pt" stroked="true" strokeweight=".5pt" strokecolor="#231f20">
            <v:stroke dashstyle="solid"/>
            <w10:wrap type="none"/>
          </v:line>
        </w:pict>
      </w:r>
      <w:r>
        <w:rPr/>
        <w:pict>
          <v:line style="position:absolute;mso-position-horizontal-relative:page;mso-position-vertical-relative:paragraph;z-index:-21399040" from="283.311005pt,4.368986pt" to="287.911005pt,4.368986pt" stroked="true" strokeweight=".5pt" strokecolor="#000000">
            <v:stroke dashstyle="solid"/>
            <w10:wrap type="none"/>
          </v:line>
        </w:pict>
      </w:r>
      <w:r>
        <w:rPr>
          <w:sz w:val="12"/>
        </w:rPr>
        <w:t>2</w:t>
        <w:tab/>
        <w:t>2</w:t>
      </w:r>
    </w:p>
    <w:p>
      <w:pPr>
        <w:pStyle w:val="BodyText"/>
        <w:spacing w:before="8"/>
        <w:rPr>
          <w:sz w:val="22"/>
        </w:rPr>
      </w:pPr>
    </w:p>
    <w:p>
      <w:pPr>
        <w:tabs>
          <w:tab w:pos="8941" w:val="left" w:leader="none"/>
        </w:tabs>
        <w:spacing w:before="95"/>
        <w:ind w:left="4161" w:right="0" w:firstLine="0"/>
        <w:jc w:val="left"/>
        <w:rPr>
          <w:sz w:val="12"/>
        </w:rPr>
      </w:pPr>
      <w:r>
        <w:rPr/>
        <w:pict>
          <v:line style="position:absolute;mso-position-horizontal-relative:page;mso-position-vertical-relative:paragraph;z-index:16083456" from="43.186001pt,9.117750pt" to="47.786001pt,9.117750pt" stroked="true" strokeweight=".5pt" strokecolor="#231f20">
            <v:stroke dashstyle="solid"/>
            <w10:wrap type="none"/>
          </v:line>
        </w:pict>
      </w:r>
      <w:r>
        <w:rPr/>
        <w:pict>
          <v:line style="position:absolute;mso-position-horizontal-relative:page;mso-position-vertical-relative:paragraph;z-index:-21399552" from="283.311005pt,9.117750pt" to="287.911005pt,9.117750pt" stroked="true" strokeweight=".5pt" strokecolor="#000000">
            <v:stroke dashstyle="solid"/>
            <w10:wrap type="none"/>
          </v:line>
        </w:pict>
      </w:r>
      <w:r>
        <w:rPr>
          <w:sz w:val="12"/>
        </w:rPr>
        <w:t>1</w:t>
        <w:tab/>
        <w:t>1</w:t>
      </w:r>
    </w:p>
    <w:p>
      <w:pPr>
        <w:pStyle w:val="BodyText"/>
        <w:spacing w:before="7"/>
        <w:rPr>
          <w:sz w:val="22"/>
        </w:rPr>
      </w:pPr>
    </w:p>
    <w:p>
      <w:pPr>
        <w:spacing w:after="0"/>
        <w:rPr>
          <w:sz w:val="22"/>
        </w:rPr>
        <w:sectPr>
          <w:type w:val="continuous"/>
          <w:pgSz w:w="11900" w:h="16840"/>
          <w:pgMar w:top="1220" w:bottom="280" w:left="620" w:right="520"/>
        </w:sectPr>
      </w:pPr>
    </w:p>
    <w:p>
      <w:pPr>
        <w:pStyle w:val="BodyText"/>
        <w:rPr>
          <w:sz w:val="12"/>
        </w:rPr>
      </w:pPr>
    </w:p>
    <w:p>
      <w:pPr>
        <w:tabs>
          <w:tab w:pos="1136" w:val="left" w:leader="none"/>
          <w:tab w:pos="1676" w:val="left" w:leader="none"/>
          <w:tab w:pos="2190" w:val="left" w:leader="none"/>
          <w:tab w:pos="2730" w:val="left" w:leader="none"/>
          <w:tab w:pos="3243" w:val="left" w:leader="none"/>
        </w:tabs>
        <w:spacing w:before="106"/>
        <w:ind w:left="557" w:right="0" w:firstLine="0"/>
        <w:jc w:val="left"/>
        <w:rPr>
          <w:sz w:val="12"/>
        </w:rPr>
      </w:pPr>
      <w:r>
        <w:rPr>
          <w:sz w:val="12"/>
        </w:rPr>
        <w:t>1994</w:t>
        <w:tab/>
        <w:t>95</w:t>
        <w:tab/>
        <w:t>96</w:t>
        <w:tab/>
        <w:t>97</w:t>
        <w:tab/>
        <w:t>98</w:t>
        <w:tab/>
      </w:r>
      <w:r>
        <w:rPr>
          <w:spacing w:val="-10"/>
          <w:sz w:val="12"/>
        </w:rPr>
        <w:t>99</w:t>
      </w:r>
    </w:p>
    <w:p>
      <w:pPr>
        <w:spacing w:before="95"/>
        <w:ind w:left="737" w:right="20" w:firstLine="0"/>
        <w:jc w:val="center"/>
        <w:rPr>
          <w:sz w:val="12"/>
        </w:rPr>
      </w:pPr>
      <w:r>
        <w:rPr/>
        <w:br w:type="column"/>
      </w:r>
      <w:r>
        <w:rPr>
          <w:sz w:val="12"/>
        </w:rPr>
        <w:t>0</w:t>
      </w:r>
    </w:p>
    <w:p>
      <w:pPr>
        <w:spacing w:before="11"/>
        <w:ind w:left="5" w:right="20" w:firstLine="0"/>
        <w:jc w:val="center"/>
        <w:rPr>
          <w:sz w:val="12"/>
        </w:rPr>
      </w:pPr>
      <w:r>
        <w:rPr/>
        <w:pict>
          <v:group style="position:absolute;margin-left:43.186001pt;margin-top:-7.948409pt;width:192.65pt;height:5.7pt;mso-position-horizontal-relative:page;mso-position-vertical-relative:paragraph;z-index:16082944" coordorigin="864,-159" coordsize="3853,114">
            <v:shape style="position:absolute;left:863;top:-159;width:3722;height:109" coordorigin="864,-159" coordsize="3722,109" path="m1020,-50l4586,-50m1020,-63l1020,-156m1169,-57l1169,-94m1300,-57l1300,-94m1431,-57l1431,-94m1556,-54l1556,-146m1694,-57l1694,-94m1826,-57l1826,-94m1957,-57l1957,-94m2103,-54l2103,-146m2220,-57l2220,-94m2351,-57l2351,-94m2483,-57l2483,-94m2628,-54l2628,-146m2746,-57l2746,-94m2877,-57l2877,-94m3009,-57l3009,-94m3133,-66l3133,-159m3271,-57l3271,-94m3403,-57l3403,-94m3534,-57l3534,-94m3658,-57l3658,-150m3797,-57l3797,-94m3929,-57l3929,-94m4053,-59l4053,-96m4188,-61l4188,-154m4454,-57l4454,-94m4586,-57l4586,-94m864,-50l956,-50e" filled="false" stroked="true" strokeweight=".5pt" strokecolor="#231f20">
              <v:path arrowok="t"/>
              <v:stroke dashstyle="solid"/>
            </v:shape>
            <v:line style="position:absolute" from="4716,-57" to="4624,-57" stroked="true" strokeweight=".5pt" strokecolor="#000000">
              <v:stroke dashstyle="solid"/>
            </v:line>
            <v:line style="position:absolute" from="4320,-56" to="4320,-93" stroked="true" strokeweight=".5pt" strokecolor="#231f20">
              <v:stroke dashstyle="solid"/>
            </v:line>
            <w10:wrap type="none"/>
          </v:group>
        </w:pict>
      </w:r>
      <w:r>
        <w:rPr>
          <w:sz w:val="12"/>
        </w:rPr>
        <w:t>2000</w:t>
      </w:r>
    </w:p>
    <w:p>
      <w:pPr>
        <w:pStyle w:val="BodyText"/>
        <w:rPr>
          <w:sz w:val="12"/>
        </w:rPr>
      </w:pPr>
      <w:r>
        <w:rPr/>
        <w:br w:type="column"/>
      </w:r>
      <w:r>
        <w:rPr>
          <w:sz w:val="12"/>
        </w:rPr>
      </w:r>
    </w:p>
    <w:p>
      <w:pPr>
        <w:tabs>
          <w:tab w:pos="1177" w:val="left" w:leader="none"/>
          <w:tab w:pos="1717" w:val="left" w:leader="none"/>
          <w:tab w:pos="2270" w:val="left" w:leader="none"/>
          <w:tab w:pos="2810" w:val="left" w:leader="none"/>
          <w:tab w:pos="3343" w:val="left" w:leader="none"/>
        </w:tabs>
        <w:spacing w:before="106"/>
        <w:ind w:left="557" w:right="0" w:firstLine="0"/>
        <w:jc w:val="left"/>
        <w:rPr>
          <w:sz w:val="12"/>
        </w:rPr>
      </w:pPr>
      <w:r>
        <w:rPr>
          <w:sz w:val="12"/>
        </w:rPr>
        <w:t>1994</w:t>
        <w:tab/>
        <w:t>95</w:t>
        <w:tab/>
        <w:t>96</w:t>
        <w:tab/>
        <w:t>97</w:t>
        <w:tab/>
        <w:t>98</w:t>
        <w:tab/>
      </w:r>
      <w:r>
        <w:rPr>
          <w:spacing w:val="-10"/>
          <w:sz w:val="12"/>
        </w:rPr>
        <w:t>99</w:t>
      </w:r>
    </w:p>
    <w:p>
      <w:pPr>
        <w:spacing w:before="95"/>
        <w:ind w:left="657" w:right="0" w:firstLine="0"/>
        <w:jc w:val="left"/>
        <w:rPr>
          <w:sz w:val="12"/>
        </w:rPr>
      </w:pPr>
      <w:r>
        <w:rPr/>
        <w:br w:type="column"/>
      </w:r>
      <w:r>
        <w:rPr>
          <w:sz w:val="12"/>
        </w:rPr>
        <w:t>0</w:t>
      </w:r>
    </w:p>
    <w:p>
      <w:pPr>
        <w:spacing w:before="11"/>
        <w:ind w:left="200" w:right="0" w:firstLine="0"/>
        <w:jc w:val="left"/>
        <w:rPr>
          <w:sz w:val="12"/>
        </w:rPr>
      </w:pPr>
      <w:r>
        <w:rPr/>
        <w:pict>
          <v:shape style="position:absolute;margin-left:283.221985pt;margin-top:-6.268409pt;width:191.6pt;height:4pt;mso-position-horizontal-relative:page;mso-position-vertical-relative:paragraph;z-index:16088576" coordorigin="5664,-125" coordsize="3832,80" path="m5800,-50l9361,-50m5802,-47l5802,-122m5953,-46l5953,-89m6090,-46l6090,-89m6226,-46l6226,-89m6376,-50l6376,-125m6499,-46l6499,-89m6635,-46l6635,-89m6771,-46l6771,-89m6921,-49l6921,-123m7044,-46l7044,-89m7180,-46l7180,-89m7316,-46l7316,-89m7467,-48l7467,-125m7589,-46l7589,-89m7725,-46l7725,-89m7862,-46l7862,-89m8011,-50l8011,-125m8134,-46l8134,-89m8270,-46l8270,-89m8407,-46l8407,-89m8556,-49l8556,-125m8679,-46l8679,-89m8816,-46l8816,-89m8947,-46l8947,-89m9080,-49l9080,-122m9361,-46l9361,-89m9221,-46l9221,-89m5664,-63l5756,-63m9496,-57l9404,-57e" filled="false" stroked="true" strokeweight=".5pt" strokecolor="#000000">
            <v:path arrowok="t"/>
            <v:stroke dashstyle="solid"/>
            <w10:wrap type="none"/>
          </v:shape>
        </w:pict>
      </w:r>
      <w:r>
        <w:rPr>
          <w:sz w:val="12"/>
        </w:rPr>
        <w:t>2000</w:t>
      </w:r>
    </w:p>
    <w:p>
      <w:pPr>
        <w:spacing w:after="0"/>
        <w:jc w:val="left"/>
        <w:rPr>
          <w:sz w:val="12"/>
        </w:rPr>
        <w:sectPr>
          <w:type w:val="continuous"/>
          <w:pgSz w:w="11900" w:h="16840"/>
          <w:pgMar w:top="1220" w:bottom="280" w:left="620" w:right="520"/>
          <w:cols w:num="4" w:equalWidth="0">
            <w:col w:w="3364" w:space="40"/>
            <w:col w:w="858" w:space="518"/>
            <w:col w:w="3464" w:space="40"/>
            <w:col w:w="2476"/>
          </w:cols>
        </w:sectPr>
      </w:pPr>
    </w:p>
    <w:p>
      <w:pPr>
        <w:pStyle w:val="BodyText"/>
        <w:rPr>
          <w:sz w:val="22"/>
        </w:rPr>
      </w:pPr>
    </w:p>
    <w:p>
      <w:pPr>
        <w:spacing w:line="208" w:lineRule="auto" w:before="113"/>
        <w:ind w:left="200" w:right="964" w:firstLine="0"/>
        <w:jc w:val="left"/>
        <w:rPr>
          <w:sz w:val="16"/>
        </w:rPr>
      </w:pPr>
      <w:r>
        <w:rPr>
          <w:sz w:val="16"/>
        </w:rPr>
        <w:t>The fan chart depicting the probability distribution for inflation is rather like a contour map. At any given point during the forecast period, the depth of shading represents the height of the probability density function over a range of outcomes for inflation. The darkest band includes the central (single most likely) projection and covers 10% of the probability. Each successive pair of bands is drawn to cover a further 10% of the probability, until 90% of the probability distribution is covered. The bands widen as the time horizon is extended, indicating increasing uncertainty about outcomes.</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9"/>
        </w:rPr>
      </w:pPr>
    </w:p>
    <w:p>
      <w:pPr>
        <w:spacing w:after="0"/>
        <w:rPr>
          <w:sz w:val="19"/>
        </w:rPr>
        <w:sectPr>
          <w:type w:val="continuous"/>
          <w:pgSz w:w="11900" w:h="16840"/>
          <w:pgMar w:top="1220" w:bottom="280" w:left="620" w:right="520"/>
        </w:sectPr>
      </w:pPr>
    </w:p>
    <w:p>
      <w:pPr>
        <w:pStyle w:val="Heading7"/>
        <w:spacing w:before="102"/>
      </w:pPr>
      <w:r>
        <w:rPr>
          <w:color w:val="0093C1"/>
        </w:rPr>
        <w:t>Chart 6.5</w:t>
      </w:r>
    </w:p>
    <w:p>
      <w:pPr>
        <w:spacing w:line="249" w:lineRule="auto" w:before="10"/>
        <w:ind w:left="200" w:right="62" w:firstLine="0"/>
        <w:jc w:val="left"/>
        <w:rPr>
          <w:b/>
          <w:sz w:val="20"/>
        </w:rPr>
      </w:pPr>
      <w:r>
        <w:rPr>
          <w:b/>
          <w:color w:val="0093C1"/>
          <w:sz w:val="20"/>
        </w:rPr>
        <w:t>Current projection for the percentage increase in RPIX in the year to 2000 Q4</w:t>
      </w:r>
    </w:p>
    <w:p>
      <w:pPr>
        <w:spacing w:line="126" w:lineRule="exact" w:before="96"/>
        <w:ind w:left="0" w:right="134" w:firstLine="0"/>
        <w:jc w:val="right"/>
        <w:rPr>
          <w:sz w:val="12"/>
        </w:rPr>
      </w:pPr>
      <w:r>
        <w:rPr>
          <w:sz w:val="12"/>
        </w:rPr>
        <w:t>Probability in per cent (a)</w:t>
      </w:r>
    </w:p>
    <w:p>
      <w:pPr>
        <w:spacing w:line="126" w:lineRule="exact" w:before="0"/>
        <w:ind w:left="0" w:right="38" w:firstLine="0"/>
        <w:jc w:val="right"/>
        <w:rPr>
          <w:sz w:val="12"/>
        </w:rPr>
      </w:pPr>
      <w:r>
        <w:rPr/>
        <w:pict>
          <v:line style="position:absolute;mso-position-horizontal-relative:page;mso-position-vertical-relative:paragraph;z-index:16094208" from="43pt,3.575358pt" to="48pt,3.575358pt" stroked="true" strokeweight=".5pt" strokecolor="#000000">
            <v:stroke dashstyle="solid"/>
            <w10:wrap type="none"/>
          </v:line>
        </w:pict>
      </w:r>
      <w:r>
        <w:rPr/>
        <w:pict>
          <v:line style="position:absolute;mso-position-horizontal-relative:page;mso-position-vertical-relative:paragraph;z-index:16094720" from="242pt,3.575358pt" to="248pt,3.575358pt" stroked="true" strokeweight=".5pt" strokecolor="#000000">
            <v:stroke dashstyle="solid"/>
            <w10:wrap type="none"/>
          </v:line>
        </w:pict>
      </w:r>
      <w:r>
        <w:rPr>
          <w:sz w:val="12"/>
        </w:rPr>
        <w:t>5</w:t>
      </w:r>
    </w:p>
    <w:p>
      <w:pPr>
        <w:pStyle w:val="Heading7"/>
        <w:spacing w:before="92"/>
      </w:pPr>
      <w:r>
        <w:rPr>
          <w:b w:val="0"/>
        </w:rPr>
        <w:br w:type="column"/>
      </w:r>
      <w:r>
        <w:rPr>
          <w:color w:val="0093C1"/>
        </w:rPr>
        <w:t>Chart 6.6</w:t>
      </w:r>
    </w:p>
    <w:p>
      <w:pPr>
        <w:spacing w:line="249" w:lineRule="auto" w:before="10"/>
        <w:ind w:left="200" w:right="1644" w:firstLine="0"/>
        <w:jc w:val="left"/>
        <w:rPr>
          <w:b/>
          <w:sz w:val="20"/>
        </w:rPr>
      </w:pPr>
      <w:r>
        <w:rPr>
          <w:b/>
          <w:color w:val="0093C1"/>
          <w:sz w:val="20"/>
        </w:rPr>
        <w:t>August projection for the percentage increase in RPIX in the year to 2000 Q3</w:t>
      </w:r>
    </w:p>
    <w:p>
      <w:pPr>
        <w:spacing w:line="116" w:lineRule="exact" w:before="143"/>
        <w:ind w:left="3115" w:right="0" w:firstLine="0"/>
        <w:jc w:val="left"/>
        <w:rPr>
          <w:sz w:val="12"/>
        </w:rPr>
      </w:pPr>
      <w:r>
        <w:rPr>
          <w:sz w:val="12"/>
        </w:rPr>
        <w:t>Probability in per cent (a)</w:t>
      </w:r>
    </w:p>
    <w:p>
      <w:pPr>
        <w:spacing w:line="116" w:lineRule="exact" w:before="0"/>
        <w:ind w:left="4415" w:right="0" w:firstLine="0"/>
        <w:jc w:val="left"/>
        <w:rPr>
          <w:sz w:val="12"/>
        </w:rPr>
      </w:pPr>
      <w:r>
        <w:rPr/>
        <w:pict>
          <v:line style="position:absolute;mso-position-horizontal-relative:page;mso-position-vertical-relative:paragraph;z-index:16095744" from="481.5pt,3.101857pt" to="487.5pt,3.101857pt" stroked="true" strokeweight=".5pt" strokecolor="#000000">
            <v:stroke dashstyle="solid"/>
            <w10:wrap type="none"/>
          </v:line>
        </w:pict>
      </w:r>
      <w:r>
        <w:rPr/>
        <w:pict>
          <v:line style="position:absolute;mso-position-horizontal-relative:page;mso-position-vertical-relative:paragraph;z-index:16096256" from="281.5pt,3.101857pt" to="287.5pt,3.101857pt" stroked="true" strokeweight=".5pt" strokecolor="#000000">
            <v:stroke dashstyle="solid"/>
            <w10:wrap type="none"/>
          </v:line>
        </w:pict>
      </w:r>
      <w:r>
        <w:rPr>
          <w:sz w:val="12"/>
        </w:rPr>
        <w:t>5</w:t>
      </w:r>
    </w:p>
    <w:p>
      <w:pPr>
        <w:spacing w:after="0" w:line="116" w:lineRule="exact"/>
        <w:jc w:val="left"/>
        <w:rPr>
          <w:sz w:val="12"/>
        </w:rPr>
        <w:sectPr>
          <w:type w:val="continuous"/>
          <w:pgSz w:w="11900" w:h="16840"/>
          <w:pgMar w:top="1220" w:bottom="280" w:left="620" w:right="520"/>
          <w:cols w:num="2" w:equalWidth="0">
            <w:col w:w="4481" w:space="304"/>
            <w:col w:w="5975"/>
          </w:cols>
        </w:sectPr>
      </w:pPr>
    </w:p>
    <w:p>
      <w:pPr>
        <w:pStyle w:val="BodyText"/>
        <w:rPr>
          <w:sz w:val="26"/>
        </w:rPr>
      </w:pPr>
    </w:p>
    <w:p>
      <w:pPr>
        <w:tabs>
          <w:tab w:pos="7499" w:val="left" w:leader="none"/>
          <w:tab w:pos="9259" w:val="right" w:leader="none"/>
        </w:tabs>
        <w:spacing w:before="95"/>
        <w:ind w:left="4380" w:right="0" w:firstLine="0"/>
        <w:jc w:val="left"/>
        <w:rPr>
          <w:sz w:val="12"/>
        </w:rPr>
      </w:pPr>
      <w:r>
        <w:rPr/>
        <w:pict>
          <v:group style="position:absolute;margin-left:43pt;margin-top:6.646479pt;width:205pt;height:128.5500pt;mso-position-horizontal-relative:page;mso-position-vertical-relative:paragraph;z-index:16093696" coordorigin="860,133" coordsize="4100,2571">
            <v:shape style="position:absolute;left:1970;top:150;width:1688;height:2507" coordorigin="1970,151" coordsize="1688,2507" path="m2870,151l2830,151,2770,170,2710,227,2670,284,2550,473,2510,606,2390,872,2350,1024,2230,1328,2190,1461,2130,1612,2070,1726,2030,1859,1970,1973,1970,2656,3658,2658,3658,2010,3642,1977,3630,1954,3570,1821,3530,1669,3410,1366,3370,1195,3310,1024,3250,872,3190,701,3150,568,3090,435,2990,246,2930,170,2870,151xe" filled="true" fillcolor="#eeefef" stroked="false">
              <v:path arrowok="t"/>
              <v:fill type="solid"/>
            </v:shape>
            <v:shape style="position:absolute;left:1970;top:150;width:1688;height:2507" coordorigin="1970,151" coordsize="1688,2507" path="m3642,1977l3630,1954,3570,1821,3530,1669,3410,1366,3370,1195,3310,1024,3250,872,3190,701,3150,568,3090,435,2990,246,2930,170,2870,151,2830,151,2770,170,2710,227,2670,284,2550,473,2510,606,2390,872,2350,1024,2230,1328,2190,1461,2130,1612,2070,1726,2030,1859,1970,1973,1970,2011,1970,1973,1970,2656,3658,2658,3658,2010,3642,1977xe" filled="false" stroked="true" strokeweight=".5pt" strokecolor="#eeefef">
              <v:path arrowok="t"/>
              <v:stroke dashstyle="solid"/>
            </v:shape>
            <v:shape style="position:absolute;left:860;top:236;width:4100;height:2430" coordorigin="860,236" coordsize="4100,2430" path="m860,236l960,236m860,844l960,844m860,1451l960,1451m860,2058l960,2058m860,2666l960,2666m4840,236l4960,236m4840,844l4960,844m4840,1451l4960,1451m4840,2058l4960,2058m4840,2666l4960,2666e" filled="false" stroked="true" strokeweight=".5pt" strokecolor="#000000">
              <v:path arrowok="t"/>
              <v:stroke dashstyle="solid"/>
            </v:shape>
            <v:shape style="position:absolute;left:1030;top:145;width:3730;height:2520" coordorigin="1030,146" coordsize="3730,2520" path="m1030,2654l1105,2654,1168,2652,1235,2645,1343,2616,1450,2573,1510,2545,1600,2476,1655,2431,1710,2379,1765,2317,1820,2248,1868,2175,1930,2053,1997,1903,2077,1703,2147,1556,2175,1488,2180,1470,2245,1278,2313,1100,2350,996,2430,774,2453,720,2503,592,2558,459,2613,362,2673,269,2718,212,2788,158,2850,146,2900,151,3000,255,3100,445,3160,578,3200,711,3260,882,3320,1033,3375,1213,3420,1369,3467,1503,3520,1651,3570,1798,3640,1964,3697,2093,3757,2193,3810,2283,3873,2373,3910,2423,3973,2473,4020,2514,4075,2552,4120,2571,4180,2590,4233,2609,4285,2621,4340,2628,4370,2635,4405,2642,4495,2654,4525,2656,4600,2666,4760,2666e" filled="false" stroked="true" strokeweight="1.0pt" strokecolor="#ed1b2d">
              <v:path arrowok="t"/>
              <v:stroke dashstyle="solid"/>
            </v:shape>
            <v:shape style="position:absolute;left:1040;top:2665;width:3740;height:38" coordorigin="1040,2666" coordsize="3740,38" path="m1040,2666l1040,2704m1520,2666l1520,2704m2100,2666l2100,2704m2640,2666l2640,2704m3180,2666l3180,2704m3700,2666l3700,2704m4240,2666l4240,2704m4780,2666l4780,2704m4780,2666l1040,2666e" filled="false" stroked="true" strokeweight=".5pt" strokecolor="#000000">
              <v:path arrowok="t"/>
              <v:stroke dashstyle="solid"/>
            </v:shape>
            <v:shape style="position:absolute;left:3030;top:773;width:72;height:79" coordorigin="3031,773" coordsize="72,79" path="m3063,773l3040,835,3031,851,3037,845,3046,839,3066,824,3085,812,3103,802,3063,773xe" filled="true" fillcolor="#000000" stroked="false">
              <v:path arrowok="t"/>
              <v:fill type="solid"/>
            </v:shape>
            <v:line style="position:absolute" from="3493,287" to="3073,800" stroked="true" strokeweight=".5pt" strokecolor="#000000">
              <v:stroke dashstyle="solid"/>
            </v:line>
            <v:shape style="position:absolute;left:3282;top:132;width:967;height:133" type="#_x0000_t202" filled="false" stroked="false">
              <v:textbox inset="0,0,0,0">
                <w:txbxContent>
                  <w:p>
                    <w:pPr>
                      <w:spacing w:line="133" w:lineRule="exact" w:before="0"/>
                      <w:ind w:left="0" w:right="0" w:firstLine="0"/>
                      <w:jc w:val="left"/>
                      <w:rPr>
                        <w:sz w:val="12"/>
                      </w:rPr>
                    </w:pPr>
                    <w:r>
                      <w:rPr>
                        <w:sz w:val="12"/>
                      </w:rPr>
                      <w:t>90% probability (b)</w:t>
                    </w:r>
                  </w:p>
                </w:txbxContent>
              </v:textbox>
              <w10:wrap type="none"/>
            </v:shape>
            <w10:wrap type="none"/>
          </v:group>
        </w:pict>
      </w:r>
      <w:r>
        <w:rPr/>
        <w:pict>
          <v:group style="position:absolute;margin-left:292.25pt;margin-top:11.514559pt;width:195.25pt;height:124.75pt;mso-position-horizontal-relative:page;mso-position-vertical-relative:paragraph;z-index:-21393408" coordorigin="5845,230" coordsize="3905,2495">
            <v:shape style="position:absolute;left:6980;top:245;width:1760;height:2413" coordorigin="6980,245" coordsize="1760,2413" path="m7720,245l7660,245,7600,302,7560,378,7500,473,7440,606,7400,758,7220,1271,7180,1442,7120,1613,7060,1765,7020,1917,6980,2012,6980,2658,8740,2658,8740,2050,8720,2031,8680,1936,8620,1841,8560,1727,8520,1613,8400,1385,8360,1252,8300,1138,8240,1005,8200,891,8080,663,8040,568,7980,473,7920,397,7880,340,7820,283,7760,264,7720,245xm7020,1898l7000,1936,7020,1917,7020,1898xe" filled="true" fillcolor="#eeefef" stroked="false">
              <v:path arrowok="t"/>
              <v:fill type="solid"/>
            </v:shape>
            <v:shape style="position:absolute;left:6980;top:245;width:1760;height:2413" coordorigin="6980,245" coordsize="1760,2413" path="m7020,1898l7000,1936,7020,1917,6980,2012,6980,2658,8740,2658,8740,2031,8740,2050,8720,2031,8680,1936,8620,1841,8560,1727,8520,1613,8400,1385,8360,1252,8300,1138,8240,1005,8200,891,8080,663,8040,568,7980,473,7920,397,7880,340,7820,283,7760,264,7720,245,7660,245,7600,302,7560,378,7500,473,7440,606,7400,758,7220,1271,7180,1442,7120,1613,7060,1765,7020,1917,7020,1898xe" filled="false" stroked="true" strokeweight=".5pt" strokecolor="#eeefef">
              <v:path arrowok="t"/>
              <v:stroke dashstyle="solid"/>
            </v:shape>
            <v:shape style="position:absolute;left:7868;top:740;width:72;height:79" coordorigin="7868,740" coordsize="72,79" path="m7900,740l7877,802,7868,818,7875,813,7883,806,7904,791,7923,779,7940,770,7900,740xe" filled="true" fillcolor="#000000" stroked="false">
              <v:path arrowok="t"/>
              <v:fill type="solid"/>
            </v:shape>
            <v:line style="position:absolute" from="5850,2668" to="6070,2668" stroked="true" strokeweight=".5pt" strokecolor="#000000">
              <v:stroke dashstyle="solid"/>
            </v:line>
            <v:line style="position:absolute" from="6070,2668" to="6230,2668" stroked="true" strokeweight=".5pt" strokecolor="#000000">
              <v:stroke dashstyle="solid"/>
            </v:line>
            <v:shape style="position:absolute;left:9630;top:254;width:120;height:2413" coordorigin="9630,255" coordsize="120,2413" path="m9630,255l9750,255m9630,863l9750,863m9630,1471l9750,1471m9630,2060l9750,2060m9630,2668l9750,2668e" filled="false" stroked="true" strokeweight=".5pt" strokecolor="#000000">
              <v:path arrowok="t"/>
              <v:stroke dashstyle="solid"/>
            </v:shape>
            <v:shape style="position:absolute;left:6230;top:240;width:3360;height:2428" coordorigin="6230,240" coordsize="3360,2428" path="m6230,2668l6270,2668,6333,2658,6500,2614,6600,2566,6650,2525,6713,2465,6763,2402,6820,2319,6880,2221,6933,2123,6985,1987,7040,1828,7070,1746,7127,1588,7180,1404,7240,1214,7297,1046,7340,913,7410,714,7467,559,7510,464,7577,343,7610,293,7670,242,7740,240,7797,261,7843,299,7890,350,7930,407,7990,490,8040,568,8100,679,8150,787,8208,908,8260,1034,8310,1148,8370,1281,8418,1390,8470,1509,8530,1642,8585,1751,8638,1855,8690,1946,8740,2043,8798,2138,8850,2212,8888,2261,8950,2335,8995,2387,9060,2437,9168,2506,9225,2539,9328,2584,9428,2618,9478,2634,9550,2649,9590,2649e" filled="false" stroked="true" strokeweight="1pt" strokecolor="#ed1b2d">
              <v:path arrowok="t"/>
              <v:stroke dashstyle="solid"/>
            </v:shape>
            <v:shape style="position:absolute;left:5850;top:254;width:3740;height:2470" coordorigin="5850,255" coordsize="3740,2470" path="m8330,255l7910,768m5850,2668l5850,2725m6330,2668l6330,2725m6910,2668l6910,2725m7450,2668l7450,2725m7990,2668l7990,2725m8530,2668l8530,2725m9070,2668l9070,2725m9590,2668l9590,2725m9590,2668l5850,2668e" filled="false" stroked="true" strokeweight=".5pt" strokecolor="#000000">
              <v:path arrowok="t"/>
              <v:stroke dashstyle="solid"/>
            </v:shape>
            <w10:wrap type="none"/>
          </v:group>
        </w:pict>
      </w:r>
      <w:r>
        <w:rPr/>
        <w:pict>
          <v:line style="position:absolute;mso-position-horizontal-relative:page;mso-position-vertical-relative:paragraph;z-index:-21391872" from="281.5pt,12.726559pt" to="287.5pt,12.726559pt" stroked="true" strokeweight=".5pt" strokecolor="#000000">
            <v:stroke dashstyle="solid"/>
            <w10:wrap type="none"/>
          </v:line>
        </w:pict>
      </w:r>
      <w:r>
        <w:rPr>
          <w:position w:val="-5"/>
          <w:sz w:val="12"/>
        </w:rPr>
        <w:t>4</w:t>
        <w:tab/>
      </w:r>
      <w:r>
        <w:rPr>
          <w:sz w:val="12"/>
        </w:rPr>
        <w:t>90% probability (b)</w:t>
        <w:tab/>
      </w:r>
      <w:r>
        <w:rPr>
          <w:position w:val="-7"/>
          <w:sz w:val="12"/>
        </w:rPr>
        <w:t>4</w:t>
      </w:r>
    </w:p>
    <w:p>
      <w:pPr>
        <w:pStyle w:val="BodyText"/>
        <w:rPr>
          <w:sz w:val="20"/>
        </w:rPr>
      </w:pPr>
    </w:p>
    <w:p>
      <w:pPr>
        <w:pStyle w:val="BodyText"/>
        <w:spacing w:before="9"/>
      </w:pPr>
    </w:p>
    <w:p>
      <w:pPr>
        <w:tabs>
          <w:tab w:pos="9199" w:val="left" w:leader="none"/>
        </w:tabs>
        <w:spacing w:before="0"/>
        <w:ind w:left="4380" w:right="0" w:firstLine="0"/>
        <w:jc w:val="left"/>
        <w:rPr>
          <w:sz w:val="12"/>
        </w:rPr>
      </w:pPr>
      <w:r>
        <w:rPr/>
        <w:pict>
          <v:line style="position:absolute;mso-position-horizontal-relative:page;mso-position-vertical-relative:paragraph;z-index:-21391360" from="281.5pt,5.176149pt" to="287.5pt,5.176149pt" stroked="true" strokeweight=".5pt" strokecolor="#000000">
            <v:stroke dashstyle="solid"/>
            <w10:wrap type="none"/>
          </v:line>
        </w:pict>
      </w:r>
      <w:r>
        <w:rPr>
          <w:position w:val="2"/>
          <w:sz w:val="12"/>
        </w:rPr>
        <w:t>3</w:t>
        <w:tab/>
      </w:r>
      <w:r>
        <w:rPr>
          <w:sz w:val="12"/>
        </w:rPr>
        <w:t>3</w:t>
      </w:r>
    </w:p>
    <w:p>
      <w:pPr>
        <w:pStyle w:val="BodyText"/>
        <w:rPr>
          <w:sz w:val="14"/>
        </w:rPr>
      </w:pPr>
    </w:p>
    <w:p>
      <w:pPr>
        <w:pStyle w:val="BodyText"/>
        <w:rPr>
          <w:sz w:val="14"/>
        </w:rPr>
      </w:pPr>
    </w:p>
    <w:p>
      <w:pPr>
        <w:pStyle w:val="BodyText"/>
        <w:spacing w:before="2"/>
        <w:rPr>
          <w:sz w:val="11"/>
        </w:rPr>
      </w:pPr>
    </w:p>
    <w:p>
      <w:pPr>
        <w:tabs>
          <w:tab w:pos="9199" w:val="left" w:leader="none"/>
        </w:tabs>
        <w:spacing w:before="0"/>
        <w:ind w:left="4380" w:right="0" w:firstLine="0"/>
        <w:jc w:val="left"/>
        <w:rPr>
          <w:sz w:val="12"/>
        </w:rPr>
      </w:pPr>
      <w:r>
        <w:rPr/>
        <w:pict>
          <v:line style="position:absolute;mso-position-horizontal-relative:page;mso-position-vertical-relative:paragraph;z-index:16097792" from="281.5pt,5.126351pt" to="287.5pt,5.126351pt" stroked="true" strokeweight=".5pt" strokecolor="#000000">
            <v:stroke dashstyle="solid"/>
            <w10:wrap type="none"/>
          </v:line>
        </w:pict>
      </w:r>
      <w:r>
        <w:rPr>
          <w:sz w:val="12"/>
        </w:rPr>
        <w:t>2</w:t>
        <w:tab/>
        <w:t>2</w:t>
      </w:r>
    </w:p>
    <w:p>
      <w:pPr>
        <w:pStyle w:val="BodyText"/>
        <w:rPr>
          <w:sz w:val="12"/>
        </w:rPr>
      </w:pPr>
    </w:p>
    <w:p>
      <w:pPr>
        <w:pStyle w:val="BodyText"/>
        <w:rPr>
          <w:sz w:val="12"/>
        </w:rPr>
      </w:pPr>
    </w:p>
    <w:p>
      <w:pPr>
        <w:pStyle w:val="BodyText"/>
        <w:spacing w:before="10"/>
        <w:rPr>
          <w:sz w:val="16"/>
        </w:rPr>
      </w:pPr>
    </w:p>
    <w:p>
      <w:pPr>
        <w:tabs>
          <w:tab w:pos="9199" w:val="left" w:leader="none"/>
        </w:tabs>
        <w:spacing w:before="0"/>
        <w:ind w:left="4400" w:right="0" w:firstLine="0"/>
        <w:jc w:val="left"/>
        <w:rPr>
          <w:sz w:val="12"/>
        </w:rPr>
      </w:pPr>
      <w:r>
        <w:rPr/>
        <w:pict>
          <v:line style="position:absolute;mso-position-horizontal-relative:page;mso-position-vertical-relative:paragraph;z-index:-21390336" from="281.5pt,4.176158pt" to="287.5pt,4.176158pt" stroked="true" strokeweight=".5pt" strokecolor="#000000">
            <v:stroke dashstyle="solid"/>
            <w10:wrap type="none"/>
          </v:line>
        </w:pict>
      </w:r>
      <w:r>
        <w:rPr>
          <w:sz w:val="12"/>
        </w:rPr>
        <w:t>1</w:t>
        <w:tab/>
        <w:t>1</w:t>
      </w:r>
    </w:p>
    <w:p>
      <w:pPr>
        <w:pStyle w:val="BodyText"/>
        <w:rPr>
          <w:sz w:val="20"/>
        </w:rPr>
      </w:pPr>
    </w:p>
    <w:p>
      <w:pPr>
        <w:spacing w:after="0"/>
        <w:rPr>
          <w:sz w:val="20"/>
        </w:rPr>
        <w:sectPr>
          <w:type w:val="continuous"/>
          <w:pgSz w:w="11900" w:h="16840"/>
          <w:pgMar w:top="1220" w:bottom="280" w:left="620" w:right="520"/>
        </w:sectPr>
      </w:pPr>
    </w:p>
    <w:p>
      <w:pPr>
        <w:pStyle w:val="BodyText"/>
        <w:rPr>
          <w:sz w:val="12"/>
        </w:rPr>
      </w:pPr>
    </w:p>
    <w:p>
      <w:pPr>
        <w:pStyle w:val="BodyText"/>
        <w:rPr>
          <w:sz w:val="12"/>
        </w:rPr>
      </w:pPr>
    </w:p>
    <w:p>
      <w:pPr>
        <w:pStyle w:val="BodyText"/>
        <w:rPr>
          <w:sz w:val="10"/>
        </w:rPr>
      </w:pPr>
    </w:p>
    <w:p>
      <w:pPr>
        <w:tabs>
          <w:tab w:pos="869" w:val="left" w:leader="none"/>
        </w:tabs>
        <w:spacing w:before="1"/>
        <w:ind w:left="350" w:right="0" w:firstLine="0"/>
        <w:jc w:val="left"/>
        <w:rPr>
          <w:sz w:val="12"/>
        </w:rPr>
      </w:pPr>
      <w:r>
        <w:rPr>
          <w:sz w:val="12"/>
        </w:rPr>
        <w:t>-1</w:t>
        <w:tab/>
        <w:t>0</w:t>
      </w:r>
    </w:p>
    <w:p>
      <w:pPr>
        <w:pStyle w:val="BodyText"/>
        <w:rPr>
          <w:sz w:val="12"/>
        </w:rPr>
      </w:pPr>
      <w:r>
        <w:rPr/>
        <w:br w:type="column"/>
      </w:r>
      <w:r>
        <w:rPr>
          <w:sz w:val="12"/>
        </w:rPr>
      </w:r>
    </w:p>
    <w:p>
      <w:pPr>
        <w:spacing w:before="101"/>
        <w:ind w:left="3300" w:right="0" w:firstLine="0"/>
        <w:jc w:val="left"/>
        <w:rPr>
          <w:sz w:val="12"/>
        </w:rPr>
      </w:pPr>
      <w:r>
        <w:rPr>
          <w:sz w:val="12"/>
        </w:rPr>
        <w:t>0</w:t>
      </w:r>
    </w:p>
    <w:p>
      <w:pPr>
        <w:tabs>
          <w:tab w:pos="889" w:val="left" w:leader="none"/>
          <w:tab w:pos="1429" w:val="left" w:leader="none"/>
          <w:tab w:pos="1949" w:val="left" w:leader="none"/>
          <w:tab w:pos="2489" w:val="left" w:leader="none"/>
          <w:tab w:pos="3029" w:val="left" w:leader="none"/>
        </w:tabs>
        <w:spacing w:before="14"/>
        <w:ind w:left="350" w:right="0" w:firstLine="0"/>
        <w:jc w:val="left"/>
        <w:rPr>
          <w:sz w:val="12"/>
        </w:rPr>
      </w:pPr>
      <w:r>
        <w:rPr>
          <w:sz w:val="12"/>
        </w:rPr>
        <w:t>1</w:t>
        <w:tab/>
        <w:t>2</w:t>
        <w:tab/>
        <w:t>3</w:t>
        <w:tab/>
        <w:t>4</w:t>
        <w:tab/>
        <w:t>5</w:t>
        <w:tab/>
        <w:t>6</w:t>
      </w:r>
    </w:p>
    <w:p>
      <w:pPr>
        <w:spacing w:before="14"/>
        <w:ind w:left="970" w:right="0" w:firstLine="0"/>
        <w:jc w:val="left"/>
        <w:rPr>
          <w:sz w:val="12"/>
        </w:rPr>
      </w:pPr>
      <w:r>
        <w:rPr>
          <w:sz w:val="12"/>
        </w:rPr>
        <w:t>Inflation</w:t>
      </w:r>
    </w:p>
    <w:p>
      <w:pPr>
        <w:pStyle w:val="BodyText"/>
        <w:spacing w:before="4" w:after="39"/>
        <w:rPr>
          <w:sz w:val="24"/>
        </w:rPr>
      </w:pPr>
      <w:r>
        <w:rPr/>
        <w:br w:type="column"/>
      </w:r>
      <w:r>
        <w:rPr>
          <w:sz w:val="24"/>
        </w:rPr>
      </w:r>
    </w:p>
    <w:p>
      <w:pPr>
        <w:pStyle w:val="BodyText"/>
        <w:spacing w:line="20" w:lineRule="exact"/>
        <w:ind w:left="195"/>
        <w:rPr>
          <w:sz w:val="2"/>
        </w:rPr>
      </w:pPr>
      <w:r>
        <w:rPr>
          <w:sz w:val="2"/>
        </w:rPr>
        <w:pict>
          <v:group style="width:6pt;height:.5pt;mso-position-horizontal-relative:char;mso-position-vertical-relative:line" coordorigin="0,0" coordsize="120,10">
            <v:line style="position:absolute" from="0,5" to="120,5" stroked="true" strokeweight=".5pt" strokecolor="#000000">
              <v:stroke dashstyle="solid"/>
            </v:line>
          </v:group>
        </w:pict>
      </w:r>
      <w:r>
        <w:rPr>
          <w:sz w:val="2"/>
        </w:rPr>
      </w:r>
    </w:p>
    <w:p>
      <w:pPr>
        <w:tabs>
          <w:tab w:pos="869" w:val="left" w:leader="none"/>
        </w:tabs>
        <w:spacing w:before="34"/>
        <w:ind w:left="350" w:right="0" w:firstLine="0"/>
        <w:jc w:val="left"/>
        <w:rPr>
          <w:sz w:val="12"/>
        </w:rPr>
      </w:pPr>
      <w:r>
        <w:rPr>
          <w:sz w:val="12"/>
        </w:rPr>
        <w:t>-1</w:t>
        <w:tab/>
        <w:t>0</w:t>
      </w:r>
    </w:p>
    <w:p>
      <w:pPr>
        <w:pStyle w:val="BodyText"/>
        <w:rPr>
          <w:sz w:val="12"/>
        </w:rPr>
      </w:pPr>
      <w:r>
        <w:rPr/>
        <w:br w:type="column"/>
      </w:r>
      <w:r>
        <w:rPr>
          <w:sz w:val="12"/>
        </w:rPr>
      </w:r>
    </w:p>
    <w:p>
      <w:pPr>
        <w:spacing w:line="135" w:lineRule="exact" w:before="102"/>
        <w:ind w:left="3289" w:right="0" w:firstLine="0"/>
        <w:jc w:val="left"/>
        <w:rPr>
          <w:sz w:val="12"/>
        </w:rPr>
      </w:pPr>
      <w:r>
        <w:rPr>
          <w:sz w:val="12"/>
        </w:rPr>
        <w:t>0</w:t>
      </w:r>
    </w:p>
    <w:p>
      <w:pPr>
        <w:tabs>
          <w:tab w:pos="889" w:val="left" w:leader="none"/>
          <w:tab w:pos="1429" w:val="left" w:leader="none"/>
          <w:tab w:pos="1969" w:val="left" w:leader="none"/>
          <w:tab w:pos="2509" w:val="left" w:leader="none"/>
          <w:tab w:pos="3029" w:val="left" w:leader="none"/>
        </w:tabs>
        <w:spacing w:line="135" w:lineRule="exact" w:before="0"/>
        <w:ind w:left="350" w:right="0" w:firstLine="0"/>
        <w:jc w:val="left"/>
        <w:rPr>
          <w:sz w:val="12"/>
        </w:rPr>
      </w:pPr>
      <w:r>
        <w:rPr>
          <w:sz w:val="12"/>
        </w:rPr>
        <w:t>1</w:t>
        <w:tab/>
        <w:t>2</w:t>
        <w:tab/>
        <w:t>3</w:t>
        <w:tab/>
        <w:t>4</w:t>
        <w:tab/>
        <w:t>5</w:t>
        <w:tab/>
        <w:t>6</w:t>
      </w:r>
    </w:p>
    <w:p>
      <w:pPr>
        <w:spacing w:before="36"/>
        <w:ind w:left="990" w:right="0" w:firstLine="0"/>
        <w:jc w:val="left"/>
        <w:rPr>
          <w:sz w:val="12"/>
        </w:rPr>
      </w:pPr>
      <w:r>
        <w:rPr>
          <w:sz w:val="12"/>
        </w:rPr>
        <w:t>Inflation</w:t>
      </w:r>
    </w:p>
    <w:p>
      <w:pPr>
        <w:spacing w:after="0"/>
        <w:jc w:val="left"/>
        <w:rPr>
          <w:sz w:val="12"/>
        </w:rPr>
        <w:sectPr>
          <w:type w:val="continuous"/>
          <w:pgSz w:w="11900" w:h="16840"/>
          <w:pgMar w:top="1220" w:bottom="280" w:left="620" w:right="520"/>
          <w:cols w:num="4" w:equalWidth="0">
            <w:col w:w="971" w:space="129"/>
            <w:col w:w="3401" w:space="309"/>
            <w:col w:w="971" w:space="129"/>
            <w:col w:w="4850"/>
          </w:cols>
        </w:sectPr>
      </w:pPr>
    </w:p>
    <w:p>
      <w:pPr>
        <w:pStyle w:val="BodyText"/>
        <w:spacing w:before="6"/>
        <w:rPr>
          <w:sz w:val="14"/>
        </w:rPr>
      </w:pPr>
    </w:p>
    <w:p>
      <w:pPr>
        <w:spacing w:before="0"/>
        <w:ind w:left="200" w:right="0" w:firstLine="0"/>
        <w:jc w:val="left"/>
        <w:rPr>
          <w:sz w:val="16"/>
        </w:rPr>
      </w:pPr>
      <w:r>
        <w:rPr>
          <w:sz w:val="16"/>
        </w:rPr>
        <w:t>Source: Bank of England.</w:t>
      </w:r>
    </w:p>
    <w:p>
      <w:pPr>
        <w:pStyle w:val="ListParagraph"/>
        <w:numPr>
          <w:ilvl w:val="0"/>
          <w:numId w:val="36"/>
        </w:numPr>
        <w:tabs>
          <w:tab w:pos="441" w:val="left" w:leader="none"/>
        </w:tabs>
        <w:spacing w:line="208" w:lineRule="auto" w:before="156" w:after="0"/>
        <w:ind w:left="440" w:right="1577" w:hanging="240"/>
        <w:jc w:val="left"/>
        <w:rPr>
          <w:sz w:val="16"/>
        </w:rPr>
      </w:pPr>
      <w:r>
        <w:rPr>
          <w:sz w:val="16"/>
        </w:rPr>
        <w:t>Probability of inflation being within ±0.05 percentage point of any given inflation rate, specified to one decimal place. For example, </w:t>
      </w:r>
      <w:r>
        <w:rPr>
          <w:spacing w:val="-6"/>
          <w:sz w:val="16"/>
        </w:rPr>
        <w:t>the </w:t>
      </w:r>
      <w:r>
        <w:rPr>
          <w:sz w:val="16"/>
        </w:rPr>
        <w:t>probability of inflation being 2.5% (between 2.45% and 2.55%) in the current projection is around 4%.</w:t>
      </w:r>
    </w:p>
    <w:p>
      <w:pPr>
        <w:pStyle w:val="ListParagraph"/>
        <w:numPr>
          <w:ilvl w:val="0"/>
          <w:numId w:val="36"/>
        </w:numPr>
        <w:tabs>
          <w:tab w:pos="441" w:val="left" w:leader="none"/>
        </w:tabs>
        <w:spacing w:line="208" w:lineRule="auto" w:before="0" w:after="0"/>
        <w:ind w:left="440" w:right="1733" w:hanging="240"/>
        <w:jc w:val="left"/>
        <w:rPr>
          <w:sz w:val="16"/>
        </w:rPr>
      </w:pPr>
      <w:r>
        <w:rPr>
          <w:sz w:val="16"/>
        </w:rPr>
        <w:t>The areas shaded light grey contain 90% of the probability, and are consistent with the widest bands shown in Charts 6.2 and 6.3. </w:t>
      </w:r>
      <w:r>
        <w:rPr>
          <w:spacing w:val="-6"/>
          <w:sz w:val="16"/>
        </w:rPr>
        <w:t>For </w:t>
      </w:r>
      <w:r>
        <w:rPr>
          <w:sz w:val="16"/>
        </w:rPr>
        <w:t>further details see ‘The </w:t>
      </w:r>
      <w:r>
        <w:rPr>
          <w:i/>
          <w:sz w:val="16"/>
        </w:rPr>
        <w:t>Inflation Report </w:t>
      </w:r>
      <w:r>
        <w:rPr>
          <w:sz w:val="16"/>
        </w:rPr>
        <w:t>projections: understanding the fan chart’, February 1998 </w:t>
      </w:r>
      <w:r>
        <w:rPr>
          <w:i/>
          <w:sz w:val="16"/>
        </w:rPr>
        <w:t>Quarterly Bulletin</w:t>
      </w:r>
      <w:r>
        <w:rPr>
          <w:sz w:val="16"/>
        </w:rPr>
        <w:t>, pages</w:t>
      </w:r>
      <w:r>
        <w:rPr>
          <w:spacing w:val="-3"/>
          <w:sz w:val="16"/>
        </w:rPr>
        <w:t> </w:t>
      </w:r>
      <w:r>
        <w:rPr>
          <w:sz w:val="16"/>
        </w:rPr>
        <w:t>30–37.</w:t>
      </w:r>
    </w:p>
    <w:p>
      <w:pPr>
        <w:spacing w:after="0" w:line="208" w:lineRule="auto"/>
        <w:jc w:val="left"/>
        <w:rPr>
          <w:sz w:val="16"/>
        </w:rPr>
        <w:sectPr>
          <w:type w:val="continuous"/>
          <w:pgSz w:w="11900" w:h="16840"/>
          <w:pgMar w:top="1220" w:bottom="280" w:left="620" w:right="520"/>
        </w:sectPr>
      </w:pPr>
    </w:p>
    <w:p>
      <w:pPr>
        <w:pStyle w:val="BodyText"/>
        <w:rPr>
          <w:sz w:val="20"/>
        </w:rPr>
      </w:pPr>
    </w:p>
    <w:p>
      <w:pPr>
        <w:pStyle w:val="Heading4"/>
        <w:spacing w:line="242" w:lineRule="auto" w:before="217"/>
        <w:ind w:left="4994" w:right="291"/>
      </w:pPr>
      <w:r>
        <w:rPr/>
        <w:t>The </w:t>
      </w:r>
      <w:r>
        <w:rPr>
          <w:spacing w:val="-3"/>
        </w:rPr>
        <w:t>MPC’s </w:t>
      </w:r>
      <w:r>
        <w:rPr/>
        <w:t>projection for the twelve-month RPIX inflation rate—assuming constant interest rates—is shown in Chart 6.3.</w:t>
      </w:r>
      <w:r>
        <w:rPr>
          <w:position w:val="5"/>
          <w:sz w:val="16"/>
        </w:rPr>
        <w:t>(1) </w:t>
      </w:r>
      <w:r>
        <w:rPr/>
        <w:t>Alongside it is the August projection (see Chart 6.4). The most likely path is for RPIX inflation to rise slightly through the first half of 1999, before falling back to close to the target by the </w:t>
      </w:r>
      <w:r>
        <w:rPr>
          <w:spacing w:val="-6"/>
        </w:rPr>
        <w:t>end </w:t>
      </w:r>
      <w:r>
        <w:rPr/>
        <w:t>of the forecast period.  The small rise in inflation in 1999 is accounted for by earnings growth, including the effect of the National Minimum </w:t>
      </w:r>
      <w:r>
        <w:rPr>
          <w:spacing w:val="-5"/>
        </w:rPr>
        <w:t>Wage </w:t>
      </w:r>
      <w:r>
        <w:rPr/>
        <w:t>to be introduced next April. But there is considerable uncertainty about the path of inflation, especially in view of uncertainties about the profile for output, about earnings growth, and about the timing and extent of further pass-through to domestic prices from the past appreciation of sterling.</w:t>
      </w:r>
    </w:p>
    <w:p>
      <w:pPr>
        <w:pStyle w:val="BodyText"/>
        <w:spacing w:before="1"/>
      </w:pPr>
    </w:p>
    <w:p>
      <w:pPr>
        <w:spacing w:after="0"/>
        <w:sectPr>
          <w:headerReference w:type="even" r:id="rId104"/>
          <w:headerReference w:type="default" r:id="rId105"/>
          <w:footerReference w:type="even" r:id="rId106"/>
          <w:footerReference w:type="default" r:id="rId107"/>
          <w:pgSz w:w="11900" w:h="16840"/>
          <w:pgMar w:header="586" w:footer="597" w:top="780" w:bottom="780" w:left="620" w:right="520"/>
          <w:pgNumType w:start="48"/>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9"/>
        </w:rPr>
      </w:pPr>
    </w:p>
    <w:p>
      <w:pPr>
        <w:pStyle w:val="Heading7"/>
        <w:spacing w:before="0"/>
        <w:ind w:left="186"/>
        <w:jc w:val="both"/>
      </w:pPr>
      <w:r>
        <w:rPr>
          <w:color w:val="0093C1"/>
        </w:rPr>
        <w:t>Table 6.A</w:t>
      </w:r>
    </w:p>
    <w:p>
      <w:pPr>
        <w:spacing w:line="249" w:lineRule="auto" w:before="10"/>
        <w:ind w:left="186" w:right="126" w:firstLine="0"/>
        <w:jc w:val="both"/>
        <w:rPr>
          <w:sz w:val="12"/>
        </w:rPr>
      </w:pPr>
      <w:r>
        <w:rPr>
          <w:b/>
          <w:color w:val="0093C1"/>
          <w:sz w:val="20"/>
        </w:rPr>
        <w:t>The MPC’s expectations for RPIX inflation and GDP growth based on constant nominal interest rates</w:t>
      </w:r>
      <w:r>
        <w:rPr>
          <w:position w:val="4"/>
          <w:sz w:val="12"/>
        </w:rPr>
        <w:t>(a)</w:t>
      </w:r>
    </w:p>
    <w:p>
      <w:pPr>
        <w:spacing w:before="63"/>
        <w:ind w:left="206" w:right="0" w:firstLine="0"/>
        <w:jc w:val="both"/>
        <w:rPr>
          <w:b/>
          <w:sz w:val="14"/>
        </w:rPr>
      </w:pPr>
      <w:r>
        <w:rPr>
          <w:b/>
          <w:sz w:val="14"/>
        </w:rPr>
        <w:t>RPIX inflation</w:t>
      </w:r>
    </w:p>
    <w:p>
      <w:pPr>
        <w:tabs>
          <w:tab w:pos="1440" w:val="left" w:leader="none"/>
          <w:tab w:pos="3163" w:val="left" w:leader="none"/>
        </w:tabs>
        <w:spacing w:line="150" w:lineRule="exact" w:before="119"/>
        <w:ind w:left="0" w:right="1043" w:firstLine="0"/>
        <w:jc w:val="right"/>
        <w:rPr>
          <w:sz w:val="14"/>
        </w:rPr>
      </w:pPr>
      <w:r>
        <w:rPr>
          <w:sz w:val="14"/>
        </w:rPr>
        <w:t>Probability, per cent</w:t>
        <w:tab/>
      </w:r>
      <w:r>
        <w:rPr>
          <w:sz w:val="14"/>
          <w:u w:val="single"/>
        </w:rPr>
        <w:t>Range:</w:t>
        <w:tab/>
      </w:r>
    </w:p>
    <w:p>
      <w:pPr>
        <w:tabs>
          <w:tab w:pos="479" w:val="left" w:leader="none"/>
        </w:tabs>
        <w:spacing w:line="150" w:lineRule="exact" w:before="0"/>
        <w:ind w:left="0" w:right="1039" w:firstLine="0"/>
        <w:jc w:val="right"/>
        <w:rPr>
          <w:sz w:val="14"/>
        </w:rPr>
      </w:pPr>
      <w:r>
        <w:rPr>
          <w:sz w:val="14"/>
        </w:rPr>
        <w:t>less</w:t>
        <w:tab/>
        <w:t>1.5% 2.5%</w:t>
      </w:r>
      <w:r>
        <w:rPr>
          <w:spacing w:val="26"/>
          <w:sz w:val="14"/>
        </w:rPr>
        <w:t> </w:t>
      </w:r>
      <w:r>
        <w:rPr>
          <w:sz w:val="14"/>
        </w:rPr>
        <w:t>more</w:t>
      </w: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40"/>
        <w:gridCol w:w="380"/>
        <w:gridCol w:w="536"/>
        <w:gridCol w:w="480"/>
        <w:gridCol w:w="436"/>
      </w:tblGrid>
      <w:tr>
        <w:trPr>
          <w:trHeight w:val="147" w:hRule="atLeast"/>
        </w:trPr>
        <w:tc>
          <w:tcPr>
            <w:tcW w:w="2356" w:type="dxa"/>
            <w:gridSpan w:val="3"/>
          </w:tcPr>
          <w:p>
            <w:pPr>
              <w:pStyle w:val="TableParagraph"/>
              <w:tabs>
                <w:tab w:pos="1969" w:val="left" w:leader="none"/>
              </w:tabs>
              <w:spacing w:line="128" w:lineRule="exact"/>
              <w:ind w:left="1489"/>
              <w:rPr>
                <w:sz w:val="14"/>
              </w:rPr>
            </w:pPr>
            <w:r>
              <w:rPr>
                <w:sz w:val="14"/>
              </w:rPr>
              <w:t>than</w:t>
              <w:tab/>
              <w:t>to</w:t>
            </w:r>
          </w:p>
        </w:tc>
        <w:tc>
          <w:tcPr>
            <w:tcW w:w="480" w:type="dxa"/>
          </w:tcPr>
          <w:p>
            <w:pPr>
              <w:pStyle w:val="TableParagraph"/>
              <w:spacing w:line="128" w:lineRule="exact"/>
              <w:ind w:left="94"/>
              <w:rPr>
                <w:sz w:val="14"/>
              </w:rPr>
            </w:pPr>
            <w:r>
              <w:rPr>
                <w:sz w:val="14"/>
              </w:rPr>
              <w:t>to</w:t>
            </w:r>
          </w:p>
        </w:tc>
        <w:tc>
          <w:tcPr>
            <w:tcW w:w="436" w:type="dxa"/>
          </w:tcPr>
          <w:p>
            <w:pPr>
              <w:pStyle w:val="TableParagraph"/>
              <w:spacing w:line="128" w:lineRule="exact"/>
              <w:ind w:left="94"/>
              <w:rPr>
                <w:sz w:val="14"/>
              </w:rPr>
            </w:pPr>
            <w:r>
              <w:rPr>
                <w:sz w:val="14"/>
              </w:rPr>
              <w:t>than</w:t>
            </w:r>
          </w:p>
        </w:tc>
      </w:tr>
      <w:tr>
        <w:trPr>
          <w:trHeight w:val="147" w:hRule="atLeast"/>
        </w:trPr>
        <w:tc>
          <w:tcPr>
            <w:tcW w:w="2356" w:type="dxa"/>
            <w:gridSpan w:val="3"/>
          </w:tcPr>
          <w:p>
            <w:pPr>
              <w:pStyle w:val="TableParagraph"/>
              <w:spacing w:line="128" w:lineRule="exact"/>
              <w:ind w:left="1489"/>
              <w:rPr>
                <w:sz w:val="14"/>
              </w:rPr>
            </w:pPr>
            <w:r>
              <w:rPr>
                <w:sz w:val="14"/>
                <w:u w:val="single"/>
              </w:rPr>
              <w:t>1.5%</w:t>
            </w:r>
            <w:r>
              <w:rPr>
                <w:sz w:val="14"/>
              </w:rPr>
              <w:t> </w:t>
            </w:r>
            <w:r>
              <w:rPr>
                <w:sz w:val="14"/>
                <w:u w:val="single"/>
              </w:rPr>
              <w:t>2.5%</w:t>
            </w:r>
          </w:p>
        </w:tc>
        <w:tc>
          <w:tcPr>
            <w:tcW w:w="480" w:type="dxa"/>
          </w:tcPr>
          <w:p>
            <w:pPr>
              <w:pStyle w:val="TableParagraph"/>
              <w:spacing w:line="128" w:lineRule="exact"/>
              <w:ind w:left="94"/>
              <w:rPr>
                <w:sz w:val="14"/>
              </w:rPr>
            </w:pPr>
            <w:r>
              <w:rPr>
                <w:sz w:val="14"/>
                <w:u w:val="single"/>
              </w:rPr>
              <w:t>3.5%</w:t>
            </w:r>
          </w:p>
        </w:tc>
        <w:tc>
          <w:tcPr>
            <w:tcW w:w="436" w:type="dxa"/>
          </w:tcPr>
          <w:p>
            <w:pPr>
              <w:pStyle w:val="TableParagraph"/>
              <w:spacing w:line="128" w:lineRule="exact"/>
              <w:ind w:left="94"/>
              <w:rPr>
                <w:sz w:val="14"/>
              </w:rPr>
            </w:pPr>
            <w:r>
              <w:rPr>
                <w:sz w:val="14"/>
                <w:u w:val="single"/>
              </w:rPr>
              <w:t>3.5%</w:t>
            </w:r>
          </w:p>
        </w:tc>
      </w:tr>
      <w:tr>
        <w:trPr>
          <w:trHeight w:val="272" w:hRule="atLeast"/>
        </w:trPr>
        <w:tc>
          <w:tcPr>
            <w:tcW w:w="1440" w:type="dxa"/>
          </w:tcPr>
          <w:p>
            <w:pPr>
              <w:pStyle w:val="TableParagraph"/>
              <w:spacing w:line="149" w:lineRule="exact" w:before="104"/>
              <w:ind w:left="50"/>
              <w:rPr>
                <w:sz w:val="14"/>
              </w:rPr>
            </w:pPr>
            <w:r>
              <w:rPr>
                <w:sz w:val="14"/>
              </w:rPr>
              <w:t>1998 Q4</w:t>
            </w:r>
          </w:p>
        </w:tc>
        <w:tc>
          <w:tcPr>
            <w:tcW w:w="380" w:type="dxa"/>
          </w:tcPr>
          <w:p>
            <w:pPr>
              <w:pStyle w:val="TableParagraph"/>
              <w:spacing w:line="149" w:lineRule="exact" w:before="104"/>
              <w:ind w:left="140"/>
              <w:rPr>
                <w:sz w:val="14"/>
              </w:rPr>
            </w:pPr>
            <w:r>
              <w:rPr>
                <w:sz w:val="14"/>
              </w:rPr>
              <w:t>0</w:t>
            </w:r>
          </w:p>
        </w:tc>
        <w:tc>
          <w:tcPr>
            <w:tcW w:w="536" w:type="dxa"/>
          </w:tcPr>
          <w:p>
            <w:pPr>
              <w:pStyle w:val="TableParagraph"/>
              <w:spacing w:line="149" w:lineRule="exact" w:before="104"/>
              <w:ind w:left="151" w:right="204"/>
              <w:jc w:val="center"/>
              <w:rPr>
                <w:sz w:val="14"/>
              </w:rPr>
            </w:pPr>
            <w:r>
              <w:rPr>
                <w:sz w:val="14"/>
              </w:rPr>
              <w:t>36</w:t>
            </w:r>
          </w:p>
        </w:tc>
        <w:tc>
          <w:tcPr>
            <w:tcW w:w="480" w:type="dxa"/>
          </w:tcPr>
          <w:p>
            <w:pPr>
              <w:pStyle w:val="TableParagraph"/>
              <w:spacing w:line="149" w:lineRule="exact" w:before="104"/>
              <w:ind w:left="114"/>
              <w:rPr>
                <w:sz w:val="14"/>
              </w:rPr>
            </w:pPr>
            <w:r>
              <w:rPr>
                <w:sz w:val="14"/>
              </w:rPr>
              <w:t>64</w:t>
            </w:r>
          </w:p>
        </w:tc>
        <w:tc>
          <w:tcPr>
            <w:tcW w:w="436" w:type="dxa"/>
          </w:tcPr>
          <w:p>
            <w:pPr>
              <w:pStyle w:val="TableParagraph"/>
              <w:spacing w:line="149" w:lineRule="exact" w:before="104"/>
              <w:ind w:left="2"/>
              <w:jc w:val="center"/>
              <w:rPr>
                <w:sz w:val="14"/>
              </w:rPr>
            </w:pPr>
            <w:r>
              <w:rPr>
                <w:sz w:val="14"/>
              </w:rPr>
              <w:t>0</w:t>
            </w:r>
          </w:p>
        </w:tc>
      </w:tr>
      <w:tr>
        <w:trPr>
          <w:trHeight w:val="140" w:hRule="atLeast"/>
        </w:trPr>
        <w:tc>
          <w:tcPr>
            <w:tcW w:w="1440" w:type="dxa"/>
          </w:tcPr>
          <w:p>
            <w:pPr>
              <w:pStyle w:val="TableParagraph"/>
              <w:spacing w:line="120" w:lineRule="exact"/>
              <w:ind w:left="50"/>
              <w:rPr>
                <w:sz w:val="14"/>
              </w:rPr>
            </w:pPr>
            <w:r>
              <w:rPr>
                <w:sz w:val="14"/>
              </w:rPr>
              <w:t>1999 Q4</w:t>
            </w:r>
          </w:p>
        </w:tc>
        <w:tc>
          <w:tcPr>
            <w:tcW w:w="380" w:type="dxa"/>
          </w:tcPr>
          <w:p>
            <w:pPr>
              <w:pStyle w:val="TableParagraph"/>
              <w:spacing w:line="120" w:lineRule="exact"/>
              <w:ind w:left="140"/>
              <w:rPr>
                <w:sz w:val="14"/>
              </w:rPr>
            </w:pPr>
            <w:r>
              <w:rPr>
                <w:sz w:val="14"/>
              </w:rPr>
              <w:t>2</w:t>
            </w:r>
          </w:p>
        </w:tc>
        <w:tc>
          <w:tcPr>
            <w:tcW w:w="536" w:type="dxa"/>
          </w:tcPr>
          <w:p>
            <w:pPr>
              <w:pStyle w:val="TableParagraph"/>
              <w:spacing w:line="120" w:lineRule="exact"/>
              <w:ind w:left="151" w:right="204"/>
              <w:jc w:val="center"/>
              <w:rPr>
                <w:sz w:val="14"/>
              </w:rPr>
            </w:pPr>
            <w:r>
              <w:rPr>
                <w:sz w:val="14"/>
              </w:rPr>
              <w:t>36</w:t>
            </w:r>
          </w:p>
        </w:tc>
        <w:tc>
          <w:tcPr>
            <w:tcW w:w="480" w:type="dxa"/>
          </w:tcPr>
          <w:p>
            <w:pPr>
              <w:pStyle w:val="TableParagraph"/>
              <w:spacing w:line="120" w:lineRule="exact"/>
              <w:ind w:left="114"/>
              <w:rPr>
                <w:sz w:val="14"/>
              </w:rPr>
            </w:pPr>
            <w:r>
              <w:rPr>
                <w:sz w:val="14"/>
              </w:rPr>
              <w:t>50</w:t>
            </w:r>
          </w:p>
        </w:tc>
        <w:tc>
          <w:tcPr>
            <w:tcW w:w="436" w:type="dxa"/>
          </w:tcPr>
          <w:p>
            <w:pPr>
              <w:pStyle w:val="TableParagraph"/>
              <w:spacing w:line="120" w:lineRule="exact"/>
              <w:ind w:left="114"/>
              <w:rPr>
                <w:sz w:val="14"/>
              </w:rPr>
            </w:pPr>
            <w:r>
              <w:rPr>
                <w:sz w:val="14"/>
              </w:rPr>
              <w:t>12</w:t>
            </w:r>
          </w:p>
        </w:tc>
      </w:tr>
      <w:tr>
        <w:trPr>
          <w:trHeight w:val="210" w:hRule="atLeast"/>
        </w:trPr>
        <w:tc>
          <w:tcPr>
            <w:tcW w:w="1440" w:type="dxa"/>
          </w:tcPr>
          <w:p>
            <w:pPr>
              <w:pStyle w:val="TableParagraph"/>
              <w:spacing w:line="132" w:lineRule="exact"/>
              <w:ind w:left="50"/>
              <w:rPr>
                <w:sz w:val="14"/>
              </w:rPr>
            </w:pPr>
            <w:r>
              <w:rPr>
                <w:sz w:val="14"/>
              </w:rPr>
              <w:t>2000 Q4</w:t>
            </w:r>
          </w:p>
        </w:tc>
        <w:tc>
          <w:tcPr>
            <w:tcW w:w="380" w:type="dxa"/>
          </w:tcPr>
          <w:p>
            <w:pPr>
              <w:pStyle w:val="TableParagraph"/>
              <w:spacing w:line="132" w:lineRule="exact"/>
              <w:ind w:left="70"/>
              <w:rPr>
                <w:sz w:val="14"/>
              </w:rPr>
            </w:pPr>
            <w:r>
              <w:rPr>
                <w:sz w:val="14"/>
              </w:rPr>
              <w:t>19</w:t>
            </w:r>
          </w:p>
        </w:tc>
        <w:tc>
          <w:tcPr>
            <w:tcW w:w="536" w:type="dxa"/>
          </w:tcPr>
          <w:p>
            <w:pPr>
              <w:pStyle w:val="TableParagraph"/>
              <w:spacing w:line="132" w:lineRule="exact"/>
              <w:ind w:left="151" w:right="204"/>
              <w:jc w:val="center"/>
              <w:rPr>
                <w:sz w:val="14"/>
              </w:rPr>
            </w:pPr>
            <w:r>
              <w:rPr>
                <w:sz w:val="14"/>
              </w:rPr>
              <w:t>36</w:t>
            </w:r>
          </w:p>
        </w:tc>
        <w:tc>
          <w:tcPr>
            <w:tcW w:w="480" w:type="dxa"/>
          </w:tcPr>
          <w:p>
            <w:pPr>
              <w:pStyle w:val="TableParagraph"/>
              <w:spacing w:line="132" w:lineRule="exact"/>
              <w:ind w:left="114"/>
              <w:rPr>
                <w:sz w:val="14"/>
              </w:rPr>
            </w:pPr>
            <w:r>
              <w:rPr>
                <w:sz w:val="14"/>
              </w:rPr>
              <w:t>33</w:t>
            </w:r>
          </w:p>
        </w:tc>
        <w:tc>
          <w:tcPr>
            <w:tcW w:w="436" w:type="dxa"/>
          </w:tcPr>
          <w:p>
            <w:pPr>
              <w:pStyle w:val="TableParagraph"/>
              <w:spacing w:line="132" w:lineRule="exact"/>
              <w:ind w:left="114"/>
              <w:rPr>
                <w:sz w:val="14"/>
              </w:rPr>
            </w:pPr>
            <w:r>
              <w:rPr>
                <w:sz w:val="14"/>
              </w:rPr>
              <w:t>12</w:t>
            </w:r>
          </w:p>
        </w:tc>
      </w:tr>
      <w:tr>
        <w:trPr>
          <w:trHeight w:val="217" w:hRule="atLeast"/>
        </w:trPr>
        <w:tc>
          <w:tcPr>
            <w:tcW w:w="1440" w:type="dxa"/>
          </w:tcPr>
          <w:p>
            <w:pPr>
              <w:pStyle w:val="TableParagraph"/>
              <w:spacing w:line="156" w:lineRule="exact" w:before="41"/>
              <w:ind w:left="50"/>
              <w:rPr>
                <w:b/>
                <w:sz w:val="14"/>
              </w:rPr>
            </w:pPr>
            <w:r>
              <w:rPr>
                <w:b/>
                <w:sz w:val="14"/>
              </w:rPr>
              <w:t>GDP growth</w:t>
            </w:r>
          </w:p>
        </w:tc>
        <w:tc>
          <w:tcPr>
            <w:tcW w:w="380" w:type="dxa"/>
          </w:tcPr>
          <w:p>
            <w:pPr>
              <w:pStyle w:val="TableParagraph"/>
              <w:rPr>
                <w:sz w:val="14"/>
              </w:rPr>
            </w:pPr>
          </w:p>
        </w:tc>
        <w:tc>
          <w:tcPr>
            <w:tcW w:w="536" w:type="dxa"/>
          </w:tcPr>
          <w:p>
            <w:pPr>
              <w:pStyle w:val="TableParagraph"/>
              <w:rPr>
                <w:sz w:val="14"/>
              </w:rPr>
            </w:pPr>
          </w:p>
        </w:tc>
        <w:tc>
          <w:tcPr>
            <w:tcW w:w="480" w:type="dxa"/>
          </w:tcPr>
          <w:p>
            <w:pPr>
              <w:pStyle w:val="TableParagraph"/>
              <w:rPr>
                <w:sz w:val="14"/>
              </w:rPr>
            </w:pPr>
          </w:p>
        </w:tc>
        <w:tc>
          <w:tcPr>
            <w:tcW w:w="436" w:type="dxa"/>
          </w:tcPr>
          <w:p>
            <w:pPr>
              <w:pStyle w:val="TableParagraph"/>
              <w:rPr>
                <w:sz w:val="14"/>
              </w:rPr>
            </w:pPr>
          </w:p>
        </w:tc>
      </w:tr>
    </w:tbl>
    <w:p>
      <w:pPr>
        <w:tabs>
          <w:tab w:pos="1440" w:val="left" w:leader="none"/>
          <w:tab w:pos="4123" w:val="left" w:leader="none"/>
        </w:tabs>
        <w:spacing w:line="150" w:lineRule="exact" w:before="104"/>
        <w:ind w:left="0" w:right="83" w:firstLine="0"/>
        <w:jc w:val="right"/>
        <w:rPr>
          <w:sz w:val="14"/>
        </w:rPr>
      </w:pPr>
      <w:r>
        <w:rPr>
          <w:sz w:val="14"/>
        </w:rPr>
        <w:t>Probability, per cent</w:t>
        <w:tab/>
      </w:r>
      <w:r>
        <w:rPr>
          <w:sz w:val="14"/>
          <w:u w:val="single"/>
        </w:rPr>
        <w:t>Range:</w:t>
        <w:tab/>
      </w:r>
    </w:p>
    <w:p>
      <w:pPr>
        <w:tabs>
          <w:tab w:pos="479" w:val="left" w:leader="none"/>
          <w:tab w:pos="960" w:val="left" w:leader="none"/>
          <w:tab w:pos="1440" w:val="left" w:leader="none"/>
          <w:tab w:pos="1920" w:val="left" w:leader="none"/>
          <w:tab w:pos="2400" w:val="left" w:leader="none"/>
        </w:tabs>
        <w:spacing w:line="150" w:lineRule="exact" w:before="0"/>
        <w:ind w:left="0" w:right="78" w:firstLine="0"/>
        <w:jc w:val="right"/>
        <w:rPr>
          <w:sz w:val="14"/>
        </w:rPr>
      </w:pPr>
      <w:r>
        <w:rPr>
          <w:sz w:val="14"/>
        </w:rPr>
        <w:t>less</w:t>
        <w:tab/>
        <w:t>0%</w:t>
        <w:tab/>
        <w:t>1%</w:t>
        <w:tab/>
        <w:t>2%</w:t>
        <w:tab/>
        <w:t>3%</w:t>
        <w:tab/>
        <w:t>more</w:t>
      </w: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93"/>
        <w:gridCol w:w="390"/>
        <w:gridCol w:w="80"/>
        <w:gridCol w:w="310"/>
        <w:gridCol w:w="170"/>
        <w:gridCol w:w="310"/>
        <w:gridCol w:w="170"/>
        <w:gridCol w:w="310"/>
        <w:gridCol w:w="176"/>
        <w:gridCol w:w="199"/>
        <w:gridCol w:w="262"/>
        <w:gridCol w:w="313"/>
      </w:tblGrid>
      <w:tr>
        <w:trPr>
          <w:trHeight w:val="147" w:hRule="atLeast"/>
        </w:trPr>
        <w:tc>
          <w:tcPr>
            <w:tcW w:w="1493" w:type="dxa"/>
            <w:vMerge w:val="restart"/>
          </w:tcPr>
          <w:p>
            <w:pPr>
              <w:pStyle w:val="TableParagraph"/>
              <w:rPr>
                <w:sz w:val="22"/>
              </w:rPr>
            </w:pPr>
          </w:p>
        </w:tc>
        <w:tc>
          <w:tcPr>
            <w:tcW w:w="390" w:type="dxa"/>
          </w:tcPr>
          <w:p>
            <w:pPr>
              <w:pStyle w:val="TableParagraph"/>
              <w:spacing w:line="128" w:lineRule="exact"/>
              <w:ind w:left="-4"/>
              <w:rPr>
                <w:sz w:val="14"/>
              </w:rPr>
            </w:pPr>
            <w:r>
              <w:rPr>
                <w:sz w:val="14"/>
              </w:rPr>
              <w:t>than</w:t>
            </w:r>
          </w:p>
        </w:tc>
        <w:tc>
          <w:tcPr>
            <w:tcW w:w="80" w:type="dxa"/>
          </w:tcPr>
          <w:p>
            <w:pPr>
              <w:pStyle w:val="TableParagraph"/>
              <w:rPr>
                <w:sz w:val="8"/>
              </w:rPr>
            </w:pPr>
          </w:p>
        </w:tc>
        <w:tc>
          <w:tcPr>
            <w:tcW w:w="310" w:type="dxa"/>
          </w:tcPr>
          <w:p>
            <w:pPr>
              <w:pStyle w:val="TableParagraph"/>
              <w:spacing w:line="128" w:lineRule="exact"/>
              <w:ind w:right="192"/>
              <w:jc w:val="right"/>
              <w:rPr>
                <w:sz w:val="14"/>
              </w:rPr>
            </w:pPr>
            <w:r>
              <w:rPr>
                <w:sz w:val="14"/>
              </w:rPr>
              <w:t>to</w:t>
            </w:r>
          </w:p>
        </w:tc>
        <w:tc>
          <w:tcPr>
            <w:tcW w:w="170" w:type="dxa"/>
          </w:tcPr>
          <w:p>
            <w:pPr>
              <w:pStyle w:val="TableParagraph"/>
              <w:rPr>
                <w:sz w:val="8"/>
              </w:rPr>
            </w:pPr>
          </w:p>
        </w:tc>
        <w:tc>
          <w:tcPr>
            <w:tcW w:w="310" w:type="dxa"/>
          </w:tcPr>
          <w:p>
            <w:pPr>
              <w:pStyle w:val="TableParagraph"/>
              <w:spacing w:line="128" w:lineRule="exact"/>
              <w:ind w:left="6"/>
              <w:rPr>
                <w:sz w:val="14"/>
              </w:rPr>
            </w:pPr>
            <w:r>
              <w:rPr>
                <w:sz w:val="14"/>
              </w:rPr>
              <w:t>to</w:t>
            </w:r>
          </w:p>
        </w:tc>
        <w:tc>
          <w:tcPr>
            <w:tcW w:w="170" w:type="dxa"/>
          </w:tcPr>
          <w:p>
            <w:pPr>
              <w:pStyle w:val="TableParagraph"/>
              <w:rPr>
                <w:sz w:val="8"/>
              </w:rPr>
            </w:pPr>
          </w:p>
        </w:tc>
        <w:tc>
          <w:tcPr>
            <w:tcW w:w="310" w:type="dxa"/>
          </w:tcPr>
          <w:p>
            <w:pPr>
              <w:pStyle w:val="TableParagraph"/>
              <w:spacing w:line="128" w:lineRule="exact"/>
              <w:ind w:left="6"/>
              <w:rPr>
                <w:sz w:val="14"/>
              </w:rPr>
            </w:pPr>
            <w:r>
              <w:rPr>
                <w:sz w:val="14"/>
              </w:rPr>
              <w:t>to</w:t>
            </w:r>
          </w:p>
        </w:tc>
        <w:tc>
          <w:tcPr>
            <w:tcW w:w="176" w:type="dxa"/>
          </w:tcPr>
          <w:p>
            <w:pPr>
              <w:pStyle w:val="TableParagraph"/>
              <w:rPr>
                <w:sz w:val="8"/>
              </w:rPr>
            </w:pPr>
          </w:p>
        </w:tc>
        <w:tc>
          <w:tcPr>
            <w:tcW w:w="199" w:type="dxa"/>
          </w:tcPr>
          <w:p>
            <w:pPr>
              <w:pStyle w:val="TableParagraph"/>
              <w:spacing w:line="128" w:lineRule="exact"/>
              <w:ind w:right="88"/>
              <w:jc w:val="right"/>
              <w:rPr>
                <w:sz w:val="14"/>
              </w:rPr>
            </w:pPr>
            <w:r>
              <w:rPr>
                <w:sz w:val="14"/>
              </w:rPr>
              <w:t>to</w:t>
            </w:r>
          </w:p>
        </w:tc>
        <w:tc>
          <w:tcPr>
            <w:tcW w:w="262" w:type="dxa"/>
          </w:tcPr>
          <w:p>
            <w:pPr>
              <w:pStyle w:val="TableParagraph"/>
              <w:rPr>
                <w:sz w:val="8"/>
              </w:rPr>
            </w:pPr>
          </w:p>
        </w:tc>
        <w:tc>
          <w:tcPr>
            <w:tcW w:w="313" w:type="dxa"/>
          </w:tcPr>
          <w:p>
            <w:pPr>
              <w:pStyle w:val="TableParagraph"/>
              <w:spacing w:line="128" w:lineRule="exact"/>
              <w:ind w:left="19"/>
              <w:rPr>
                <w:sz w:val="14"/>
              </w:rPr>
            </w:pPr>
            <w:r>
              <w:rPr>
                <w:sz w:val="14"/>
              </w:rPr>
              <w:t>than</w:t>
            </w:r>
          </w:p>
        </w:tc>
      </w:tr>
      <w:tr>
        <w:trPr>
          <w:trHeight w:val="170" w:hRule="atLeast"/>
        </w:trPr>
        <w:tc>
          <w:tcPr>
            <w:tcW w:w="1493" w:type="dxa"/>
            <w:vMerge/>
            <w:tcBorders>
              <w:top w:val="nil"/>
            </w:tcBorders>
          </w:tcPr>
          <w:p>
            <w:pPr>
              <w:rPr>
                <w:sz w:val="2"/>
                <w:szCs w:val="2"/>
              </w:rPr>
            </w:pPr>
          </w:p>
        </w:tc>
        <w:tc>
          <w:tcPr>
            <w:tcW w:w="390" w:type="dxa"/>
            <w:tcBorders>
              <w:bottom w:val="single" w:sz="2" w:space="0" w:color="000000"/>
            </w:tcBorders>
          </w:tcPr>
          <w:p>
            <w:pPr>
              <w:pStyle w:val="TableParagraph"/>
              <w:spacing w:line="132" w:lineRule="exact"/>
              <w:ind w:left="-4"/>
              <w:rPr>
                <w:sz w:val="14"/>
              </w:rPr>
            </w:pPr>
            <w:r>
              <w:rPr>
                <w:sz w:val="14"/>
              </w:rPr>
              <w:t>0%</w:t>
            </w:r>
          </w:p>
        </w:tc>
        <w:tc>
          <w:tcPr>
            <w:tcW w:w="80" w:type="dxa"/>
          </w:tcPr>
          <w:p>
            <w:pPr>
              <w:pStyle w:val="TableParagraph"/>
              <w:rPr>
                <w:sz w:val="10"/>
              </w:rPr>
            </w:pPr>
          </w:p>
        </w:tc>
        <w:tc>
          <w:tcPr>
            <w:tcW w:w="310" w:type="dxa"/>
            <w:tcBorders>
              <w:bottom w:val="single" w:sz="2" w:space="0" w:color="000000"/>
            </w:tcBorders>
          </w:tcPr>
          <w:p>
            <w:pPr>
              <w:pStyle w:val="TableParagraph"/>
              <w:spacing w:line="132" w:lineRule="exact"/>
              <w:ind w:right="114"/>
              <w:jc w:val="right"/>
              <w:rPr>
                <w:sz w:val="14"/>
              </w:rPr>
            </w:pPr>
            <w:r>
              <w:rPr>
                <w:sz w:val="14"/>
              </w:rPr>
              <w:t>1%</w:t>
            </w:r>
          </w:p>
        </w:tc>
        <w:tc>
          <w:tcPr>
            <w:tcW w:w="170" w:type="dxa"/>
          </w:tcPr>
          <w:p>
            <w:pPr>
              <w:pStyle w:val="TableParagraph"/>
              <w:rPr>
                <w:sz w:val="10"/>
              </w:rPr>
            </w:pPr>
          </w:p>
        </w:tc>
        <w:tc>
          <w:tcPr>
            <w:tcW w:w="310" w:type="dxa"/>
            <w:tcBorders>
              <w:bottom w:val="single" w:sz="2" w:space="0" w:color="000000"/>
            </w:tcBorders>
          </w:tcPr>
          <w:p>
            <w:pPr>
              <w:pStyle w:val="TableParagraph"/>
              <w:spacing w:line="132" w:lineRule="exact"/>
              <w:ind w:left="7"/>
              <w:rPr>
                <w:sz w:val="14"/>
              </w:rPr>
            </w:pPr>
            <w:r>
              <w:rPr>
                <w:sz w:val="14"/>
              </w:rPr>
              <w:t>2%</w:t>
            </w:r>
          </w:p>
        </w:tc>
        <w:tc>
          <w:tcPr>
            <w:tcW w:w="170" w:type="dxa"/>
          </w:tcPr>
          <w:p>
            <w:pPr>
              <w:pStyle w:val="TableParagraph"/>
              <w:rPr>
                <w:sz w:val="10"/>
              </w:rPr>
            </w:pPr>
          </w:p>
        </w:tc>
        <w:tc>
          <w:tcPr>
            <w:tcW w:w="310" w:type="dxa"/>
            <w:tcBorders>
              <w:bottom w:val="single" w:sz="2" w:space="0" w:color="000000"/>
            </w:tcBorders>
          </w:tcPr>
          <w:p>
            <w:pPr>
              <w:pStyle w:val="TableParagraph"/>
              <w:spacing w:line="132" w:lineRule="exact"/>
              <w:ind w:left="7"/>
              <w:rPr>
                <w:sz w:val="14"/>
              </w:rPr>
            </w:pPr>
            <w:r>
              <w:rPr>
                <w:sz w:val="14"/>
              </w:rPr>
              <w:t>3%</w:t>
            </w:r>
          </w:p>
        </w:tc>
        <w:tc>
          <w:tcPr>
            <w:tcW w:w="176" w:type="dxa"/>
          </w:tcPr>
          <w:p>
            <w:pPr>
              <w:pStyle w:val="TableParagraph"/>
              <w:rPr>
                <w:sz w:val="10"/>
              </w:rPr>
            </w:pPr>
          </w:p>
        </w:tc>
        <w:tc>
          <w:tcPr>
            <w:tcW w:w="199" w:type="dxa"/>
            <w:tcBorders>
              <w:bottom w:val="single" w:sz="2" w:space="0" w:color="000000"/>
            </w:tcBorders>
          </w:tcPr>
          <w:p>
            <w:pPr>
              <w:pStyle w:val="TableParagraph"/>
              <w:spacing w:line="132" w:lineRule="exact"/>
              <w:ind w:right="9"/>
              <w:jc w:val="right"/>
              <w:rPr>
                <w:sz w:val="14"/>
              </w:rPr>
            </w:pPr>
            <w:r>
              <w:rPr>
                <w:sz w:val="14"/>
              </w:rPr>
              <w:t>4%</w:t>
            </w:r>
          </w:p>
        </w:tc>
        <w:tc>
          <w:tcPr>
            <w:tcW w:w="262" w:type="dxa"/>
          </w:tcPr>
          <w:p>
            <w:pPr>
              <w:pStyle w:val="TableParagraph"/>
              <w:rPr>
                <w:sz w:val="10"/>
              </w:rPr>
            </w:pPr>
          </w:p>
        </w:tc>
        <w:tc>
          <w:tcPr>
            <w:tcW w:w="313" w:type="dxa"/>
            <w:tcBorders>
              <w:bottom w:val="single" w:sz="2" w:space="0" w:color="000000"/>
            </w:tcBorders>
          </w:tcPr>
          <w:p>
            <w:pPr>
              <w:pStyle w:val="TableParagraph"/>
              <w:spacing w:line="132" w:lineRule="exact"/>
              <w:ind w:left="20"/>
              <w:rPr>
                <w:sz w:val="14"/>
              </w:rPr>
            </w:pPr>
            <w:r>
              <w:rPr>
                <w:sz w:val="14"/>
              </w:rPr>
              <w:t>4%</w:t>
            </w:r>
          </w:p>
        </w:tc>
      </w:tr>
      <w:tr>
        <w:trPr>
          <w:trHeight w:val="244" w:hRule="atLeast"/>
        </w:trPr>
        <w:tc>
          <w:tcPr>
            <w:tcW w:w="1493" w:type="dxa"/>
          </w:tcPr>
          <w:p>
            <w:pPr>
              <w:pStyle w:val="TableParagraph"/>
              <w:spacing w:line="149" w:lineRule="exact" w:before="75"/>
              <w:ind w:left="50"/>
              <w:rPr>
                <w:sz w:val="14"/>
              </w:rPr>
            </w:pPr>
            <w:r>
              <w:rPr>
                <w:sz w:val="14"/>
              </w:rPr>
              <w:t>1998 Q4</w:t>
            </w:r>
          </w:p>
        </w:tc>
        <w:tc>
          <w:tcPr>
            <w:tcW w:w="390" w:type="dxa"/>
            <w:tcBorders>
              <w:top w:val="single" w:sz="2" w:space="0" w:color="000000"/>
            </w:tcBorders>
          </w:tcPr>
          <w:p>
            <w:pPr>
              <w:pStyle w:val="TableParagraph"/>
              <w:spacing w:line="149" w:lineRule="exact" w:before="85"/>
              <w:ind w:left="87"/>
              <w:rPr>
                <w:sz w:val="14"/>
              </w:rPr>
            </w:pPr>
            <w:r>
              <w:rPr>
                <w:sz w:val="14"/>
              </w:rPr>
              <w:t>0</w:t>
            </w:r>
          </w:p>
        </w:tc>
        <w:tc>
          <w:tcPr>
            <w:tcW w:w="80" w:type="dxa"/>
          </w:tcPr>
          <w:p>
            <w:pPr>
              <w:pStyle w:val="TableParagraph"/>
              <w:rPr>
                <w:sz w:val="16"/>
              </w:rPr>
            </w:pPr>
          </w:p>
        </w:tc>
        <w:tc>
          <w:tcPr>
            <w:tcW w:w="310" w:type="dxa"/>
            <w:tcBorders>
              <w:top w:val="single" w:sz="2" w:space="0" w:color="000000"/>
            </w:tcBorders>
          </w:tcPr>
          <w:p>
            <w:pPr>
              <w:pStyle w:val="TableParagraph"/>
              <w:spacing w:line="149" w:lineRule="exact" w:before="85"/>
              <w:ind w:right="140"/>
              <w:jc w:val="right"/>
              <w:rPr>
                <w:sz w:val="14"/>
              </w:rPr>
            </w:pPr>
            <w:r>
              <w:rPr>
                <w:sz w:val="14"/>
              </w:rPr>
              <w:t>0</w:t>
            </w:r>
          </w:p>
        </w:tc>
        <w:tc>
          <w:tcPr>
            <w:tcW w:w="170" w:type="dxa"/>
          </w:tcPr>
          <w:p>
            <w:pPr>
              <w:pStyle w:val="TableParagraph"/>
              <w:rPr>
                <w:sz w:val="16"/>
              </w:rPr>
            </w:pPr>
          </w:p>
        </w:tc>
        <w:tc>
          <w:tcPr>
            <w:tcW w:w="310" w:type="dxa"/>
            <w:tcBorders>
              <w:top w:val="single" w:sz="2" w:space="0" w:color="000000"/>
            </w:tcBorders>
          </w:tcPr>
          <w:p>
            <w:pPr>
              <w:pStyle w:val="TableParagraph"/>
              <w:spacing w:line="149" w:lineRule="exact" w:before="85"/>
              <w:ind w:left="27"/>
              <w:rPr>
                <w:sz w:val="14"/>
              </w:rPr>
            </w:pPr>
            <w:r>
              <w:rPr>
                <w:sz w:val="14"/>
              </w:rPr>
              <w:t>61</w:t>
            </w:r>
          </w:p>
        </w:tc>
        <w:tc>
          <w:tcPr>
            <w:tcW w:w="170" w:type="dxa"/>
          </w:tcPr>
          <w:p>
            <w:pPr>
              <w:pStyle w:val="TableParagraph"/>
              <w:rPr>
                <w:sz w:val="16"/>
              </w:rPr>
            </w:pPr>
          </w:p>
        </w:tc>
        <w:tc>
          <w:tcPr>
            <w:tcW w:w="310" w:type="dxa"/>
            <w:tcBorders>
              <w:top w:val="single" w:sz="2" w:space="0" w:color="000000"/>
            </w:tcBorders>
          </w:tcPr>
          <w:p>
            <w:pPr>
              <w:pStyle w:val="TableParagraph"/>
              <w:spacing w:line="149" w:lineRule="exact" w:before="85"/>
              <w:ind w:left="27"/>
              <w:rPr>
                <w:sz w:val="14"/>
              </w:rPr>
            </w:pPr>
            <w:r>
              <w:rPr>
                <w:sz w:val="14"/>
              </w:rPr>
              <w:t>39</w:t>
            </w:r>
          </w:p>
        </w:tc>
        <w:tc>
          <w:tcPr>
            <w:tcW w:w="176" w:type="dxa"/>
          </w:tcPr>
          <w:p>
            <w:pPr>
              <w:pStyle w:val="TableParagraph"/>
              <w:rPr>
                <w:sz w:val="16"/>
              </w:rPr>
            </w:pPr>
          </w:p>
        </w:tc>
        <w:tc>
          <w:tcPr>
            <w:tcW w:w="199" w:type="dxa"/>
            <w:tcBorders>
              <w:top w:val="single" w:sz="2" w:space="0" w:color="000000"/>
            </w:tcBorders>
          </w:tcPr>
          <w:p>
            <w:pPr>
              <w:pStyle w:val="TableParagraph"/>
              <w:spacing w:line="149" w:lineRule="exact" w:before="85"/>
              <w:ind w:right="35"/>
              <w:jc w:val="right"/>
              <w:rPr>
                <w:sz w:val="14"/>
              </w:rPr>
            </w:pPr>
            <w:r>
              <w:rPr>
                <w:sz w:val="14"/>
              </w:rPr>
              <w:t>0</w:t>
            </w:r>
          </w:p>
        </w:tc>
        <w:tc>
          <w:tcPr>
            <w:tcW w:w="262" w:type="dxa"/>
          </w:tcPr>
          <w:p>
            <w:pPr>
              <w:pStyle w:val="TableParagraph"/>
              <w:rPr>
                <w:sz w:val="16"/>
              </w:rPr>
            </w:pPr>
          </w:p>
        </w:tc>
        <w:tc>
          <w:tcPr>
            <w:tcW w:w="313" w:type="dxa"/>
            <w:tcBorders>
              <w:top w:val="single" w:sz="2" w:space="0" w:color="000000"/>
            </w:tcBorders>
          </w:tcPr>
          <w:p>
            <w:pPr>
              <w:pStyle w:val="TableParagraph"/>
              <w:spacing w:line="149" w:lineRule="exact" w:before="75"/>
              <w:ind w:left="70"/>
              <w:rPr>
                <w:sz w:val="14"/>
              </w:rPr>
            </w:pPr>
            <w:r>
              <w:rPr>
                <w:sz w:val="14"/>
              </w:rPr>
              <w:t>0</w:t>
            </w:r>
          </w:p>
        </w:tc>
      </w:tr>
      <w:tr>
        <w:trPr>
          <w:trHeight w:val="140" w:hRule="atLeast"/>
        </w:trPr>
        <w:tc>
          <w:tcPr>
            <w:tcW w:w="1493" w:type="dxa"/>
          </w:tcPr>
          <w:p>
            <w:pPr>
              <w:pStyle w:val="TableParagraph"/>
              <w:spacing w:line="120" w:lineRule="exact"/>
              <w:ind w:left="50"/>
              <w:rPr>
                <w:sz w:val="14"/>
              </w:rPr>
            </w:pPr>
            <w:r>
              <w:rPr>
                <w:sz w:val="14"/>
              </w:rPr>
              <w:t>1999 Q4</w:t>
            </w:r>
          </w:p>
        </w:tc>
        <w:tc>
          <w:tcPr>
            <w:tcW w:w="390" w:type="dxa"/>
          </w:tcPr>
          <w:p>
            <w:pPr>
              <w:pStyle w:val="TableParagraph"/>
              <w:spacing w:line="120" w:lineRule="exact"/>
              <w:ind w:left="17"/>
              <w:rPr>
                <w:sz w:val="14"/>
              </w:rPr>
            </w:pPr>
            <w:r>
              <w:rPr>
                <w:sz w:val="14"/>
              </w:rPr>
              <w:t>21</w:t>
            </w:r>
          </w:p>
        </w:tc>
        <w:tc>
          <w:tcPr>
            <w:tcW w:w="80" w:type="dxa"/>
          </w:tcPr>
          <w:p>
            <w:pPr>
              <w:pStyle w:val="TableParagraph"/>
              <w:rPr>
                <w:sz w:val="8"/>
              </w:rPr>
            </w:pPr>
          </w:p>
        </w:tc>
        <w:tc>
          <w:tcPr>
            <w:tcW w:w="310" w:type="dxa"/>
          </w:tcPr>
          <w:p>
            <w:pPr>
              <w:pStyle w:val="TableParagraph"/>
              <w:spacing w:line="120" w:lineRule="exact"/>
              <w:ind w:right="140"/>
              <w:jc w:val="right"/>
              <w:rPr>
                <w:sz w:val="14"/>
              </w:rPr>
            </w:pPr>
            <w:r>
              <w:rPr>
                <w:sz w:val="14"/>
              </w:rPr>
              <w:t>33</w:t>
            </w:r>
          </w:p>
        </w:tc>
        <w:tc>
          <w:tcPr>
            <w:tcW w:w="170" w:type="dxa"/>
          </w:tcPr>
          <w:p>
            <w:pPr>
              <w:pStyle w:val="TableParagraph"/>
              <w:rPr>
                <w:sz w:val="8"/>
              </w:rPr>
            </w:pPr>
          </w:p>
        </w:tc>
        <w:tc>
          <w:tcPr>
            <w:tcW w:w="310" w:type="dxa"/>
          </w:tcPr>
          <w:p>
            <w:pPr>
              <w:pStyle w:val="TableParagraph"/>
              <w:spacing w:line="120" w:lineRule="exact"/>
              <w:ind w:left="27"/>
              <w:rPr>
                <w:sz w:val="14"/>
              </w:rPr>
            </w:pPr>
            <w:r>
              <w:rPr>
                <w:sz w:val="14"/>
              </w:rPr>
              <w:t>32</w:t>
            </w:r>
          </w:p>
        </w:tc>
        <w:tc>
          <w:tcPr>
            <w:tcW w:w="170" w:type="dxa"/>
          </w:tcPr>
          <w:p>
            <w:pPr>
              <w:pStyle w:val="TableParagraph"/>
              <w:rPr>
                <w:sz w:val="8"/>
              </w:rPr>
            </w:pPr>
          </w:p>
        </w:tc>
        <w:tc>
          <w:tcPr>
            <w:tcW w:w="310" w:type="dxa"/>
          </w:tcPr>
          <w:p>
            <w:pPr>
              <w:pStyle w:val="TableParagraph"/>
              <w:spacing w:line="120" w:lineRule="exact"/>
              <w:ind w:left="27"/>
              <w:rPr>
                <w:sz w:val="14"/>
              </w:rPr>
            </w:pPr>
            <w:r>
              <w:rPr>
                <w:sz w:val="14"/>
              </w:rPr>
              <w:t>12</w:t>
            </w:r>
          </w:p>
        </w:tc>
        <w:tc>
          <w:tcPr>
            <w:tcW w:w="176" w:type="dxa"/>
          </w:tcPr>
          <w:p>
            <w:pPr>
              <w:pStyle w:val="TableParagraph"/>
              <w:rPr>
                <w:sz w:val="8"/>
              </w:rPr>
            </w:pPr>
          </w:p>
        </w:tc>
        <w:tc>
          <w:tcPr>
            <w:tcW w:w="199" w:type="dxa"/>
          </w:tcPr>
          <w:p>
            <w:pPr>
              <w:pStyle w:val="TableParagraph"/>
              <w:spacing w:line="120" w:lineRule="exact"/>
              <w:ind w:right="35"/>
              <w:jc w:val="right"/>
              <w:rPr>
                <w:sz w:val="14"/>
              </w:rPr>
            </w:pPr>
            <w:r>
              <w:rPr>
                <w:sz w:val="14"/>
              </w:rPr>
              <w:t>2</w:t>
            </w:r>
          </w:p>
        </w:tc>
        <w:tc>
          <w:tcPr>
            <w:tcW w:w="262" w:type="dxa"/>
          </w:tcPr>
          <w:p>
            <w:pPr>
              <w:pStyle w:val="TableParagraph"/>
              <w:rPr>
                <w:sz w:val="8"/>
              </w:rPr>
            </w:pPr>
          </w:p>
        </w:tc>
        <w:tc>
          <w:tcPr>
            <w:tcW w:w="313" w:type="dxa"/>
          </w:tcPr>
          <w:p>
            <w:pPr>
              <w:pStyle w:val="TableParagraph"/>
              <w:spacing w:line="120" w:lineRule="exact"/>
              <w:ind w:left="70"/>
              <w:rPr>
                <w:sz w:val="14"/>
              </w:rPr>
            </w:pPr>
            <w:r>
              <w:rPr>
                <w:sz w:val="14"/>
              </w:rPr>
              <w:t>0</w:t>
            </w:r>
          </w:p>
        </w:tc>
      </w:tr>
      <w:tr>
        <w:trPr>
          <w:trHeight w:val="147" w:hRule="atLeast"/>
        </w:trPr>
        <w:tc>
          <w:tcPr>
            <w:tcW w:w="1493" w:type="dxa"/>
          </w:tcPr>
          <w:p>
            <w:pPr>
              <w:pStyle w:val="TableParagraph"/>
              <w:spacing w:line="128" w:lineRule="exact"/>
              <w:ind w:left="50"/>
              <w:rPr>
                <w:sz w:val="14"/>
              </w:rPr>
            </w:pPr>
            <w:r>
              <w:rPr>
                <w:sz w:val="14"/>
              </w:rPr>
              <w:t>2000 Q4</w:t>
            </w:r>
          </w:p>
        </w:tc>
        <w:tc>
          <w:tcPr>
            <w:tcW w:w="390" w:type="dxa"/>
          </w:tcPr>
          <w:p>
            <w:pPr>
              <w:pStyle w:val="TableParagraph"/>
              <w:spacing w:line="128" w:lineRule="exact"/>
              <w:ind w:left="87"/>
              <w:rPr>
                <w:sz w:val="14"/>
              </w:rPr>
            </w:pPr>
            <w:r>
              <w:rPr>
                <w:sz w:val="14"/>
              </w:rPr>
              <w:t>7</w:t>
            </w:r>
          </w:p>
        </w:tc>
        <w:tc>
          <w:tcPr>
            <w:tcW w:w="80" w:type="dxa"/>
          </w:tcPr>
          <w:p>
            <w:pPr>
              <w:pStyle w:val="TableParagraph"/>
              <w:rPr>
                <w:sz w:val="8"/>
              </w:rPr>
            </w:pPr>
          </w:p>
        </w:tc>
        <w:tc>
          <w:tcPr>
            <w:tcW w:w="310" w:type="dxa"/>
          </w:tcPr>
          <w:p>
            <w:pPr>
              <w:pStyle w:val="TableParagraph"/>
              <w:spacing w:line="128" w:lineRule="exact"/>
              <w:ind w:right="140"/>
              <w:jc w:val="right"/>
              <w:rPr>
                <w:sz w:val="14"/>
              </w:rPr>
            </w:pPr>
            <w:r>
              <w:rPr>
                <w:sz w:val="14"/>
              </w:rPr>
              <w:t>13</w:t>
            </w:r>
          </w:p>
        </w:tc>
        <w:tc>
          <w:tcPr>
            <w:tcW w:w="170" w:type="dxa"/>
          </w:tcPr>
          <w:p>
            <w:pPr>
              <w:pStyle w:val="TableParagraph"/>
              <w:rPr>
                <w:sz w:val="8"/>
              </w:rPr>
            </w:pPr>
          </w:p>
        </w:tc>
        <w:tc>
          <w:tcPr>
            <w:tcW w:w="310" w:type="dxa"/>
          </w:tcPr>
          <w:p>
            <w:pPr>
              <w:pStyle w:val="TableParagraph"/>
              <w:spacing w:line="128" w:lineRule="exact"/>
              <w:ind w:left="27"/>
              <w:rPr>
                <w:sz w:val="14"/>
              </w:rPr>
            </w:pPr>
            <w:r>
              <w:rPr>
                <w:sz w:val="14"/>
              </w:rPr>
              <w:t>23</w:t>
            </w:r>
          </w:p>
        </w:tc>
        <w:tc>
          <w:tcPr>
            <w:tcW w:w="170" w:type="dxa"/>
          </w:tcPr>
          <w:p>
            <w:pPr>
              <w:pStyle w:val="TableParagraph"/>
              <w:rPr>
                <w:sz w:val="8"/>
              </w:rPr>
            </w:pPr>
          </w:p>
        </w:tc>
        <w:tc>
          <w:tcPr>
            <w:tcW w:w="310" w:type="dxa"/>
          </w:tcPr>
          <w:p>
            <w:pPr>
              <w:pStyle w:val="TableParagraph"/>
              <w:spacing w:line="128" w:lineRule="exact"/>
              <w:ind w:left="27"/>
              <w:rPr>
                <w:sz w:val="14"/>
              </w:rPr>
            </w:pPr>
            <w:r>
              <w:rPr>
                <w:sz w:val="14"/>
              </w:rPr>
              <w:t>27</w:t>
            </w:r>
          </w:p>
        </w:tc>
        <w:tc>
          <w:tcPr>
            <w:tcW w:w="176" w:type="dxa"/>
          </w:tcPr>
          <w:p>
            <w:pPr>
              <w:pStyle w:val="TableParagraph"/>
              <w:rPr>
                <w:sz w:val="8"/>
              </w:rPr>
            </w:pPr>
          </w:p>
        </w:tc>
        <w:tc>
          <w:tcPr>
            <w:tcW w:w="199" w:type="dxa"/>
          </w:tcPr>
          <w:p>
            <w:pPr>
              <w:pStyle w:val="TableParagraph"/>
              <w:spacing w:line="128" w:lineRule="exact"/>
              <w:ind w:right="35"/>
              <w:jc w:val="right"/>
              <w:rPr>
                <w:sz w:val="14"/>
              </w:rPr>
            </w:pPr>
            <w:r>
              <w:rPr>
                <w:sz w:val="14"/>
              </w:rPr>
              <w:t>20</w:t>
            </w:r>
          </w:p>
        </w:tc>
        <w:tc>
          <w:tcPr>
            <w:tcW w:w="262" w:type="dxa"/>
          </w:tcPr>
          <w:p>
            <w:pPr>
              <w:pStyle w:val="TableParagraph"/>
              <w:rPr>
                <w:sz w:val="8"/>
              </w:rPr>
            </w:pPr>
          </w:p>
        </w:tc>
        <w:tc>
          <w:tcPr>
            <w:tcW w:w="313" w:type="dxa"/>
          </w:tcPr>
          <w:p>
            <w:pPr>
              <w:pStyle w:val="TableParagraph"/>
              <w:spacing w:line="128" w:lineRule="exact"/>
              <w:rPr>
                <w:sz w:val="14"/>
              </w:rPr>
            </w:pPr>
            <w:r>
              <w:rPr>
                <w:sz w:val="14"/>
              </w:rPr>
              <w:t>10</w:t>
            </w:r>
          </w:p>
        </w:tc>
      </w:tr>
    </w:tbl>
    <w:p>
      <w:pPr>
        <w:pStyle w:val="ListParagraph"/>
        <w:numPr>
          <w:ilvl w:val="0"/>
          <w:numId w:val="37"/>
        </w:numPr>
        <w:tabs>
          <w:tab w:pos="457" w:val="left" w:leader="none"/>
        </w:tabs>
        <w:spacing w:line="208" w:lineRule="auto" w:before="117" w:after="0"/>
        <w:ind w:left="456" w:right="38" w:hanging="250"/>
        <w:jc w:val="left"/>
        <w:rPr>
          <w:sz w:val="12"/>
        </w:rPr>
      </w:pPr>
      <w:r>
        <w:rPr>
          <w:sz w:val="12"/>
        </w:rPr>
        <w:t>These figures are from the same distributions as the GDP and inflation fan </w:t>
      </w:r>
      <w:r>
        <w:rPr>
          <w:spacing w:val="-3"/>
          <w:sz w:val="12"/>
        </w:rPr>
        <w:t>charts, </w:t>
      </w:r>
      <w:r>
        <w:rPr>
          <w:sz w:val="12"/>
        </w:rPr>
        <w:t>Charts 6.2 and 6.3.</w:t>
      </w:r>
    </w:p>
    <w:p>
      <w:pPr>
        <w:pStyle w:val="Heading4"/>
        <w:spacing w:line="242" w:lineRule="auto" w:before="90"/>
        <w:ind w:left="186" w:right="318"/>
      </w:pPr>
      <w:r>
        <w:rPr/>
        <w:br w:type="column"/>
      </w:r>
      <w:r>
        <w:rPr/>
        <w:t>The profile for inflation through 1999 is a little lower than in the August projection, but is broadly the same as in August by the end of the forecast period.  That reflects a number of factors. The downturn in prospects for world activity implies a weaker outlook for UK exports and hence lower UK inflation, while the corresponding prospect of lower world inflation implies lower UK import and retail price inflation. The fall in equity wealth, together with more pessimistic consumer and business sentiment, will tend to weaken aggregate domestic demand and hence lower inflation. But some factors </w:t>
      </w:r>
      <w:r>
        <w:rPr>
          <w:spacing w:val="-3"/>
        </w:rPr>
        <w:t>have </w:t>
      </w:r>
      <w:r>
        <w:rPr/>
        <w:t>raised the central projection since August. Interest rates were reduced by 25 basis points in </w:t>
      </w:r>
      <w:r>
        <w:rPr>
          <w:spacing w:val="-3"/>
        </w:rPr>
        <w:t>October </w:t>
      </w:r>
      <w:r>
        <w:rPr/>
        <w:t>and by 50 basis points in </w:t>
      </w:r>
      <w:r>
        <w:rPr>
          <w:spacing w:val="-3"/>
        </w:rPr>
        <w:t>November. </w:t>
      </w:r>
      <w:r>
        <w:rPr/>
        <w:t>In addition, the profile and starting-point for the sterling effective exchange rate is </w:t>
      </w:r>
      <w:r>
        <w:rPr>
          <w:spacing w:val="-4"/>
        </w:rPr>
        <w:t>lower.</w:t>
      </w:r>
    </w:p>
    <w:p>
      <w:pPr>
        <w:pStyle w:val="BodyText"/>
        <w:spacing w:before="4"/>
        <w:rPr>
          <w:sz w:val="24"/>
        </w:rPr>
      </w:pPr>
    </w:p>
    <w:p>
      <w:pPr>
        <w:spacing w:line="242" w:lineRule="auto" w:before="0"/>
        <w:ind w:left="186" w:right="355" w:firstLine="0"/>
        <w:jc w:val="left"/>
        <w:rPr>
          <w:sz w:val="24"/>
        </w:rPr>
      </w:pPr>
      <w:r>
        <w:rPr>
          <w:sz w:val="24"/>
        </w:rPr>
        <w:t>The balance of risks to output is on the downside throughout the forecast period. These risks, which reflect continuing concerns about the world economy and how fast domestic demand will slow, imply corresponding downside risks to inflation. Overall, the balance of risks to inflation is slightly on the downside at the end of the forecast period, but the downside risks from weaker activity are mostly offset by upside risks from a more rapid depreciation of the exchange rate and past money growth.</w:t>
      </w:r>
    </w:p>
    <w:p>
      <w:pPr>
        <w:pStyle w:val="BodyText"/>
        <w:spacing w:before="8"/>
        <w:rPr>
          <w:sz w:val="23"/>
        </w:rPr>
      </w:pPr>
    </w:p>
    <w:p>
      <w:pPr>
        <w:spacing w:line="242" w:lineRule="auto" w:before="0"/>
        <w:ind w:left="186" w:right="355" w:firstLine="0"/>
        <w:jc w:val="left"/>
        <w:rPr>
          <w:sz w:val="24"/>
        </w:rPr>
      </w:pPr>
      <w:r>
        <w:rPr>
          <w:sz w:val="24"/>
        </w:rPr>
        <w:t>Charts 6.5 and 6.6 complement the fan charts, by showing the overall balance of risks to inflation at the end of the forecast period. Table 6.A shows the MPC’s assessment of the probabilities of various outturns for inflation and output growth.</w:t>
      </w:r>
    </w:p>
    <w:p>
      <w:pPr>
        <w:spacing w:after="0" w:line="242" w:lineRule="auto"/>
        <w:jc w:val="left"/>
        <w:rPr>
          <w:sz w:val="24"/>
        </w:rPr>
        <w:sectPr>
          <w:type w:val="continuous"/>
          <w:pgSz w:w="11900" w:h="16840"/>
          <w:pgMar w:top="1220" w:bottom="280" w:left="620" w:right="520"/>
          <w:cols w:num="2" w:equalWidth="0">
            <w:col w:w="4416" w:space="392"/>
            <w:col w:w="5952"/>
          </w:cols>
        </w:sectPr>
      </w:pPr>
    </w:p>
    <w:p>
      <w:pPr>
        <w:pStyle w:val="BodyText"/>
        <w:rPr>
          <w:sz w:val="20"/>
        </w:rPr>
      </w:pPr>
    </w:p>
    <w:p>
      <w:pPr>
        <w:pStyle w:val="BodyText"/>
        <w:rPr>
          <w:sz w:val="20"/>
        </w:rPr>
      </w:pPr>
    </w:p>
    <w:p>
      <w:pPr>
        <w:pStyle w:val="BodyText"/>
        <w:spacing w:before="2"/>
        <w:rPr>
          <w:sz w:val="26"/>
        </w:rPr>
      </w:pPr>
    </w:p>
    <w:p>
      <w:pPr>
        <w:pStyle w:val="BodyText"/>
        <w:spacing w:line="20" w:lineRule="exact"/>
        <w:ind w:left="4948"/>
        <w:rPr>
          <w:sz w:val="2"/>
        </w:rPr>
      </w:pPr>
      <w:r>
        <w:rPr>
          <w:sz w:val="2"/>
        </w:rPr>
        <w:pict>
          <v:group style="width:276.75pt;height:.15pt;mso-position-horizontal-relative:char;mso-position-vertical-relative:line" coordorigin="0,0" coordsize="5535,3">
            <v:line style="position:absolute" from="0,1" to="5535,1" stroked="true" strokeweight=".125pt" strokecolor="#000000">
              <v:stroke dashstyle="solid"/>
            </v:line>
          </v:group>
        </w:pict>
      </w:r>
      <w:r>
        <w:rPr>
          <w:sz w:val="2"/>
        </w:rPr>
      </w:r>
    </w:p>
    <w:p>
      <w:pPr>
        <w:pStyle w:val="ListParagraph"/>
        <w:numPr>
          <w:ilvl w:val="1"/>
          <w:numId w:val="37"/>
        </w:numPr>
        <w:tabs>
          <w:tab w:pos="5247" w:val="left" w:leader="none"/>
        </w:tabs>
        <w:spacing w:line="240" w:lineRule="auto" w:before="14" w:after="0"/>
        <w:ind w:left="5246" w:right="0" w:hanging="267"/>
        <w:jc w:val="left"/>
        <w:rPr>
          <w:sz w:val="16"/>
        </w:rPr>
      </w:pPr>
      <w:r>
        <w:rPr>
          <w:sz w:val="16"/>
        </w:rPr>
        <w:t>Also shown as Chart 2 in the Overview.</w:t>
      </w:r>
    </w:p>
    <w:p>
      <w:pPr>
        <w:spacing w:after="0" w:line="240" w:lineRule="auto"/>
        <w:jc w:val="left"/>
        <w:rPr>
          <w:sz w:val="16"/>
        </w:rPr>
        <w:sectPr>
          <w:type w:val="continuous"/>
          <w:pgSz w:w="11900" w:h="16840"/>
          <w:pgMar w:top="1220" w:bottom="280" w:left="620" w:right="520"/>
        </w:sectPr>
      </w:pPr>
    </w:p>
    <w:p>
      <w:pPr>
        <w:pStyle w:val="BodyText"/>
        <w:rPr>
          <w:sz w:val="20"/>
        </w:rPr>
      </w:pPr>
    </w:p>
    <w:p>
      <w:pPr>
        <w:pStyle w:val="Heading4"/>
        <w:spacing w:line="242" w:lineRule="auto" w:before="207"/>
        <w:ind w:left="4980" w:right="305"/>
      </w:pPr>
      <w:r>
        <w:rPr/>
        <w:t>The market expectation of the likely path of interest rates has fallen substantially since the August </w:t>
      </w:r>
      <w:r>
        <w:rPr>
          <w:i/>
        </w:rPr>
        <w:t>Inflation </w:t>
      </w:r>
      <w:r>
        <w:rPr>
          <w:i/>
        </w:rPr>
        <w:t>Report </w:t>
      </w:r>
      <w:r>
        <w:rPr/>
        <w:t>projections were made. On 4 November, </w:t>
      </w:r>
      <w:r>
        <w:rPr>
          <w:spacing w:val="-4"/>
        </w:rPr>
        <w:t>markets </w:t>
      </w:r>
      <w:r>
        <w:rPr/>
        <w:t>expected official interest rates to decline to around 5</w:t>
      </w:r>
      <w:r>
        <w:rPr>
          <w:position w:val="8"/>
          <w:sz w:val="12"/>
        </w:rPr>
        <w:t>1</w:t>
      </w:r>
      <w:r>
        <w:rPr/>
        <w:t>/</w:t>
      </w:r>
      <w:r>
        <w:rPr>
          <w:sz w:val="12"/>
        </w:rPr>
        <w:t>2</w:t>
      </w:r>
      <w:r>
        <w:rPr/>
        <w:t>% by the second half of 1999. The </w:t>
      </w:r>
      <w:r>
        <w:rPr>
          <w:spacing w:val="-3"/>
        </w:rPr>
        <w:t>MPC’s </w:t>
      </w:r>
      <w:r>
        <w:rPr/>
        <w:t>projections for inflation and output growth under the assumption that official interest rates follow market expectations differ from those in the central projection (see Charts 6.7 and 6.8). The path of interest rates diverges significantly below the constant interest rate assumption, implying faster growth and a central projection for inflation that is above the target throughout 1999 and</w:t>
      </w:r>
      <w:r>
        <w:rPr>
          <w:spacing w:val="-3"/>
        </w:rPr>
        <w:t> </w:t>
      </w:r>
      <w:r>
        <w:rPr/>
        <w:t>2000.</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6"/>
        </w:rPr>
      </w:pPr>
    </w:p>
    <w:p>
      <w:pPr>
        <w:spacing w:after="0"/>
        <w:rPr>
          <w:sz w:val="16"/>
        </w:rPr>
        <w:sectPr>
          <w:pgSz w:w="11900" w:h="16840"/>
          <w:pgMar w:header="586" w:footer="617" w:top="780" w:bottom="800" w:left="620" w:right="520"/>
        </w:sectPr>
      </w:pPr>
    </w:p>
    <w:p>
      <w:pPr>
        <w:pStyle w:val="Heading7"/>
        <w:spacing w:before="92"/>
      </w:pPr>
      <w:r>
        <w:rPr>
          <w:color w:val="0093C1"/>
        </w:rPr>
        <w:t>Chart 6.7</w:t>
      </w:r>
    </w:p>
    <w:p>
      <w:pPr>
        <w:spacing w:line="249" w:lineRule="auto" w:before="10"/>
        <w:ind w:left="200" w:right="469" w:firstLine="0"/>
        <w:jc w:val="left"/>
        <w:rPr>
          <w:b/>
          <w:sz w:val="20"/>
        </w:rPr>
      </w:pPr>
      <w:r>
        <w:rPr>
          <w:b/>
          <w:color w:val="0093C1"/>
          <w:sz w:val="20"/>
        </w:rPr>
        <w:t>Current RPIX inflation projection based on market interest rate expectations</w:t>
      </w:r>
    </w:p>
    <w:p>
      <w:pPr>
        <w:spacing w:before="189"/>
        <w:ind w:left="2038" w:right="0" w:firstLine="0"/>
        <w:jc w:val="left"/>
        <w:rPr>
          <w:sz w:val="12"/>
        </w:rPr>
      </w:pPr>
      <w:r>
        <w:rPr/>
        <w:pict>
          <v:line style="position:absolute;mso-position-horizontal-relative:page;mso-position-vertical-relative:paragraph;z-index:-21383168" from="238.488007pt,17.38475pt" to="243.217007pt,17.38475pt" stroked="true" strokeweight=".5pt" strokecolor="#000000">
            <v:stroke dashstyle="solid"/>
            <w10:wrap type="none"/>
          </v:line>
        </w:pict>
      </w:r>
      <w:r>
        <w:rPr/>
        <w:pict>
          <v:line style="position:absolute;mso-position-horizontal-relative:page;mso-position-vertical-relative:paragraph;z-index:16106496" from="42.980999pt,17.426750pt" to="47.709999pt,17.426750pt" stroked="true" strokeweight=".5pt" strokecolor="#000000">
            <v:stroke dashstyle="solid"/>
            <w10:wrap type="none"/>
          </v:line>
        </w:pict>
      </w:r>
      <w:r>
        <w:rPr>
          <w:color w:val="231F20"/>
          <w:sz w:val="12"/>
        </w:rPr>
        <w:t>Percentage increase in prices on a year earlier </w:t>
      </w:r>
      <w:r>
        <w:rPr>
          <w:color w:val="231F20"/>
          <w:position w:val="-7"/>
          <w:sz w:val="12"/>
        </w:rPr>
        <w:t>6</w:t>
      </w:r>
    </w:p>
    <w:p>
      <w:pPr>
        <w:pStyle w:val="Heading7"/>
        <w:spacing w:before="92"/>
      </w:pPr>
      <w:r>
        <w:rPr>
          <w:b w:val="0"/>
        </w:rPr>
        <w:br w:type="column"/>
      </w:r>
      <w:r>
        <w:rPr>
          <w:color w:val="0093C1"/>
        </w:rPr>
        <w:t>Chart 6.8</w:t>
      </w:r>
    </w:p>
    <w:p>
      <w:pPr>
        <w:spacing w:line="249" w:lineRule="auto" w:before="10"/>
        <w:ind w:left="200" w:right="1474" w:firstLine="0"/>
        <w:jc w:val="left"/>
        <w:rPr>
          <w:b/>
          <w:sz w:val="20"/>
        </w:rPr>
      </w:pPr>
      <w:r>
        <w:rPr>
          <w:b/>
          <w:color w:val="0093C1"/>
          <w:sz w:val="20"/>
        </w:rPr>
        <w:t>Current GDP projection based on market interest rate expectations</w:t>
      </w:r>
    </w:p>
    <w:p>
      <w:pPr>
        <w:spacing w:line="129" w:lineRule="exact" w:before="116"/>
        <w:ind w:left="1948" w:right="0" w:firstLine="0"/>
        <w:jc w:val="left"/>
        <w:rPr>
          <w:sz w:val="12"/>
        </w:rPr>
      </w:pPr>
      <w:r>
        <w:rPr/>
        <w:pict>
          <v:line style="position:absolute;mso-position-horizontal-relative:page;mso-position-vertical-relative:paragraph;z-index:16115712" from="474.903992pt,14.401563pt" to="479.501992pt,14.401563pt" stroked="true" strokeweight=".5pt" strokecolor="#000000">
            <v:stroke dashstyle="solid"/>
            <w10:wrap type="none"/>
          </v:line>
        </w:pict>
      </w:r>
      <w:r>
        <w:rPr>
          <w:color w:val="231F20"/>
          <w:sz w:val="12"/>
        </w:rPr>
        <w:t>Percentage increase in output on a year earlier</w:t>
      </w:r>
    </w:p>
    <w:p>
      <w:pPr>
        <w:pStyle w:val="BodyText"/>
        <w:rPr>
          <w:sz w:val="3"/>
        </w:rPr>
      </w:pPr>
    </w:p>
    <w:p>
      <w:pPr>
        <w:pStyle w:val="BodyText"/>
        <w:spacing w:line="20" w:lineRule="exact"/>
        <w:ind w:left="227"/>
        <w:rPr>
          <w:sz w:val="2"/>
        </w:rPr>
      </w:pPr>
      <w:r>
        <w:rPr>
          <w:sz w:val="2"/>
        </w:rPr>
        <w:pict>
          <v:group style="width:4.6pt;height:.5pt;mso-position-horizontal-relative:char;mso-position-vertical-relative:line" coordorigin="0,0" coordsize="92,10">
            <v:line style="position:absolute" from="0,5" to="92,5" stroked="true" strokeweight=".5pt" strokecolor="#000000">
              <v:stroke dashstyle="solid"/>
            </v:line>
          </v:group>
        </w:pict>
      </w:r>
      <w:r>
        <w:rPr>
          <w:sz w:val="2"/>
        </w:rPr>
      </w:r>
    </w:p>
    <w:p>
      <w:pPr>
        <w:spacing w:line="75" w:lineRule="exact" w:before="0"/>
        <w:ind w:left="4264" w:right="0" w:firstLine="0"/>
        <w:jc w:val="left"/>
        <w:rPr>
          <w:sz w:val="12"/>
        </w:rPr>
      </w:pPr>
      <w:r>
        <w:rPr>
          <w:color w:val="231F20"/>
          <w:sz w:val="12"/>
        </w:rPr>
        <w:t>6</w:t>
      </w:r>
    </w:p>
    <w:p>
      <w:pPr>
        <w:spacing w:after="0" w:line="75" w:lineRule="exact"/>
        <w:jc w:val="left"/>
        <w:rPr>
          <w:sz w:val="12"/>
        </w:rPr>
        <w:sectPr>
          <w:type w:val="continuous"/>
          <w:pgSz w:w="11900" w:h="16840"/>
          <w:pgMar w:top="1220" w:bottom="280" w:left="620" w:right="520"/>
          <w:cols w:num="2" w:equalWidth="0">
            <w:col w:w="4428" w:space="372"/>
            <w:col w:w="5960"/>
          </w:cols>
        </w:sectPr>
      </w:pPr>
    </w:p>
    <w:p>
      <w:pPr>
        <w:pStyle w:val="BodyText"/>
        <w:spacing w:before="10"/>
        <w:rPr>
          <w:sz w:val="16"/>
        </w:rPr>
      </w:pPr>
    </w:p>
    <w:p>
      <w:pPr>
        <w:spacing w:before="0"/>
        <w:ind w:left="9064" w:right="0" w:firstLine="0"/>
        <w:jc w:val="left"/>
        <w:rPr>
          <w:sz w:val="12"/>
        </w:rPr>
      </w:pPr>
      <w:r>
        <w:rPr/>
        <w:pict>
          <v:group style="position:absolute;margin-left:291.921997pt;margin-top:4.455356pt;width:178.1pt;height:103.3pt;mso-position-horizontal-relative:page;mso-position-vertical-relative:paragraph;z-index:16107520" coordorigin="5838,89" coordsize="3562,2066">
            <v:shape style="position:absolute;left:8217;top:89;width:1183;height:2066" coordorigin="8217,89" coordsize="1183,2066" path="m9400,89l9268,294,9137,480,9005,659,8874,848,8743,1005,8611,1064,8480,1064,8348,998,8217,987,8348,1381,8480,1830,8611,2020,8743,2155,8874,2126,9005,2056,9137,1998,9268,1929,9400,1845,9400,89xe" filled="true" fillcolor="#dfece6" stroked="false">
              <v:path arrowok="t"/>
              <v:fill type="solid"/>
            </v:shape>
            <v:shape style="position:absolute;left:8217;top:257;width:1183;height:1760" coordorigin="8217,257" coordsize="1183,1760" path="m9400,257l9268,451,9137,626,9005,798,8874,976,8743,1119,8611,1159,8480,1141,8348,1039,8217,987,8348,1338,8480,1736,8611,1907,8743,2017,8874,1973,9005,1885,9137,1809,9268,1728,9400,1626,9400,257xe" filled="true" fillcolor="#bfdbcf" stroked="false">
              <v:path arrowok="t"/>
              <v:fill type="solid"/>
            </v:shape>
            <v:shape style="position:absolute;left:8217;top:369;width:1183;height:1552" coordorigin="8217,370" coordsize="1183,1552" path="m9400,370l9268,556,9137,724,9005,888,8874,1060,8743,1195,8611,1220,8480,1187,8348,1063,8217,987,8348,1304,8480,1673,8611,1826,8743,1921,8874,1866,9005,1768,9137,1684,9268,1589,9400,1479,9400,370xe" filled="true" fillcolor="#a4cdbd" stroked="false">
              <v:path arrowok="t"/>
              <v:fill type="solid"/>
            </v:shape>
            <v:shape style="position:absolute;left:8217;top:460;width:1183;height:1384" coordorigin="8217,460" coordsize="1183,1384" path="m9400,460l9268,643,9137,803,9005,960,8874,1128,8743,1256,8611,1271,8480,1231,8348,1081,8217,986,8348,1278,8480,1621,8611,1763,8743,1844,8874,1782,9005,1676,9137,1581,9268,1482,9400,1362,9400,460xe" filled="true" fillcolor="#8abfab" stroked="false">
              <v:path arrowok="t"/>
              <v:fill type="solid"/>
            </v:shape>
            <v:shape style="position:absolute;left:8217;top:539;width:1183;height:1241" coordorigin="8217,539" coordsize="1183,1241" path="m9400,539l9268,714,9137,871,9005,1025,8874,1185,8743,1309,8611,1313,8480,1262,8348,1098,8217,984,8348,1254,8480,1579,8611,1707,8743,1780,8874,1711,9005,1598,9137,1495,9268,1390,9400,1262,9400,539xe" filled="true" fillcolor="#6fb39a" stroked="false">
              <v:path arrowok="t"/>
              <v:fill type="solid"/>
            </v:shape>
            <v:shape style="position:absolute;left:8217;top:611;width:1183;height:1117" coordorigin="8217,612" coordsize="1183,1117" path="m9400,612l9268,783,9137,936,9005,1086,8874,1243,8743,1360,8611,1360,8480,1298,8348,1119,8217,987,8348,1239,8480,1546,8611,1666,8743,1728,8874,1652,9005,1531,9137,1422,9268,1309,9400,1174,9400,612xe" filled="true" fillcolor="#53a78b" stroked="false">
              <v:path arrowok="t"/>
              <v:fill type="solid"/>
            </v:shape>
            <v:shape style="position:absolute;left:8217;top:675;width:1183;height:997" coordorigin="8217,675" coordsize="1183,997" path="m9400,675l9268,843,9137,993,9005,1139,8874,1292,8743,1405,8611,1395,8480,1329,8348,1132,8217,986,8348,1219,8480,1508,8611,1621,8743,1672,8874,1592,9005,1464,9137,1351,9268,1227,9400,1088,9400,675xe" filled="true" fillcolor="#309d7d" stroked="false">
              <v:path arrowok="t"/>
              <v:fill type="solid"/>
            </v:shape>
            <v:shape style="position:absolute;left:8217;top:737;width:1183;height:884" coordorigin="8217,738" coordsize="1183,884" path="m9400,738l9268,902,9137,1048,9005,1187,8874,1337,8743,1442,8611,1428,8480,1355,8348,1143,8217,986,8348,1205,8480,1472,8611,1577,8743,1621,8874,1534,9005,1402,9137,1282,9268,1158,9400,1012,9400,738xe" filled="true" fillcolor="#00936f" stroked="false">
              <v:path arrowok="t"/>
              <v:fill type="solid"/>
            </v:shape>
            <v:shape style="position:absolute;left:8217;top:800;width:1183;height:774" coordorigin="8217,801" coordsize="1183,774" path="m9400,801l9268,962,9137,1104,9005,1239,8874,1385,8743,1487,8611,1465,8480,1385,8348,1159,8217,987,8348,1188,8480,1443,8611,1538,8743,1575,8874,1484,9005,1345,9137,1221,9268,1086,9400,936,9400,801xe" filled="true" fillcolor="#008256" stroked="false">
              <v:path arrowok="t"/>
              <v:fill type="solid"/>
            </v:shape>
            <v:shape style="position:absolute;left:5849;top:107;width:1052;height:1063" coordorigin="5850,107" coordsize="1052,1063" path="m5981,268l5850,520m6112,107l5981,268m6244,195l6112,107m6375,406l6244,195m6507,735l6375,406m6638,1089l6507,735m6769,1169l6638,1089m6901,954l6769,1169e" filled="false" stroked="true" strokeweight="1pt" strokecolor="#008256">
              <v:path arrowok="t"/>
              <v:stroke dashstyle="solid"/>
            </v:shape>
            <v:line style="position:absolute" from="6891,959" to="7042,959" stroked="true" strokeweight="1.548pt" strokecolor="#008256">
              <v:stroke dashstyle="solid"/>
            </v:line>
            <v:line style="position:absolute" from="7164,928" to="7032,965" stroked="true" strokeweight="1.0pt" strokecolor="#008256">
              <v:stroke dashstyle="solid"/>
            </v:line>
            <v:line style="position:absolute" from="7154,921" to="7305,921" stroked="true" strokeweight="1.73pt" strokecolor="#008256">
              <v:stroke dashstyle="solid"/>
            </v:line>
            <v:shape style="position:absolute;left:7294;top:431;width:920;height:555" coordorigin="7295,432" coordsize="920,555" path="m7426,936l7295,914m7558,611l7426,936m7689,454l7558,611m7821,432l7689,454m7952,512l7821,432m8083,790l7952,512m8215,987l8083,790e" filled="false" stroked="true" strokeweight="1pt" strokecolor="#008256">
              <v:path arrowok="t"/>
              <v:stroke dashstyle="solid"/>
            </v:shape>
            <v:line style="position:absolute" from="5838,1874" to="9400,1874" stroked="true" strokeweight=".5pt" strokecolor="#231f20">
              <v:stroke dashstyle="solid"/>
            </v:line>
            <w10:wrap type="none"/>
          </v:group>
        </w:pict>
      </w:r>
      <w:r>
        <w:rPr/>
        <w:pict>
          <v:line style="position:absolute;mso-position-horizontal-relative:page;mso-position-vertical-relative:paragraph;z-index:16111616" from="282.630005pt,2.435356pt" to="287.229005pt,2.435356pt" stroked="true" strokeweight=".5pt" strokecolor="#000000">
            <v:stroke dashstyle="solid"/>
            <w10:wrap type="none"/>
          </v:line>
        </w:pict>
      </w:r>
      <w:r>
        <w:rPr/>
        <w:pict>
          <v:line style="position:absolute;mso-position-horizontal-relative:page;mso-position-vertical-relative:paragraph;z-index:16115200" from="474.903992pt,2.602356pt" to="479.501992pt,2.602356pt" stroked="true" strokeweight=".5pt" strokecolor="#000000">
            <v:stroke dashstyle="solid"/>
            <w10:wrap type="none"/>
          </v:line>
        </w:pict>
      </w:r>
      <w:r>
        <w:rPr>
          <w:color w:val="231F20"/>
          <w:sz w:val="12"/>
        </w:rPr>
        <w:t>5</w:t>
      </w:r>
    </w:p>
    <w:p>
      <w:pPr>
        <w:spacing w:before="15"/>
        <w:ind w:left="0" w:right="2042" w:firstLine="0"/>
        <w:jc w:val="center"/>
        <w:rPr>
          <w:sz w:val="12"/>
        </w:rPr>
      </w:pPr>
      <w:r>
        <w:rPr/>
        <w:pict>
          <v:line style="position:absolute;mso-position-horizontal-relative:page;mso-position-vertical-relative:paragraph;z-index:16104960" from="238.488007pt,4.464558pt" to="243.217007pt,4.464558pt" stroked="true" strokeweight=".5pt" strokecolor="#000000">
            <v:stroke dashstyle="solid"/>
            <w10:wrap type="none"/>
          </v:line>
        </w:pict>
      </w:r>
      <w:r>
        <w:rPr/>
        <w:pict>
          <v:line style="position:absolute;mso-position-horizontal-relative:page;mso-position-vertical-relative:paragraph;z-index:16105984" from="42.980999pt,4.506558pt" to="47.709999pt,4.506558pt" stroked="true" strokeweight=".5pt" strokecolor="#000000">
            <v:stroke dashstyle="solid"/>
            <w10:wrap type="none"/>
          </v:line>
        </w:pict>
      </w:r>
      <w:r>
        <w:rPr>
          <w:color w:val="231F20"/>
          <w:sz w:val="12"/>
        </w:rPr>
        <w:t>5</w:t>
      </w:r>
    </w:p>
    <w:p>
      <w:pPr>
        <w:spacing w:before="74"/>
        <w:ind w:left="9064" w:right="0" w:firstLine="0"/>
        <w:jc w:val="left"/>
        <w:rPr>
          <w:sz w:val="12"/>
        </w:rPr>
      </w:pPr>
      <w:r>
        <w:rPr/>
        <w:pict>
          <v:line style="position:absolute;mso-position-horizontal-relative:page;mso-position-vertical-relative:paragraph;z-index:16111104" from="282.630005pt,6.135173pt" to="287.229005pt,6.135173pt" stroked="true" strokeweight=".5pt" strokecolor="#000000">
            <v:stroke dashstyle="solid"/>
            <w10:wrap type="none"/>
          </v:line>
        </w:pict>
      </w:r>
      <w:r>
        <w:rPr/>
        <w:pict>
          <v:line style="position:absolute;mso-position-horizontal-relative:page;mso-position-vertical-relative:paragraph;z-index:16114688" from="474.903992pt,6.302173pt" to="479.501992pt,6.302173pt" stroked="true" strokeweight=".5pt" strokecolor="#000000">
            <v:stroke dashstyle="solid"/>
            <w10:wrap type="none"/>
          </v:line>
        </w:pict>
      </w:r>
      <w:r>
        <w:rPr>
          <w:color w:val="231F20"/>
          <w:sz w:val="12"/>
        </w:rPr>
        <w:t>4</w:t>
      </w:r>
    </w:p>
    <w:p>
      <w:pPr>
        <w:pStyle w:val="BodyText"/>
        <w:spacing w:before="3"/>
        <w:rPr>
          <w:sz w:val="11"/>
        </w:rPr>
      </w:pPr>
    </w:p>
    <w:p>
      <w:pPr>
        <w:spacing w:line="118" w:lineRule="exact" w:before="0"/>
        <w:ind w:left="0" w:right="2042" w:firstLine="0"/>
        <w:jc w:val="center"/>
        <w:rPr>
          <w:sz w:val="12"/>
        </w:rPr>
      </w:pPr>
      <w:r>
        <w:rPr/>
        <w:pict>
          <v:shape style="position:absolute;margin-left:282.630005pt;margin-top:7.316948pt;width:4.6pt;height:.1pt;mso-position-horizontal-relative:page;mso-position-vertical-relative:paragraph;z-index:-15357440;mso-wrap-distance-left:0;mso-wrap-distance-right:0" coordorigin="5653,146" coordsize="92,0" path="m5653,146l5745,146e" filled="false" stroked="true" strokeweight=".5pt" strokecolor="#000000">
            <v:path arrowok="t"/>
            <v:stroke dashstyle="solid"/>
            <w10:wrap type="topAndBottom"/>
          </v:shape>
        </w:pict>
      </w:r>
      <w:r>
        <w:rPr/>
        <w:pict>
          <v:shape style="position:absolute;margin-left:474.903992pt;margin-top:7.483948pt;width:4.6pt;height:.1pt;mso-position-horizontal-relative:page;mso-position-vertical-relative:paragraph;z-index:-15356928;mso-wrap-distance-left:0;mso-wrap-distance-right:0" coordorigin="9498,150" coordsize="92,0" path="m9498,150l9590,150e" filled="false" stroked="true" strokeweight=".5pt" strokecolor="#000000">
            <v:path arrowok="t"/>
            <v:stroke dashstyle="solid"/>
            <w10:wrap type="topAndBottom"/>
          </v:shape>
        </w:pict>
      </w:r>
      <w:r>
        <w:rPr/>
        <w:pict>
          <v:group style="position:absolute;margin-left:42.980999pt;margin-top:-3.217052pt;width:190.75pt;height:79.25pt;mso-position-horizontal-relative:page;mso-position-vertical-relative:paragraph;z-index:16101376" coordorigin="860,-64" coordsize="3815,1585">
            <v:shape style="position:absolute;left:3458;top:-65;width:1216;height:1527" coordorigin="3458,-64" coordsize="1216,1527" path="m4674,-64l4539,3,4404,65,4269,113,4134,166,3999,171,3863,276,3728,435,3593,608,3458,761,3593,910,3728,1040,3863,1030,3999,1078,4134,1174,4269,1251,4404,1332,4539,1400,4674,1462,4674,-64xe" filled="true" fillcolor="#fee7de" stroked="false">
              <v:path arrowok="t"/>
              <v:fill type="solid"/>
            </v:shape>
            <v:shape style="position:absolute;left:3458;top:94;width:1216;height:1191" coordorigin="3458,94" coordsize="1216,1191" path="m4674,94l4404,209,4134,296,3999,286,3863,372,3728,512,3593,646,3458,761,3593,881,3728,982,3863,958,3999,992,4134,1078,4269,1136,4404,1198,4674,1284,4674,94xe" filled="true" fillcolor="#fcd3c4" stroked="false">
              <v:path arrowok="t"/>
              <v:fill type="solid"/>
            </v:shape>
            <v:shape style="position:absolute;left:3458;top:199;width:1216;height:965" coordorigin="3458,199" coordsize="1216,965" path="m4674,199l4404,305,4269,339,4134,377,3999,358,3863,435,3728,559,3593,670,3458,761,3593,862,3728,939,3863,910,3999,929,4134,1011,4269,1054,4404,1102,4539,1135,4674,1164,4674,199xe" filled="true" fillcolor="#fabeac" stroked="false">
              <v:path arrowok="t"/>
              <v:fill type="solid"/>
            </v:shape>
            <v:shape style="position:absolute;left:3458;top:284;width:1216;height:783" coordorigin="3458,284" coordsize="1216,783" path="m4674,284l4404,380,4269,409,4134,443,3999,419,3863,481,3728,596,3593,688,3458,760,3593,846,3728,908,3863,870,3999,884,4134,961,4404,1028,4674,1067,4674,284xe" filled="true" fillcolor="#f8aa95" stroked="false">
              <v:path arrowok="t"/>
              <v:fill type="solid"/>
            </v:shape>
            <v:shape style="position:absolute;left:3458;top:358;width:1216;height:629" coordorigin="3458,359" coordsize="1216,629" path="m4674,359l4404,445,4134,503,3999,474,3863,527,3728,637,3593,709,3458,762,3593,834,3728,882,3863,839,3999,843,4134,915,4269,939,4404,968,4674,987,4674,359xe" filled="true" fillcolor="#f69780" stroked="false">
              <v:path arrowok="t"/>
              <v:fill type="solid"/>
            </v:shape>
            <v:shape style="position:absolute;left:3458;top:425;width:1216;height:490" coordorigin="3458,426" coordsize="1216,490" path="m4674,426l4539,464,4404,507,4269,527,4134,555,3999,522,3863,565,3728,666,3593,723,3458,762,3593,819,3728,858,3863,810,3999,810,4134,877,4269,891,4404,911,4539,915,4674,915,4674,426xe" filled="true" fillcolor="#f5846d" stroked="false">
              <v:path arrowok="t"/>
              <v:fill type="solid"/>
            </v:shape>
            <v:shape style="position:absolute;left:3458;top:486;width:1216;height:370" coordorigin="3458,487" coordsize="1216,370" path="m4674,487l4539,525,4404,559,4269,578,4134,602,3999,563,3863,602,3728,693,3593,736,3458,760,3593,808,3728,837,3863,779,3999,775,4134,837,4404,856,4674,847,4674,487xe" filled="true" fillcolor="#f3715b" stroked="false">
              <v:path arrowok="t"/>
              <v:fill type="solid"/>
            </v:shape>
            <v:shape style="position:absolute;left:3458;top:543;width:1216;height:269" coordorigin="3458,543" coordsize="1216,269" path="m4674,543l4404,610,4269,625,4134,644,3999,601,3863,634,3728,721,3593,750,3458,759,3593,798,3728,812,3863,750,3999,745,4134,802,4269,802,4404,807,4674,778,4674,543xe" filled="true" fillcolor="#f15b4a" stroked="false">
              <v:path arrowok="t"/>
              <v:fill type="solid"/>
            </v:shape>
            <v:shape style="position:absolute;left:3458;top:597;width:1216;height:197" coordorigin="3458,598" coordsize="1216,197" path="m4674,598l4539,631,4404,660,4269,674,4134,694,3999,646,3863,670,3728,751,3593,766,3458,761,3593,790,3728,794,3863,727,3999,713,4134,770,4269,761,4404,761,4539,737,4674,718,4674,598xe" filled="true" fillcolor="#ed1b2d" stroked="false">
              <v:path arrowok="t"/>
              <v:fill type="solid"/>
            </v:shape>
            <v:shape style="position:absolute;left:1026;top:587;width:811;height:365" coordorigin="1026,588" coordsize="811,365" path="m1162,837l1026,698m1297,953l1162,837m1432,919l1297,953m1567,655l1432,919m1702,674l1567,655m1837,588l1702,674e" filled="false" stroked="true" strokeweight="1pt" strokecolor="#ed1b2d">
              <v:path arrowok="t"/>
              <v:stroke dashstyle="solid"/>
            </v:shape>
            <v:line style="position:absolute" from="1827,590" to="1982,590" stroked="true" strokeweight="1.24pt" strokecolor="#ed1b2d">
              <v:stroke dashstyle="solid"/>
            </v:line>
            <v:shape style="position:absolute;left:1972;top:448;width:1487;height:322" coordorigin="1972,449" coordsize="1487,322" path="m2107,636l1972,593m2242,655l2107,636m2378,617l2242,655m2513,449l2378,617m2648,621l2513,449m2783,765l2648,621m2918,631l2783,765m3053,674l2918,631m3188,770l3053,674m3323,559l3188,770m3458,761l3323,559e" filled="false" stroked="true" strokeweight="1pt" strokecolor="#ed1b2d">
              <v:path arrowok="t"/>
              <v:stroke dashstyle="solid"/>
            </v:shape>
            <v:shape style="position:absolute;left:859;top:75;width:3815;height:1440" coordorigin="860,75" coordsize="3815,1440" path="m860,1515l954,1515m860,1035l954,1035m860,555l954,555m860,75l954,75m1011,788l4674,788m864,788l959,788e" filled="false" stroked="true" strokeweight=".5pt" strokecolor="#000000">
              <v:path arrowok="t"/>
              <v:stroke dashstyle="solid"/>
            </v:shape>
            <w10:wrap type="none"/>
          </v:group>
        </w:pict>
      </w:r>
      <w:r>
        <w:rPr/>
        <w:pict>
          <v:line style="position:absolute;mso-position-horizontal-relative:page;mso-position-vertical-relative:paragraph;z-index:16104448" from="238.488007pt,3.711948pt" to="243.217007pt,3.711948pt" stroked="true" strokeweight=".5pt" strokecolor="#000000">
            <v:stroke dashstyle="solid"/>
            <w10:wrap type="none"/>
          </v:line>
        </w:pict>
      </w:r>
      <w:r>
        <w:rPr>
          <w:color w:val="231F20"/>
          <w:sz w:val="12"/>
        </w:rPr>
        <w:t>4</w:t>
      </w:r>
    </w:p>
    <w:p>
      <w:pPr>
        <w:spacing w:line="52" w:lineRule="exact" w:before="0"/>
        <w:ind w:left="7428" w:right="0" w:firstLine="0"/>
        <w:jc w:val="center"/>
        <w:rPr>
          <w:sz w:val="12"/>
        </w:rPr>
      </w:pPr>
      <w:r>
        <w:rPr>
          <w:color w:val="231F20"/>
          <w:sz w:val="12"/>
        </w:rPr>
        <w:t>3</w:t>
      </w:r>
    </w:p>
    <w:p>
      <w:pPr>
        <w:pStyle w:val="BodyText"/>
        <w:spacing w:before="5"/>
        <w:rPr>
          <w:sz w:val="11"/>
        </w:rPr>
      </w:pPr>
    </w:p>
    <w:p>
      <w:pPr>
        <w:spacing w:after="0"/>
        <w:rPr>
          <w:sz w:val="11"/>
        </w:rPr>
        <w:sectPr>
          <w:type w:val="continuous"/>
          <w:pgSz w:w="11900" w:h="16840"/>
          <w:pgMar w:top="1220" w:bottom="280" w:left="620" w:right="5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1"/>
        </w:rPr>
      </w:pPr>
    </w:p>
    <w:p>
      <w:pPr>
        <w:pStyle w:val="BodyText"/>
        <w:spacing w:line="20" w:lineRule="exact"/>
        <w:ind w:left="234"/>
        <w:rPr>
          <w:sz w:val="2"/>
        </w:rPr>
      </w:pPr>
      <w:r>
        <w:rPr>
          <w:sz w:val="2"/>
        </w:rPr>
        <w:pict>
          <v:group style="width:4.75pt;height:.5pt;mso-position-horizontal-relative:char;mso-position-vertical-relative:line" coordorigin="0,0" coordsize="95,10">
            <v:line style="position:absolute" from="0,5" to="95,5" stroked="true" strokeweight=".5pt" strokecolor="#000000">
              <v:stroke dashstyle="solid"/>
            </v:line>
          </v:group>
        </w:pict>
      </w:r>
      <w:r>
        <w:rPr>
          <w:sz w:val="2"/>
        </w:rPr>
      </w:r>
    </w:p>
    <w:p>
      <w:pPr>
        <w:tabs>
          <w:tab w:pos="1157" w:val="left" w:leader="none"/>
          <w:tab w:pos="1699" w:val="left" w:leader="none"/>
          <w:tab w:pos="2228" w:val="left" w:leader="none"/>
          <w:tab w:pos="2791" w:val="left" w:leader="none"/>
          <w:tab w:pos="3320" w:val="left" w:leader="none"/>
          <w:tab w:pos="3740" w:val="left" w:leader="none"/>
        </w:tabs>
        <w:spacing w:before="25"/>
        <w:ind w:left="507" w:right="0" w:firstLine="0"/>
        <w:jc w:val="left"/>
        <w:rPr>
          <w:sz w:val="12"/>
        </w:rPr>
      </w:pPr>
      <w:r>
        <w:rPr>
          <w:color w:val="231F20"/>
          <w:sz w:val="12"/>
        </w:rPr>
        <w:t>1994</w:t>
        <w:tab/>
        <w:t>95</w:t>
        <w:tab/>
        <w:t>96</w:t>
        <w:tab/>
        <w:t>97</w:t>
        <w:tab/>
        <w:t>98</w:t>
        <w:tab/>
        <w:t>99</w:t>
        <w:tab/>
      </w:r>
      <w:r>
        <w:rPr>
          <w:color w:val="231F20"/>
          <w:spacing w:val="-5"/>
          <w:sz w:val="12"/>
        </w:rPr>
        <w:t>2000</w:t>
      </w:r>
    </w:p>
    <w:p>
      <w:pPr>
        <w:pStyle w:val="BodyText"/>
        <w:spacing w:before="9"/>
        <w:rPr>
          <w:sz w:val="9"/>
        </w:rPr>
      </w:pPr>
      <w:r>
        <w:rPr/>
        <w:br w:type="column"/>
      </w:r>
      <w:r>
        <w:rPr>
          <w:sz w:val="9"/>
        </w:rPr>
      </w:r>
    </w:p>
    <w:p>
      <w:pPr>
        <w:spacing w:before="0"/>
        <w:ind w:left="307" w:right="0" w:firstLine="0"/>
        <w:jc w:val="left"/>
        <w:rPr>
          <w:sz w:val="12"/>
        </w:rPr>
      </w:pPr>
      <w:r>
        <w:rPr>
          <w:color w:val="231F20"/>
          <w:sz w:val="12"/>
        </w:rPr>
        <w:t>3</w:t>
      </w:r>
    </w:p>
    <w:p>
      <w:pPr>
        <w:spacing w:before="105"/>
        <w:ind w:left="284" w:right="0" w:firstLine="0"/>
        <w:jc w:val="left"/>
        <w:rPr>
          <w:sz w:val="12"/>
        </w:rPr>
      </w:pPr>
      <w:r>
        <w:rPr/>
        <w:pict>
          <v:line style="position:absolute;mso-position-horizontal-relative:page;mso-position-vertical-relative:paragraph;z-index:16103936" from="238.488007pt,-3.190434pt" to="243.217007pt,-3.190434pt" stroked="true" strokeweight=".5pt" strokecolor="#000000">
            <v:stroke dashstyle="solid"/>
            <w10:wrap type="none"/>
          </v:line>
        </w:pict>
      </w:r>
      <w:r>
        <w:rPr/>
        <w:pict>
          <v:line style="position:absolute;mso-position-horizontal-relative:page;mso-position-vertical-relative:paragraph;z-index:16107008" from="238.723999pt,8.434566pt" to="243.452999pt,8.434566pt" stroked="true" strokeweight=".5pt" strokecolor="#000000">
            <v:stroke dashstyle="solid"/>
            <w10:wrap type="none"/>
          </v:line>
        </w:pict>
      </w:r>
      <w:r>
        <w:rPr>
          <w:color w:val="231F20"/>
          <w:sz w:val="12"/>
        </w:rPr>
        <w:t>2.5</w:t>
      </w:r>
    </w:p>
    <w:p>
      <w:pPr>
        <w:spacing w:before="99"/>
        <w:ind w:left="307" w:right="0" w:firstLine="0"/>
        <w:jc w:val="left"/>
        <w:rPr>
          <w:sz w:val="12"/>
        </w:rPr>
      </w:pPr>
      <w:r>
        <w:rPr/>
        <w:pict>
          <v:line style="position:absolute;mso-position-horizontal-relative:page;mso-position-vertical-relative:paragraph;z-index:16103424" from="238.488007pt,8.662758pt" to="243.217007pt,8.662758pt" stroked="true" strokeweight=".5pt" strokecolor="#000000">
            <v:stroke dashstyle="solid"/>
            <w10:wrap type="none"/>
          </v:line>
        </w:pict>
      </w:r>
      <w:r>
        <w:rPr>
          <w:color w:val="231F20"/>
          <w:sz w:val="12"/>
        </w:rPr>
        <w:t>2</w:t>
      </w:r>
    </w:p>
    <w:p>
      <w:pPr>
        <w:pStyle w:val="BodyText"/>
        <w:rPr>
          <w:sz w:val="12"/>
        </w:rPr>
      </w:pPr>
    </w:p>
    <w:p>
      <w:pPr>
        <w:pStyle w:val="BodyText"/>
        <w:spacing w:before="9"/>
        <w:rPr>
          <w:sz w:val="17"/>
        </w:rPr>
      </w:pPr>
    </w:p>
    <w:p>
      <w:pPr>
        <w:spacing w:before="0"/>
        <w:ind w:left="307" w:right="0" w:firstLine="0"/>
        <w:jc w:val="left"/>
        <w:rPr>
          <w:sz w:val="12"/>
        </w:rPr>
      </w:pPr>
      <w:r>
        <w:rPr/>
        <w:pict>
          <v:line style="position:absolute;mso-position-horizontal-relative:page;mso-position-vertical-relative:paragraph;z-index:16102912" from="238.488007pt,3.710178pt" to="243.217007pt,3.710178pt" stroked="true" strokeweight=".5pt" strokecolor="#000000">
            <v:stroke dashstyle="solid"/>
            <w10:wrap type="none"/>
          </v:line>
        </w:pict>
      </w:r>
      <w:r>
        <w:rPr>
          <w:color w:val="231F20"/>
          <w:sz w:val="12"/>
        </w:rPr>
        <w:t>1</w:t>
      </w:r>
    </w:p>
    <w:p>
      <w:pPr>
        <w:pStyle w:val="BodyText"/>
        <w:rPr>
          <w:sz w:val="12"/>
        </w:rPr>
      </w:pPr>
    </w:p>
    <w:p>
      <w:pPr>
        <w:pStyle w:val="BodyText"/>
        <w:spacing w:before="8"/>
        <w:rPr>
          <w:sz w:val="17"/>
        </w:rPr>
      </w:pPr>
    </w:p>
    <w:p>
      <w:pPr>
        <w:spacing w:before="0"/>
        <w:ind w:left="307" w:right="0" w:firstLine="0"/>
        <w:jc w:val="left"/>
        <w:rPr>
          <w:sz w:val="12"/>
        </w:rPr>
      </w:pPr>
      <w:r>
        <w:rPr/>
        <w:pict>
          <v:shape style="position:absolute;margin-left:51.605999pt;margin-top:-2.935433pt;width:182.4pt;height:6.7pt;mso-position-horizontal-relative:page;mso-position-vertical-relative:paragraph;z-index:16101888" coordorigin="1032,-59" coordsize="3648,134" path="m1032,75l4680,75m1032,75l1032,-55m1167,75l1167,3m1302,75l1302,3m1437,75l1437,3m1573,75l1573,-59m1708,75l1708,3m1843,75l1843,3m1978,75l1978,3m2113,75l2113,-52m2248,75l2248,3m2383,75l2383,3m2518,75l2518,3m2653,75l2653,-52m2788,75l2788,3m2924,75l2924,3m3059,75l3059,3m3194,75l3194,-52m3329,75l3329,3m3464,75l3464,3m3599,75l3599,3m3734,75l3734,-52m3869,75l3869,3m4005,75l4005,3m4140,75l4140,3m4275,75l4275,-52m4410,75l4410,3m4545,75l4545,3m4680,75l4680,3e" filled="false" stroked="true" strokeweight=".5pt" strokecolor="#000000">
            <v:path arrowok="t"/>
            <v:stroke dashstyle="solid"/>
            <w10:wrap type="none"/>
          </v:shape>
        </w:pict>
      </w:r>
      <w:r>
        <w:rPr/>
        <w:pict>
          <v:line style="position:absolute;mso-position-horizontal-relative:page;mso-position-vertical-relative:paragraph;z-index:16102400" from="238.488007pt,3.710567pt" to="243.217007pt,3.710567pt" stroked="true" strokeweight=".5pt" strokecolor="#000000">
            <v:stroke dashstyle="solid"/>
            <w10:wrap type="none"/>
          </v:line>
        </w:pict>
      </w:r>
      <w:r>
        <w:rPr>
          <w:color w:val="231F20"/>
          <w:sz w:val="12"/>
        </w:rPr>
        <w:t>0</w:t>
      </w:r>
    </w:p>
    <w:p>
      <w:pPr>
        <w:spacing w:before="95"/>
        <w:ind w:left="0" w:right="1633" w:firstLine="0"/>
        <w:jc w:val="right"/>
        <w:rPr>
          <w:sz w:val="12"/>
        </w:rPr>
      </w:pPr>
      <w:r>
        <w:rPr/>
        <w:br w:type="column"/>
      </w:r>
      <w:r>
        <w:rPr>
          <w:color w:val="231F20"/>
          <w:sz w:val="12"/>
        </w:rPr>
        <w:t>2</w:t>
      </w:r>
    </w:p>
    <w:p>
      <w:pPr>
        <w:pStyle w:val="BodyText"/>
        <w:rPr>
          <w:sz w:val="12"/>
        </w:rPr>
      </w:pPr>
    </w:p>
    <w:p>
      <w:pPr>
        <w:spacing w:before="89"/>
        <w:ind w:left="0" w:right="1633" w:firstLine="0"/>
        <w:jc w:val="right"/>
        <w:rPr>
          <w:sz w:val="12"/>
        </w:rPr>
      </w:pPr>
      <w:r>
        <w:rPr/>
        <w:pict>
          <v:line style="position:absolute;mso-position-horizontal-relative:page;mso-position-vertical-relative:paragraph;z-index:16110080" from="282.630005pt,6.884562pt" to="287.229005pt,6.884562pt" stroked="true" strokeweight=".5pt" strokecolor="#000000">
            <v:stroke dashstyle="solid"/>
            <w10:wrap type="none"/>
          </v:line>
        </w:pict>
      </w:r>
      <w:r>
        <w:rPr/>
        <w:pict>
          <v:line style="position:absolute;mso-position-horizontal-relative:page;mso-position-vertical-relative:paragraph;z-index:16110592" from="282.630005pt,-11.365438pt" to="287.229005pt,-11.365438pt" stroked="true" strokeweight=".5pt" strokecolor="#000000">
            <v:stroke dashstyle="solid"/>
            <w10:wrap type="none"/>
          </v:line>
        </w:pict>
      </w:r>
      <w:r>
        <w:rPr/>
        <w:pict>
          <v:line style="position:absolute;mso-position-horizontal-relative:page;mso-position-vertical-relative:paragraph;z-index:16113664" from="474.903992pt,7.051562pt" to="479.501992pt,7.051562pt" stroked="true" strokeweight=".5pt" strokecolor="#000000">
            <v:stroke dashstyle="solid"/>
            <w10:wrap type="none"/>
          </v:line>
        </w:pict>
      </w:r>
      <w:r>
        <w:rPr/>
        <w:pict>
          <v:line style="position:absolute;mso-position-horizontal-relative:page;mso-position-vertical-relative:paragraph;z-index:16114176" from="474.903992pt,-11.198438pt" to="479.501992pt,-11.198438pt" stroked="true" strokeweight=".5pt" strokecolor="#000000">
            <v:stroke dashstyle="solid"/>
            <w10:wrap type="none"/>
          </v:line>
        </w:pict>
      </w:r>
      <w:r>
        <w:rPr>
          <w:color w:val="231F20"/>
          <w:sz w:val="12"/>
        </w:rPr>
        <w:t>1</w:t>
      </w:r>
    </w:p>
    <w:p>
      <w:pPr>
        <w:spacing w:before="13"/>
        <w:ind w:left="4101" w:right="0" w:firstLine="0"/>
        <w:jc w:val="left"/>
        <w:rPr>
          <w:sz w:val="16"/>
        </w:rPr>
      </w:pPr>
      <w:r>
        <w:rPr>
          <w:color w:val="231F20"/>
          <w:sz w:val="16"/>
        </w:rPr>
        <w:t>+</w:t>
      </w:r>
    </w:p>
    <w:p>
      <w:pPr>
        <w:spacing w:line="129" w:lineRule="exact" w:before="30"/>
        <w:ind w:left="4190" w:right="0" w:firstLine="0"/>
        <w:jc w:val="left"/>
        <w:rPr>
          <w:sz w:val="12"/>
        </w:rPr>
      </w:pPr>
      <w:r>
        <w:rPr/>
        <w:pict>
          <v:line style="position:absolute;mso-position-horizontal-relative:page;mso-position-vertical-relative:paragraph;z-index:16109568" from="282.630005pt,3.934349pt" to="287.229005pt,3.934349pt" stroked="true" strokeweight=".5pt" strokecolor="#000000">
            <v:stroke dashstyle="solid"/>
            <w10:wrap type="none"/>
          </v:line>
        </w:pict>
      </w:r>
      <w:r>
        <w:rPr/>
        <w:pict>
          <v:line style="position:absolute;mso-position-horizontal-relative:page;mso-position-vertical-relative:paragraph;z-index:16113152" from="474.903992pt,4.101349pt" to="479.501992pt,4.101349pt" stroked="true" strokeweight=".5pt" strokecolor="#000000">
            <v:stroke dashstyle="solid"/>
            <w10:wrap type="none"/>
          </v:line>
        </w:pict>
      </w:r>
      <w:r>
        <w:rPr>
          <w:color w:val="231F20"/>
          <w:sz w:val="12"/>
        </w:rPr>
        <w:t>0</w:t>
      </w:r>
    </w:p>
    <w:p>
      <w:pPr>
        <w:spacing w:line="175" w:lineRule="exact" w:before="0"/>
        <w:ind w:left="4111" w:right="0" w:firstLine="0"/>
        <w:jc w:val="left"/>
        <w:rPr>
          <w:sz w:val="16"/>
        </w:rPr>
      </w:pPr>
      <w:r>
        <w:rPr>
          <w:color w:val="231F20"/>
          <w:sz w:val="16"/>
        </w:rPr>
        <w:t>–</w:t>
      </w:r>
    </w:p>
    <w:p>
      <w:pPr>
        <w:spacing w:before="48"/>
        <w:ind w:left="0" w:right="1651" w:firstLine="0"/>
        <w:jc w:val="right"/>
        <w:rPr>
          <w:sz w:val="12"/>
        </w:rPr>
      </w:pPr>
      <w:r>
        <w:rPr/>
        <w:pict>
          <v:line style="position:absolute;mso-position-horizontal-relative:page;mso-position-vertical-relative:paragraph;z-index:16109056" from="282.630005pt,5.542753pt" to="287.229005pt,5.542753pt" stroked="true" strokeweight=".5pt" strokecolor="#000000">
            <v:stroke dashstyle="solid"/>
            <w10:wrap type="none"/>
          </v:line>
        </w:pict>
      </w:r>
      <w:r>
        <w:rPr/>
        <w:pict>
          <v:line style="position:absolute;mso-position-horizontal-relative:page;mso-position-vertical-relative:paragraph;z-index:16112640" from="474.903992pt,5.709754pt" to="479.501992pt,5.709754pt" stroked="true" strokeweight=".5pt" strokecolor="#000000">
            <v:stroke dashstyle="solid"/>
            <w10:wrap type="none"/>
          </v:line>
        </w:pict>
      </w:r>
      <w:r>
        <w:rPr>
          <w:color w:val="231F20"/>
          <w:sz w:val="12"/>
        </w:rPr>
        <w:t>1</w:t>
      </w:r>
    </w:p>
    <w:p>
      <w:pPr>
        <w:pStyle w:val="BodyText"/>
        <w:rPr>
          <w:sz w:val="12"/>
        </w:rPr>
      </w:pPr>
    </w:p>
    <w:p>
      <w:pPr>
        <w:tabs>
          <w:tab w:pos="1081" w:val="left" w:leader="none"/>
          <w:tab w:pos="1619" w:val="left" w:leader="none"/>
          <w:tab w:pos="2148" w:val="left" w:leader="none"/>
          <w:tab w:pos="2677" w:val="left" w:leader="none"/>
          <w:tab w:pos="3181" w:val="left" w:leader="none"/>
          <w:tab w:pos="3641" w:val="left" w:leader="none"/>
          <w:tab w:pos="4182" w:val="left" w:leader="none"/>
        </w:tabs>
        <w:spacing w:before="103"/>
        <w:ind w:left="507" w:right="0" w:firstLine="0"/>
        <w:jc w:val="left"/>
        <w:rPr>
          <w:sz w:val="12"/>
        </w:rPr>
      </w:pPr>
      <w:r>
        <w:rPr/>
        <w:pict>
          <v:shape style="position:absolute;margin-left:291.921997pt;margin-top:1.084563pt;width:178.85pt;height:6.7pt;mso-position-horizontal-relative:page;mso-position-vertical-relative:paragraph;z-index:-21380608" coordorigin="5838,22" coordsize="3577,134" path="m5838,155l9415,155m5843,155l5843,22m5974,155l5974,82m6105,155l6105,82m6237,155l6237,82m6368,155l6368,22m6500,155l6500,82m6631,155l6631,82m6762,155l6762,82m6894,155l6894,22m7025,155l7025,82m7157,155l7157,82m7288,155l7288,82m7419,155l7419,22m7551,155l7551,82m7682,155l7682,82m7814,155l7814,82m7945,155l7945,22m8076,155l8076,82m8208,155l8208,82m8339,155l8339,82m8471,155l8471,22m8602,155l8602,82m8733,155l8733,82m8865,155l8865,82m8996,155l8996,22m9128,82l9128,155m9259,155l9259,82m9390,155l9390,82e" filled="false" stroked="true" strokeweight=".5pt" strokecolor="#000000">
            <v:path arrowok="t"/>
            <v:stroke dashstyle="solid"/>
            <w10:wrap type="none"/>
          </v:shape>
        </w:pict>
      </w:r>
      <w:r>
        <w:rPr/>
        <w:pict>
          <v:line style="position:absolute;mso-position-horizontal-relative:page;mso-position-vertical-relative:paragraph;z-index:16108544" from="282.630005pt,7.584562pt" to="287.229005pt,7.584562pt" stroked="true" strokeweight=".5pt" strokecolor="#000000">
            <v:stroke dashstyle="solid"/>
            <w10:wrap type="none"/>
          </v:line>
        </w:pict>
      </w:r>
      <w:r>
        <w:rPr/>
        <w:pict>
          <v:line style="position:absolute;mso-position-horizontal-relative:page;mso-position-vertical-relative:paragraph;z-index:-21376512" from="474.903992pt,7.751563pt" to="479.501992pt,7.751563pt" stroked="true" strokeweight=".5pt" strokecolor="#000000">
            <v:stroke dashstyle="solid"/>
            <w10:wrap type="none"/>
          </v:line>
        </w:pict>
      </w:r>
      <w:r>
        <w:rPr>
          <w:color w:val="231F20"/>
          <w:sz w:val="12"/>
        </w:rPr>
        <w:t>1994</w:t>
        <w:tab/>
        <w:t>95</w:t>
        <w:tab/>
        <w:t>96</w:t>
        <w:tab/>
        <w:t>97</w:t>
        <w:tab/>
        <w:t>98</w:t>
        <w:tab/>
        <w:t>99</w:t>
        <w:tab/>
        <w:t>2000</w:t>
        <w:tab/>
      </w:r>
      <w:r>
        <w:rPr>
          <w:color w:val="231F20"/>
          <w:position w:val="8"/>
          <w:sz w:val="12"/>
        </w:rPr>
        <w:t>2</w:t>
      </w:r>
    </w:p>
    <w:p>
      <w:pPr>
        <w:spacing w:after="0"/>
        <w:jc w:val="left"/>
        <w:rPr>
          <w:sz w:val="12"/>
        </w:rPr>
        <w:sectPr>
          <w:type w:val="continuous"/>
          <w:pgSz w:w="11900" w:h="16840"/>
          <w:pgMar w:top="1220" w:bottom="280" w:left="620" w:right="520"/>
          <w:cols w:num="3" w:equalWidth="0">
            <w:col w:w="3981" w:space="40"/>
            <w:col w:w="475" w:space="377"/>
            <w:col w:w="5887"/>
          </w:cols>
        </w:sectPr>
      </w:pPr>
    </w:p>
    <w:p>
      <w:pPr>
        <w:pStyle w:val="BodyText"/>
        <w:spacing w:before="6"/>
        <w:rPr>
          <w:sz w:val="29"/>
        </w:rPr>
      </w:pPr>
    </w:p>
    <w:p>
      <w:pPr>
        <w:spacing w:after="0"/>
        <w:rPr>
          <w:sz w:val="29"/>
        </w:rPr>
        <w:sectPr>
          <w:pgSz w:w="11900" w:h="16840"/>
          <w:pgMar w:header="586" w:footer="597" w:top="780" w:bottom="780" w:left="620" w:right="520"/>
        </w:sectPr>
      </w:pPr>
    </w:p>
    <w:p>
      <w:pPr>
        <w:pStyle w:val="Heading7"/>
        <w:spacing w:before="132"/>
        <w:ind w:left="180"/>
      </w:pPr>
      <w:bookmarkStart w:name="Other forecasts" w:id="83"/>
      <w:bookmarkEnd w:id="83"/>
      <w:r>
        <w:rPr>
          <w:b w:val="0"/>
        </w:rPr>
      </w:r>
      <w:bookmarkStart w:name="_bookmark30" w:id="84"/>
      <w:bookmarkEnd w:id="84"/>
      <w:r>
        <w:rPr>
          <w:b w:val="0"/>
        </w:rPr>
      </w:r>
      <w:r>
        <w:rPr>
          <w:color w:val="0093C1"/>
        </w:rPr>
        <w:t>Chart 6.9</w:t>
      </w:r>
    </w:p>
    <w:p>
      <w:pPr>
        <w:spacing w:line="249" w:lineRule="auto" w:before="10"/>
        <w:ind w:left="180" w:right="865" w:firstLine="0"/>
        <w:jc w:val="left"/>
        <w:rPr>
          <w:b/>
          <w:sz w:val="20"/>
        </w:rPr>
      </w:pPr>
      <w:r>
        <w:rPr>
          <w:b/>
          <w:color w:val="0093C1"/>
          <w:sz w:val="20"/>
        </w:rPr>
        <w:t>Distribution of RPIX inflation forecasts for 2000 Q4</w:t>
      </w:r>
    </w:p>
    <w:p>
      <w:pPr>
        <w:spacing w:before="146"/>
        <w:ind w:left="2565" w:right="0" w:firstLine="0"/>
        <w:jc w:val="left"/>
        <w:rPr>
          <w:sz w:val="12"/>
        </w:rPr>
      </w:pPr>
      <w:r>
        <w:rPr/>
        <w:pict>
          <v:line style="position:absolute;mso-position-horizontal-relative:page;mso-position-vertical-relative:paragraph;z-index:16117248" from="47pt,15.401563pt" to="42pt,15.401563pt" stroked="true" strokeweight=".5pt" strokecolor="#000000">
            <v:stroke dashstyle="solid"/>
            <w10:wrap type="none"/>
          </v:line>
        </w:pict>
      </w:r>
      <w:r>
        <w:rPr/>
        <w:pict>
          <v:line style="position:absolute;mso-position-horizontal-relative:page;mso-position-vertical-relative:paragraph;z-index:-21370368" from="208pt,15.401563pt" to="203pt,15.401563pt" stroked="true" strokeweight=".5pt" strokecolor="#000000">
            <v:stroke dashstyle="solid"/>
            <w10:wrap type="none"/>
          </v:line>
        </w:pict>
      </w:r>
      <w:r>
        <w:rPr>
          <w:sz w:val="12"/>
        </w:rPr>
        <w:t>Number of forecasts</w:t>
      </w:r>
      <w:r>
        <w:rPr>
          <w:spacing w:val="15"/>
          <w:sz w:val="12"/>
        </w:rPr>
        <w:t> </w:t>
      </w:r>
      <w:r>
        <w:rPr>
          <w:position w:val="-7"/>
          <w:sz w:val="12"/>
        </w:rPr>
        <w:t>12</w:t>
      </w:r>
    </w:p>
    <w:p>
      <w:pPr>
        <w:tabs>
          <w:tab w:pos="3709" w:val="right" w:leader="none"/>
        </w:tabs>
        <w:spacing w:before="102"/>
        <w:ind w:left="1338" w:right="0" w:firstLine="0"/>
        <w:jc w:val="left"/>
        <w:rPr>
          <w:sz w:val="12"/>
        </w:rPr>
      </w:pPr>
      <w:r>
        <w:rPr/>
        <w:pict>
          <v:group style="position:absolute;margin-left:42pt;margin-top:12.201136pt;width:166pt;height:137pt;mso-position-horizontal-relative:page;mso-position-vertical-relative:paragraph;z-index:16116736" coordorigin="840,244" coordsize="3320,2740">
            <v:shape style="position:absolute;left:1000;top:2940;width:3000;height:3" coordorigin="1000,2940" coordsize="3000,3" path="m1000,2940l4000,2940m1000,2943l4000,2943e" filled="false" stroked="true" strokeweight=".125pt" strokecolor="#000000">
              <v:path arrowok="t"/>
              <v:stroke dashstyle="solid"/>
            </v:shape>
            <v:line style="position:absolute" from="1000,2947" to="4000,2947" stroked="true" strokeweight=".25pt" strokecolor="#000000">
              <v:stroke dashstyle="solid"/>
            </v:line>
            <v:shape style="position:absolute;left:1040;top:2944;width:60;height:2" coordorigin="1040,2944" coordsize="60,0" path="m1040,2944l1100,2944,1040,2944e" filled="false" stroked="true" strokeweight=".5pt" strokecolor="#000000">
              <v:path arrowok="t"/>
              <v:stroke dashstyle="solid"/>
            </v:shape>
            <v:shape style="position:absolute;left:1060;top:2944;width:40;height:2" coordorigin="1060,2944" coordsize="40,0" path="m1060,2944l1060,2944m1100,2944l1100,2944e" filled="false" stroked="true" strokeweight=".5pt" strokecolor="#000000">
              <v:path arrowok="t"/>
              <v:stroke dashstyle="solid"/>
            </v:shape>
            <v:shape style="position:absolute;left:1180;top:2944;width:60;height:2" coordorigin="1180,2944" coordsize="60,0" path="m1180,2944l1240,2944,1180,2944e" filled="false" stroked="true" strokeweight=".5pt" strokecolor="#000000">
              <v:path arrowok="t"/>
              <v:stroke dashstyle="solid"/>
            </v:shape>
            <v:shape style="position:absolute;left:1180;top:2944;width:40;height:2" coordorigin="1180,2944" coordsize="40,0" path="m1180,2944l1180,2944m1200,2944l1200,2944m1220,2944l1220,2944e" filled="false" stroked="true" strokeweight=".5pt" strokecolor="#000000">
              <v:path arrowok="t"/>
              <v:stroke dashstyle="solid"/>
            </v:shape>
            <v:shape style="position:absolute;left:1300;top:2944;width:80;height:2" coordorigin="1300,2944" coordsize="80,0" path="m1300,2944l1380,2944,1300,2944e" filled="false" stroked="true" strokeweight=".5pt" strokecolor="#000000">
              <v:path arrowok="t"/>
              <v:stroke dashstyle="solid"/>
            </v:shape>
            <v:shape style="position:absolute;left:1300;top:2944;width:60;height:2" coordorigin="1300,2944" coordsize="60,0" path="m1300,2944l1300,2944m1340,2944l1340,2944m1360,2944l1360,2944e" filled="false" stroked="true" strokeweight=".5pt" strokecolor="#000000">
              <v:path arrowok="t"/>
              <v:stroke dashstyle="solid"/>
            </v:shape>
            <v:shape style="position:absolute;left:1440;top:2944;width:80;height:2" coordorigin="1440,2944" coordsize="80,0" path="m1440,2944l1520,2944,1440,2944e" filled="false" stroked="true" strokeweight=".5pt" strokecolor="#000000">
              <v:path arrowok="t"/>
              <v:stroke dashstyle="solid"/>
            </v:shape>
            <v:shape style="position:absolute;left:1440;top:2944;width:60;height:2" coordorigin="1440,2944" coordsize="60,0" path="m1440,2944l1440,2944m1480,2944l1480,2944m1500,2944l1500,2944e" filled="false" stroked="true" strokeweight=".5pt" strokecolor="#000000">
              <v:path arrowok="t"/>
              <v:stroke dashstyle="solid"/>
            </v:shape>
            <v:shape style="position:absolute;left:1580;top:2944;width:60;height:2" coordorigin="1580,2944" coordsize="60,0" path="m1580,2944l1640,2944,1580,2944e" filled="false" stroked="true" strokeweight=".5pt" strokecolor="#000000">
              <v:path arrowok="t"/>
              <v:stroke dashstyle="solid"/>
            </v:shape>
            <v:shape style="position:absolute;left:1580;top:2944;width:60;height:2" coordorigin="1580,2944" coordsize="60,0" path="m1580,2944l1580,2944m1600,2944l1600,2944m1640,2944l1640,2944e" filled="false" stroked="true" strokeweight=".5pt" strokecolor="#000000">
              <v:path arrowok="t"/>
              <v:stroke dashstyle="solid"/>
            </v:shape>
            <v:shape style="position:absolute;left:2400;top:2941;width:80;height:5" coordorigin="2400,2942" coordsize="80,5" path="m2400,2942l2480,2942m2400,2947l2480,2947e" filled="false" stroked="true" strokeweight=".25pt" strokecolor="#000000">
              <v:path arrowok="t"/>
              <v:stroke dashstyle="solid"/>
            </v:shape>
            <v:shape style="position:absolute;left:2400;top:2944;width:60;height:5" coordorigin="2400,2944" coordsize="60,5" path="m2400,2944l2400,2949m2420,2944l2420,2949m2460,2944l2460,2949e" filled="false" stroked="true" strokeweight="0pt" strokecolor="#000000">
              <v:path arrowok="t"/>
              <v:stroke dashstyle="solid"/>
            </v:shape>
            <v:line style="position:absolute" from="2680,2945" to="2740,2945" stroked="true" strokeweight=".375pt" strokecolor="#000000">
              <v:stroke dashstyle="solid"/>
            </v:line>
            <v:shape style="position:absolute;left:2680;top:2941;width:60;height:8" coordorigin="2680,2942" coordsize="60,8" path="m2680,2942l2680,2949m2700,2942l2700,2949m2740,2942l2740,2949e" filled="false" stroked="true" strokeweight="0pt" strokecolor="#000000">
              <v:path arrowok="t"/>
              <v:stroke dashstyle="solid"/>
            </v:shape>
            <v:shape style="position:absolute;left:2820;top:2944;width:60;height:2" coordorigin="2820,2944" coordsize="60,0" path="m2820,2944l2880,2944,2820,2944e" filled="false" stroked="true" strokeweight=".5pt" strokecolor="#000000">
              <v:path arrowok="t"/>
              <v:stroke dashstyle="solid"/>
            </v:shape>
            <v:shape style="position:absolute;left:2820;top:2944;width:40;height:2" coordorigin="2820,2944" coordsize="40,0" path="m2820,2944l2820,2944m2840,2944l2840,2944m2860,2944l2860,2944e" filled="false" stroked="true" strokeweight=".5pt" strokecolor="#000000">
              <v:path arrowok="t"/>
              <v:stroke dashstyle="solid"/>
            </v:shape>
            <v:shape style="position:absolute;left:2940;top:2944;width:80;height:2" coordorigin="2940,2944" coordsize="80,0" path="m2940,2944l3020,2944,2940,2944e" filled="false" stroked="true" strokeweight=".5pt" strokecolor="#000000">
              <v:path arrowok="t"/>
              <v:stroke dashstyle="solid"/>
            </v:shape>
            <v:shape style="position:absolute;left:2940;top:2944;width:60;height:2" coordorigin="2940,2944" coordsize="60,0" path="m2940,2944l2940,2944m2980,2944l2980,2944m3000,2944l3000,2944e" filled="false" stroked="true" strokeweight=".5pt" strokecolor="#000000">
              <v:path arrowok="t"/>
              <v:stroke dashstyle="solid"/>
            </v:shape>
            <v:shape style="position:absolute;left:3080;top:2944;width:80;height:2" coordorigin="3080,2944" coordsize="80,0" path="m3080,2944l3160,2944,3080,2944e" filled="false" stroked="true" strokeweight=".5pt" strokecolor="#000000">
              <v:path arrowok="t"/>
              <v:stroke dashstyle="solid"/>
            </v:shape>
            <v:shape style="position:absolute;left:3080;top:2944;width:60;height:2" coordorigin="3080,2944" coordsize="60,0" path="m3080,2944l3080,2944m3120,2944l3120,2944m3140,2944l3140,2944e" filled="false" stroked="true" strokeweight=".5pt" strokecolor="#000000">
              <v:path arrowok="t"/>
              <v:stroke dashstyle="solid"/>
            </v:shape>
            <v:shape style="position:absolute;left:3220;top:2944;width:60;height:2" coordorigin="3220,2944" coordsize="60,0" path="m3220,2944l3280,2944,3220,2944e" filled="false" stroked="true" strokeweight=".5pt" strokecolor="#000000">
              <v:path arrowok="t"/>
              <v:stroke dashstyle="solid"/>
            </v:shape>
            <v:shape style="position:absolute;left:3220;top:2944;width:60;height:2" coordorigin="3220,2944" coordsize="60,0" path="m3220,2944l3220,2944m3260,2944l3260,2944m3280,2944l3280,2944e" filled="false" stroked="true" strokeweight=".5pt" strokecolor="#000000">
              <v:path arrowok="t"/>
              <v:stroke dashstyle="solid"/>
            </v:shape>
            <v:shape style="position:absolute;left:3360;top:2944;width:60;height:2" coordorigin="3360,2944" coordsize="60,0" path="m3360,2944l3420,2944,3360,2944e" filled="false" stroked="true" strokeweight=".5pt" strokecolor="#000000">
              <v:path arrowok="t"/>
              <v:stroke dashstyle="solid"/>
            </v:shape>
            <v:shape style="position:absolute;left:3360;top:2944;width:60;height:2" coordorigin="3360,2944" coordsize="60,0" path="m3360,2944l3360,2944m3380,2944l3380,2944m3420,2944l3420,2944e" filled="false" stroked="true" strokeweight=".5pt" strokecolor="#000000">
              <v:path arrowok="t"/>
              <v:stroke dashstyle="solid"/>
            </v:shape>
            <v:shape style="position:absolute;left:3500;top:2944;width:60;height:2" coordorigin="3500,2944" coordsize="60,0" path="m3500,2944l3560,2944,3500,2944e" filled="false" stroked="true" strokeweight=".5pt" strokecolor="#000000">
              <v:path arrowok="t"/>
              <v:stroke dashstyle="solid"/>
            </v:shape>
            <v:shape style="position:absolute;left:3500;top:2944;width:60;height:2" coordorigin="3500,2944" coordsize="60,0" path="m3500,2944l3500,2944m3520,2944l3520,2944m3560,2944l3560,2944e" filled="false" stroked="true" strokeweight=".5pt" strokecolor="#000000">
              <v:path arrowok="t"/>
              <v:stroke dashstyle="solid"/>
            </v:shape>
            <v:shape style="position:absolute;left:3640;top:2944;width:60;height:2" coordorigin="3640,2944" coordsize="60,0" path="m3640,2944l3700,2944,3640,2944e" filled="false" stroked="true" strokeweight=".5pt" strokecolor="#000000">
              <v:path arrowok="t"/>
              <v:stroke dashstyle="solid"/>
            </v:shape>
            <v:shape style="position:absolute;left:3640;top:2944;width:40;height:2" coordorigin="3640,2944" coordsize="40,0" path="m3640,2944l3640,2944m3660,2944l3660,2944m3680,2944l3680,2944e" filled="false" stroked="true" strokeweight=".5pt" strokecolor="#000000">
              <v:path arrowok="t"/>
              <v:stroke dashstyle="solid"/>
            </v:shape>
            <v:shape style="position:absolute;left:3780;top:2944;width:60;height:2" coordorigin="3780,2944" coordsize="60,0" path="m3780,2944l3840,2944,3780,2944e" filled="false" stroked="true" strokeweight=".5pt" strokecolor="#000000">
              <v:path arrowok="t"/>
              <v:stroke dashstyle="solid"/>
            </v:shape>
            <v:shape style="position:absolute;left:3780;top:2944;width:40;height:2" coordorigin="3780,2944" coordsize="40,0" path="m3780,2944l3780,2944m3800,2944l3800,2944m3820,2944l3820,2944e" filled="false" stroked="true" strokeweight=".5pt" strokecolor="#000000">
              <v:path arrowok="t"/>
              <v:stroke dashstyle="solid"/>
            </v:shape>
            <v:shape style="position:absolute;left:3900;top:2944;width:80;height:2" coordorigin="3900,2944" coordsize="80,0" path="m3900,2944l3980,2944,3900,2944e" filled="false" stroked="true" strokeweight=".5pt" strokecolor="#000000">
              <v:path arrowok="t"/>
              <v:stroke dashstyle="solid"/>
            </v:shape>
            <v:shape style="position:absolute;left:3900;top:2944;width:60;height:2" coordorigin="3900,2944" coordsize="60,0" path="m3900,2944l3900,2944m3940,2944l3940,2944m3960,2944l3960,2944e" filled="false" stroked="true" strokeweight=".5pt" strokecolor="#000000">
              <v:path arrowok="t"/>
              <v:stroke dashstyle="solid"/>
            </v:shape>
            <v:rect style="position:absolute;left:1760;top:2704;width:100;height:235" filled="true" fillcolor="#008256" stroked="false">
              <v:fill type="solid"/>
            </v:rect>
            <v:rect style="position:absolute;left:1760;top:2704;width:100;height:235" filled="false" stroked="true" strokeweight=".5pt" strokecolor="#000000">
              <v:stroke dashstyle="solid"/>
            </v:rect>
            <v:rect style="position:absolute;left:1900;top:1444;width:120;height:1495" filled="true" fillcolor="#008256" stroked="false">
              <v:fill type="solid"/>
            </v:rect>
            <v:rect style="position:absolute;left:1900;top:1444;width:120;height:1495" filled="false" stroked="true" strokeweight=".5pt" strokecolor="#000000">
              <v:stroke dashstyle="solid"/>
            </v:rect>
            <v:rect style="position:absolute;left:2040;top:1184;width:120;height:1755" filled="true" fillcolor="#faab54" stroked="false">
              <v:fill type="solid"/>
            </v:rect>
            <v:rect style="position:absolute;left:2040;top:1184;width:120;height:1755" filled="false" stroked="true" strokeweight=".5pt" strokecolor="#000000">
              <v:stroke dashstyle="solid"/>
            </v:rect>
            <v:rect style="position:absolute;left:2360;top:2444;width:100;height:500" filled="true" fillcolor="#0066a5" stroked="false">
              <v:fill type="solid"/>
            </v:rect>
            <v:rect style="position:absolute;left:2360;top:2444;width:100;height:500" filled="false" stroked="true" strokeweight=".5pt" strokecolor="#000000">
              <v:stroke dashstyle="solid"/>
            </v:rect>
            <v:rect style="position:absolute;left:2200;top:444;width:120;height:2495" filled="true" fillcolor="#faab54" stroked="false">
              <v:fill type="solid"/>
            </v:rect>
            <v:rect style="position:absolute;left:2200;top:444;width:120;height:2495" filled="false" stroked="true" strokeweight=".5pt" strokecolor="#000000">
              <v:stroke dashstyle="solid"/>
            </v:rect>
            <v:rect style="position:absolute;left:2660;top:2704;width:100;height:238" filled="true" fillcolor="#0066a5" stroked="false">
              <v:fill type="solid"/>
            </v:rect>
            <v:rect style="position:absolute;left:2660;top:2704;width:100;height:238" filled="false" stroked="true" strokeweight=".5pt" strokecolor="#000000">
              <v:stroke dashstyle="solid"/>
            </v:rect>
            <v:shape style="position:absolute;left:840;top:444;width:3320;height:2540" coordorigin="840,444" coordsize="3320,2540" path="m940,2944l840,2944m940,2344l840,2344m940,1744l840,1744m940,1144l840,1144m940,544l840,544m980,2944l980,2944m1000,2944l1000,2984m2800,2944l2800,2984m1140,2944l1140,2984m1300,2944l1300,2984m1440,2944l1440,2984m1600,2944l1600,2984m1760,2944l1760,2984m1900,2944l1900,2984m2060,2944l2060,2984m2200,2944l2200,2984m2360,2944l2360,2984m2500,2944l2500,2984m2660,2944l2660,2984m2960,2944l2960,2984m3100,2944l3100,2984m3260,2944l3260,2984m3400,2944l3400,2984m3560,2944l3560,2984m3700,2944l3700,2984m3860,2944l3860,2984m4000,2944l4000,2984m4160,2944l4060,2944m4160,2704l4060,2704m4160,2444l4060,2444m4160,2204l4060,2204m4160,1944l4060,1944m4160,1704l4060,1704m4160,1444l4060,1444m4160,1184l4060,1184m4160,944l4060,944m4160,684l4060,684m4160,444l4060,444e" filled="false" stroked="true" strokeweight=".5pt" strokecolor="#000000">
              <v:path arrowok="t"/>
              <v:stroke dashstyle="solid"/>
            </v:shape>
            <v:line style="position:absolute" from="2040,2944" to="2040,244" stroked="true" strokeweight=".5pt" strokecolor="#0066a5">
              <v:stroke dashstyle="dash"/>
            </v:line>
            <v:line style="position:absolute" from="2180,2944" to="2180,2944" stroked="true" strokeweight=".5pt" strokecolor="#000000">
              <v:stroke dashstyle="solid"/>
            </v:line>
            <v:shape style="position:absolute;left:2160;top:244;width:80;height:2700" coordorigin="2160,244" coordsize="80,2700" path="m2160,2944l2160,244m2240,2944l2240,244e" filled="false" stroked="true" strokeweight=".5pt" strokecolor="#0066a5">
              <v:path arrowok="t"/>
              <v:stroke dashstyle="dash"/>
            </v:shape>
            <v:rect style="position:absolute;left:2246;top:447;width:67;height:2492" filled="true" fillcolor="#0066a5" stroked="false">
              <v:fill type="solid"/>
            </v:rect>
            <v:shape style="position:absolute;left:1265;top:609;width:1820;height:136" type="#_x0000_t202" filled="false" stroked="false">
              <v:textbox inset="0,0,0,0">
                <w:txbxContent>
                  <w:p>
                    <w:pPr>
                      <w:tabs>
                        <w:tab w:pos="1103" w:val="left" w:leader="none"/>
                      </w:tabs>
                      <w:spacing w:line="135" w:lineRule="exact" w:before="0"/>
                      <w:ind w:left="0" w:right="0" w:firstLine="0"/>
                      <w:jc w:val="left"/>
                      <w:rPr>
                        <w:sz w:val="12"/>
                      </w:rPr>
                    </w:pPr>
                    <w:r>
                      <w:rPr>
                        <w:sz w:val="12"/>
                      </w:rPr>
                      <w:t>Lower quartile</w:t>
                      <w:tab/>
                      <w:t>Upper quartile</w:t>
                    </w:r>
                  </w:p>
                </w:txbxContent>
              </v:textbox>
              <w10:wrap type="none"/>
            </v:shape>
            <w10:wrap type="none"/>
          </v:group>
        </w:pict>
      </w:r>
      <w:r>
        <w:rPr/>
        <w:pict>
          <v:line style="position:absolute;mso-position-horizontal-relative:page;mso-position-vertical-relative:paragraph;z-index:-21370880" from="208pt,9.201136pt" to="203pt,9.201136pt" stroked="true" strokeweight=".5pt" strokecolor="#000000">
            <v:stroke dashstyle="solid"/>
            <w10:wrap type="none"/>
          </v:line>
        </w:pict>
      </w:r>
      <w:r>
        <w:rPr>
          <w:sz w:val="12"/>
        </w:rPr>
        <w:t>Median</w:t>
        <w:tab/>
      </w:r>
      <w:r>
        <w:rPr>
          <w:position w:val="2"/>
          <w:sz w:val="12"/>
        </w:rPr>
        <w:t>11</w:t>
      </w:r>
    </w:p>
    <w:p>
      <w:pPr>
        <w:spacing w:before="102"/>
        <w:ind w:left="3590" w:right="0" w:firstLine="0"/>
        <w:jc w:val="left"/>
        <w:rPr>
          <w:sz w:val="12"/>
        </w:rPr>
      </w:pPr>
      <w:r>
        <w:rPr>
          <w:sz w:val="12"/>
        </w:rPr>
        <w:t>10</w:t>
      </w:r>
    </w:p>
    <w:p>
      <w:pPr>
        <w:spacing w:before="102"/>
        <w:ind w:left="3650" w:right="0" w:firstLine="0"/>
        <w:jc w:val="left"/>
        <w:rPr>
          <w:sz w:val="12"/>
        </w:rPr>
      </w:pPr>
      <w:r>
        <w:rPr>
          <w:sz w:val="12"/>
        </w:rPr>
        <w:t>9</w:t>
      </w:r>
    </w:p>
    <w:p>
      <w:pPr>
        <w:pStyle w:val="BodyText"/>
        <w:spacing w:before="7"/>
        <w:rPr>
          <w:sz w:val="10"/>
        </w:rPr>
      </w:pPr>
    </w:p>
    <w:p>
      <w:pPr>
        <w:spacing w:before="0"/>
        <w:ind w:left="3650" w:right="0" w:firstLine="0"/>
        <w:jc w:val="left"/>
        <w:rPr>
          <w:sz w:val="12"/>
        </w:rPr>
      </w:pPr>
      <w:r>
        <w:rPr>
          <w:sz w:val="12"/>
        </w:rPr>
        <w:t>8</w:t>
      </w:r>
    </w:p>
    <w:p>
      <w:pPr>
        <w:spacing w:before="103"/>
        <w:ind w:left="3650" w:right="0" w:firstLine="0"/>
        <w:jc w:val="left"/>
        <w:rPr>
          <w:sz w:val="12"/>
        </w:rPr>
      </w:pPr>
      <w:r>
        <w:rPr>
          <w:sz w:val="12"/>
        </w:rPr>
        <w:t>7</w:t>
      </w:r>
    </w:p>
    <w:p>
      <w:pPr>
        <w:pStyle w:val="BodyText"/>
        <w:spacing w:before="6"/>
        <w:rPr>
          <w:sz w:val="10"/>
        </w:rPr>
      </w:pPr>
    </w:p>
    <w:p>
      <w:pPr>
        <w:spacing w:before="1"/>
        <w:ind w:left="3650" w:right="0" w:firstLine="0"/>
        <w:jc w:val="left"/>
        <w:rPr>
          <w:sz w:val="12"/>
        </w:rPr>
      </w:pPr>
      <w:r>
        <w:rPr>
          <w:sz w:val="12"/>
        </w:rPr>
        <w:t>6</w:t>
      </w:r>
    </w:p>
    <w:p>
      <w:pPr>
        <w:pStyle w:val="BodyText"/>
        <w:spacing w:before="6"/>
        <w:rPr>
          <w:sz w:val="10"/>
        </w:rPr>
      </w:pPr>
    </w:p>
    <w:p>
      <w:pPr>
        <w:spacing w:before="1"/>
        <w:ind w:left="3650" w:right="0" w:firstLine="0"/>
        <w:jc w:val="left"/>
        <w:rPr>
          <w:sz w:val="12"/>
        </w:rPr>
      </w:pPr>
      <w:r>
        <w:rPr>
          <w:sz w:val="12"/>
        </w:rPr>
        <w:t>5</w:t>
      </w:r>
    </w:p>
    <w:p>
      <w:pPr>
        <w:spacing w:before="102"/>
        <w:ind w:left="3650" w:right="0" w:firstLine="0"/>
        <w:jc w:val="left"/>
        <w:rPr>
          <w:sz w:val="12"/>
        </w:rPr>
      </w:pPr>
      <w:r>
        <w:rPr>
          <w:sz w:val="12"/>
        </w:rPr>
        <w:t>4</w:t>
      </w:r>
    </w:p>
    <w:p>
      <w:pPr>
        <w:pStyle w:val="BodyText"/>
        <w:spacing w:before="6"/>
        <w:rPr>
          <w:sz w:val="10"/>
        </w:rPr>
      </w:pPr>
    </w:p>
    <w:p>
      <w:pPr>
        <w:spacing w:before="1"/>
        <w:ind w:left="3650" w:right="0" w:firstLine="0"/>
        <w:jc w:val="left"/>
        <w:rPr>
          <w:sz w:val="12"/>
        </w:rPr>
      </w:pPr>
      <w:r>
        <w:rPr>
          <w:sz w:val="12"/>
        </w:rPr>
        <w:t>3</w:t>
      </w:r>
    </w:p>
    <w:p>
      <w:pPr>
        <w:spacing w:before="102"/>
        <w:ind w:left="3650" w:right="0" w:firstLine="0"/>
        <w:jc w:val="left"/>
        <w:rPr>
          <w:sz w:val="12"/>
        </w:rPr>
      </w:pPr>
      <w:r>
        <w:rPr>
          <w:sz w:val="12"/>
        </w:rPr>
        <w:t>2</w:t>
      </w:r>
    </w:p>
    <w:p>
      <w:pPr>
        <w:pStyle w:val="BodyText"/>
        <w:spacing w:before="6"/>
        <w:rPr>
          <w:sz w:val="10"/>
        </w:rPr>
      </w:pPr>
    </w:p>
    <w:p>
      <w:pPr>
        <w:spacing w:before="1"/>
        <w:ind w:left="3650" w:right="0" w:firstLine="0"/>
        <w:jc w:val="left"/>
        <w:rPr>
          <w:sz w:val="12"/>
        </w:rPr>
      </w:pPr>
      <w:r>
        <w:rPr>
          <w:sz w:val="12"/>
        </w:rPr>
        <w:t>1</w:t>
      </w:r>
    </w:p>
    <w:p>
      <w:pPr>
        <w:spacing w:before="102"/>
        <w:ind w:left="3650" w:right="0" w:firstLine="0"/>
        <w:jc w:val="left"/>
        <w:rPr>
          <w:sz w:val="12"/>
        </w:rPr>
      </w:pPr>
      <w:r>
        <w:rPr>
          <w:sz w:val="12"/>
        </w:rPr>
        <w:t>0</w:t>
      </w:r>
    </w:p>
    <w:p>
      <w:pPr>
        <w:spacing w:before="32"/>
        <w:ind w:left="310" w:right="0" w:firstLine="0"/>
        <w:jc w:val="left"/>
        <w:rPr>
          <w:sz w:val="12"/>
        </w:rPr>
      </w:pPr>
      <w:r>
        <w:rPr>
          <w:sz w:val="12"/>
        </w:rPr>
        <w:t>0.0 0.6 1.2 1.8 2.4 3.0 3.6 4.2 4.8 5.4 6.0</w:t>
      </w:r>
    </w:p>
    <w:p>
      <w:pPr>
        <w:spacing w:before="32"/>
        <w:ind w:left="1176" w:right="0" w:firstLine="0"/>
        <w:jc w:val="left"/>
        <w:rPr>
          <w:sz w:val="12"/>
        </w:rPr>
      </w:pPr>
      <w:r>
        <w:rPr>
          <w:sz w:val="12"/>
        </w:rPr>
        <w:t>Range of forecasts</w:t>
      </w:r>
    </w:p>
    <w:p>
      <w:pPr>
        <w:pStyle w:val="BodyText"/>
        <w:spacing w:before="1"/>
        <w:rPr>
          <w:sz w:val="13"/>
        </w:rPr>
      </w:pPr>
    </w:p>
    <w:p>
      <w:pPr>
        <w:spacing w:before="0"/>
        <w:ind w:left="170" w:right="0" w:firstLine="0"/>
        <w:jc w:val="left"/>
        <w:rPr>
          <w:sz w:val="12"/>
        </w:rPr>
      </w:pPr>
      <w:r>
        <w:rPr>
          <w:sz w:val="12"/>
        </w:rPr>
        <w:t>Source: Forecasts of 27 outside forecasters as of 30 October 1998.</w:t>
      </w:r>
    </w:p>
    <w:p>
      <w:pPr>
        <w:pStyle w:val="BodyText"/>
        <w:rPr>
          <w:sz w:val="12"/>
        </w:rPr>
      </w:pPr>
    </w:p>
    <w:p>
      <w:pPr>
        <w:pStyle w:val="BodyText"/>
        <w:spacing w:before="10"/>
        <w:rPr>
          <w:sz w:val="17"/>
        </w:rPr>
      </w:pPr>
    </w:p>
    <w:p>
      <w:pPr>
        <w:pStyle w:val="Heading7"/>
        <w:spacing w:before="0"/>
        <w:ind w:left="170"/>
      </w:pPr>
      <w:r>
        <w:rPr>
          <w:color w:val="0093C1"/>
        </w:rPr>
        <w:t>Table 6.B</w:t>
      </w:r>
    </w:p>
    <w:p>
      <w:pPr>
        <w:spacing w:line="249" w:lineRule="auto" w:before="10"/>
        <w:ind w:left="170" w:right="59" w:firstLine="0"/>
        <w:jc w:val="left"/>
        <w:rPr>
          <w:sz w:val="12"/>
        </w:rPr>
      </w:pPr>
      <w:r>
        <w:rPr>
          <w:b/>
          <w:color w:val="0093C1"/>
          <w:sz w:val="20"/>
        </w:rPr>
        <w:t>Other forecasters’ expectations of RPIX inflation and GDP growth</w:t>
      </w:r>
      <w:r>
        <w:rPr>
          <w:position w:val="4"/>
          <w:sz w:val="12"/>
        </w:rPr>
        <w:t>(a)</w:t>
      </w:r>
    </w:p>
    <w:p>
      <w:pPr>
        <w:spacing w:before="46"/>
        <w:ind w:left="170" w:right="0" w:firstLine="0"/>
        <w:jc w:val="left"/>
        <w:rPr>
          <w:b/>
          <w:sz w:val="14"/>
        </w:rPr>
      </w:pPr>
      <w:r>
        <w:rPr>
          <w:b/>
          <w:sz w:val="14"/>
        </w:rPr>
        <w:t>RPIX inflation</w:t>
      </w:r>
    </w:p>
    <w:p>
      <w:pPr>
        <w:pStyle w:val="BodyText"/>
        <w:spacing w:before="9"/>
        <w:rPr>
          <w:b/>
          <w:sz w:val="10"/>
        </w:rPr>
      </w:pPr>
    </w:p>
    <w:tbl>
      <w:tblPr>
        <w:tblW w:w="0" w:type="auto"/>
        <w:jc w:val="left"/>
        <w:tblInd w:w="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83"/>
        <w:gridCol w:w="418"/>
        <w:gridCol w:w="65"/>
        <w:gridCol w:w="315"/>
        <w:gridCol w:w="160"/>
        <w:gridCol w:w="320"/>
        <w:gridCol w:w="165"/>
        <w:gridCol w:w="310"/>
      </w:tblGrid>
      <w:tr>
        <w:trPr>
          <w:trHeight w:val="152" w:hRule="atLeast"/>
        </w:trPr>
        <w:tc>
          <w:tcPr>
            <w:tcW w:w="1483" w:type="dxa"/>
          </w:tcPr>
          <w:p>
            <w:pPr>
              <w:pStyle w:val="TableParagraph"/>
              <w:spacing w:line="133" w:lineRule="exact"/>
              <w:ind w:left="50"/>
              <w:rPr>
                <w:sz w:val="14"/>
              </w:rPr>
            </w:pPr>
            <w:r>
              <w:rPr>
                <w:sz w:val="14"/>
              </w:rPr>
              <w:t>Probability, per cent</w:t>
            </w:r>
          </w:p>
        </w:tc>
        <w:tc>
          <w:tcPr>
            <w:tcW w:w="418" w:type="dxa"/>
            <w:tcBorders>
              <w:bottom w:val="single" w:sz="2" w:space="0" w:color="231F20"/>
            </w:tcBorders>
          </w:tcPr>
          <w:p>
            <w:pPr>
              <w:pStyle w:val="TableParagraph"/>
              <w:spacing w:line="134" w:lineRule="exact"/>
              <w:ind w:left="7"/>
              <w:rPr>
                <w:sz w:val="14"/>
              </w:rPr>
            </w:pPr>
            <w:r>
              <w:rPr>
                <w:sz w:val="14"/>
              </w:rPr>
              <w:t>Range:</w:t>
            </w:r>
          </w:p>
        </w:tc>
        <w:tc>
          <w:tcPr>
            <w:tcW w:w="1335" w:type="dxa"/>
            <w:gridSpan w:val="6"/>
            <w:tcBorders>
              <w:bottom w:val="single" w:sz="2" w:space="0" w:color="231F20"/>
            </w:tcBorders>
          </w:tcPr>
          <w:p>
            <w:pPr>
              <w:pStyle w:val="TableParagraph"/>
              <w:rPr>
                <w:sz w:val="8"/>
              </w:rPr>
            </w:pPr>
          </w:p>
        </w:tc>
      </w:tr>
      <w:tr>
        <w:trPr>
          <w:trHeight w:val="436" w:hRule="atLeast"/>
        </w:trPr>
        <w:tc>
          <w:tcPr>
            <w:tcW w:w="1483" w:type="dxa"/>
          </w:tcPr>
          <w:p>
            <w:pPr>
              <w:pStyle w:val="TableParagraph"/>
              <w:rPr>
                <w:sz w:val="18"/>
              </w:rPr>
            </w:pPr>
          </w:p>
        </w:tc>
        <w:tc>
          <w:tcPr>
            <w:tcW w:w="418" w:type="dxa"/>
            <w:tcBorders>
              <w:top w:val="single" w:sz="2" w:space="0" w:color="231F20"/>
              <w:bottom w:val="single" w:sz="2" w:space="0" w:color="231F20"/>
            </w:tcBorders>
          </w:tcPr>
          <w:p>
            <w:pPr>
              <w:pStyle w:val="TableParagraph"/>
              <w:spacing w:line="208" w:lineRule="auto"/>
              <w:ind w:left="7" w:right="117"/>
              <w:jc w:val="both"/>
              <w:rPr>
                <w:sz w:val="14"/>
              </w:rPr>
            </w:pPr>
            <w:r>
              <w:rPr>
                <w:sz w:val="14"/>
              </w:rPr>
              <w:t>less than 1.5%</w:t>
            </w:r>
          </w:p>
        </w:tc>
        <w:tc>
          <w:tcPr>
            <w:tcW w:w="65" w:type="dxa"/>
            <w:tcBorders>
              <w:top w:val="single" w:sz="2" w:space="0" w:color="231F20"/>
            </w:tcBorders>
          </w:tcPr>
          <w:p>
            <w:pPr>
              <w:pStyle w:val="TableParagraph"/>
              <w:rPr>
                <w:sz w:val="18"/>
              </w:rPr>
            </w:pPr>
          </w:p>
        </w:tc>
        <w:tc>
          <w:tcPr>
            <w:tcW w:w="315" w:type="dxa"/>
            <w:tcBorders>
              <w:top w:val="single" w:sz="2" w:space="0" w:color="231F20"/>
              <w:bottom w:val="single" w:sz="2" w:space="0" w:color="231F20"/>
            </w:tcBorders>
          </w:tcPr>
          <w:p>
            <w:pPr>
              <w:pStyle w:val="TableParagraph"/>
              <w:spacing w:line="125" w:lineRule="exact"/>
              <w:ind w:left="4"/>
              <w:rPr>
                <w:sz w:val="14"/>
              </w:rPr>
            </w:pPr>
            <w:r>
              <w:rPr>
                <w:sz w:val="14"/>
              </w:rPr>
              <w:t>1.5%</w:t>
            </w:r>
          </w:p>
          <w:p>
            <w:pPr>
              <w:pStyle w:val="TableParagraph"/>
              <w:spacing w:line="208" w:lineRule="auto" w:before="6"/>
              <w:ind w:left="4" w:right="-1" w:hanging="1"/>
              <w:rPr>
                <w:sz w:val="14"/>
              </w:rPr>
            </w:pPr>
            <w:r>
              <w:rPr>
                <w:sz w:val="14"/>
              </w:rPr>
              <w:t>to 2.5%</w:t>
            </w:r>
          </w:p>
        </w:tc>
        <w:tc>
          <w:tcPr>
            <w:tcW w:w="160" w:type="dxa"/>
            <w:tcBorders>
              <w:top w:val="single" w:sz="2" w:space="0" w:color="231F20"/>
            </w:tcBorders>
          </w:tcPr>
          <w:p>
            <w:pPr>
              <w:pStyle w:val="TableParagraph"/>
              <w:rPr>
                <w:sz w:val="18"/>
              </w:rPr>
            </w:pPr>
          </w:p>
        </w:tc>
        <w:tc>
          <w:tcPr>
            <w:tcW w:w="320" w:type="dxa"/>
            <w:tcBorders>
              <w:top w:val="single" w:sz="2" w:space="0" w:color="231F20"/>
              <w:bottom w:val="single" w:sz="2" w:space="0" w:color="231F20"/>
            </w:tcBorders>
          </w:tcPr>
          <w:p>
            <w:pPr>
              <w:pStyle w:val="TableParagraph"/>
              <w:spacing w:line="125" w:lineRule="exact"/>
              <w:ind w:left="9"/>
              <w:rPr>
                <w:sz w:val="14"/>
              </w:rPr>
            </w:pPr>
            <w:r>
              <w:rPr>
                <w:sz w:val="14"/>
              </w:rPr>
              <w:t>2.5%</w:t>
            </w:r>
          </w:p>
          <w:p>
            <w:pPr>
              <w:pStyle w:val="TableParagraph"/>
              <w:spacing w:line="208" w:lineRule="auto" w:before="6"/>
              <w:ind w:left="9" w:right="-1" w:hanging="1"/>
              <w:rPr>
                <w:sz w:val="14"/>
              </w:rPr>
            </w:pPr>
            <w:r>
              <w:rPr>
                <w:sz w:val="14"/>
              </w:rPr>
              <w:t>to 3.5%</w:t>
            </w:r>
          </w:p>
        </w:tc>
        <w:tc>
          <w:tcPr>
            <w:tcW w:w="165" w:type="dxa"/>
            <w:tcBorders>
              <w:top w:val="single" w:sz="2" w:space="0" w:color="231F20"/>
            </w:tcBorders>
          </w:tcPr>
          <w:p>
            <w:pPr>
              <w:pStyle w:val="TableParagraph"/>
              <w:rPr>
                <w:sz w:val="18"/>
              </w:rPr>
            </w:pPr>
          </w:p>
        </w:tc>
        <w:tc>
          <w:tcPr>
            <w:tcW w:w="310" w:type="dxa"/>
            <w:tcBorders>
              <w:top w:val="single" w:sz="2" w:space="0" w:color="231F20"/>
              <w:bottom w:val="single" w:sz="2" w:space="0" w:color="231F20"/>
            </w:tcBorders>
          </w:tcPr>
          <w:p>
            <w:pPr>
              <w:pStyle w:val="TableParagraph"/>
              <w:spacing w:line="208" w:lineRule="auto"/>
              <w:ind w:left="4" w:right="-6"/>
              <w:rPr>
                <w:sz w:val="14"/>
              </w:rPr>
            </w:pPr>
            <w:r>
              <w:rPr>
                <w:sz w:val="14"/>
              </w:rPr>
              <w:t>more than 3.5%</w:t>
            </w:r>
          </w:p>
        </w:tc>
      </w:tr>
      <w:tr>
        <w:trPr>
          <w:trHeight w:val="248" w:hRule="atLeast"/>
        </w:trPr>
        <w:tc>
          <w:tcPr>
            <w:tcW w:w="1483" w:type="dxa"/>
          </w:tcPr>
          <w:p>
            <w:pPr>
              <w:pStyle w:val="TableParagraph"/>
              <w:spacing w:line="133" w:lineRule="exact" w:before="94"/>
              <w:ind w:left="50"/>
              <w:rPr>
                <w:sz w:val="14"/>
              </w:rPr>
            </w:pPr>
            <w:r>
              <w:rPr>
                <w:sz w:val="14"/>
              </w:rPr>
              <w:t>1998 Q4</w:t>
            </w:r>
          </w:p>
        </w:tc>
        <w:tc>
          <w:tcPr>
            <w:tcW w:w="418" w:type="dxa"/>
            <w:tcBorders>
              <w:top w:val="single" w:sz="2" w:space="0" w:color="231F20"/>
            </w:tcBorders>
          </w:tcPr>
          <w:p>
            <w:pPr>
              <w:pStyle w:val="TableParagraph"/>
              <w:spacing w:line="133" w:lineRule="exact" w:before="94"/>
              <w:ind w:left="97"/>
              <w:rPr>
                <w:sz w:val="14"/>
              </w:rPr>
            </w:pPr>
            <w:r>
              <w:rPr>
                <w:sz w:val="14"/>
              </w:rPr>
              <w:t>3</w:t>
            </w:r>
          </w:p>
        </w:tc>
        <w:tc>
          <w:tcPr>
            <w:tcW w:w="65" w:type="dxa"/>
          </w:tcPr>
          <w:p>
            <w:pPr>
              <w:pStyle w:val="TableParagraph"/>
              <w:rPr>
                <w:sz w:val="18"/>
              </w:rPr>
            </w:pPr>
          </w:p>
        </w:tc>
        <w:tc>
          <w:tcPr>
            <w:tcW w:w="315" w:type="dxa"/>
            <w:tcBorders>
              <w:top w:val="single" w:sz="2" w:space="0" w:color="231F20"/>
            </w:tcBorders>
          </w:tcPr>
          <w:p>
            <w:pPr>
              <w:pStyle w:val="TableParagraph"/>
              <w:spacing w:line="133" w:lineRule="exact" w:before="94"/>
              <w:ind w:left="24"/>
              <w:rPr>
                <w:sz w:val="14"/>
              </w:rPr>
            </w:pPr>
            <w:r>
              <w:rPr>
                <w:sz w:val="14"/>
              </w:rPr>
              <w:t>57</w:t>
            </w:r>
          </w:p>
        </w:tc>
        <w:tc>
          <w:tcPr>
            <w:tcW w:w="160" w:type="dxa"/>
          </w:tcPr>
          <w:p>
            <w:pPr>
              <w:pStyle w:val="TableParagraph"/>
              <w:rPr>
                <w:sz w:val="18"/>
              </w:rPr>
            </w:pPr>
          </w:p>
        </w:tc>
        <w:tc>
          <w:tcPr>
            <w:tcW w:w="320" w:type="dxa"/>
            <w:tcBorders>
              <w:top w:val="single" w:sz="2" w:space="0" w:color="231F20"/>
            </w:tcBorders>
          </w:tcPr>
          <w:p>
            <w:pPr>
              <w:pStyle w:val="TableParagraph"/>
              <w:spacing w:line="133" w:lineRule="exact" w:before="94"/>
              <w:ind w:left="29"/>
              <w:rPr>
                <w:sz w:val="14"/>
              </w:rPr>
            </w:pPr>
            <w:r>
              <w:rPr>
                <w:sz w:val="14"/>
              </w:rPr>
              <w:t>39</w:t>
            </w:r>
          </w:p>
        </w:tc>
        <w:tc>
          <w:tcPr>
            <w:tcW w:w="165" w:type="dxa"/>
          </w:tcPr>
          <w:p>
            <w:pPr>
              <w:pStyle w:val="TableParagraph"/>
              <w:rPr>
                <w:sz w:val="18"/>
              </w:rPr>
            </w:pPr>
          </w:p>
        </w:tc>
        <w:tc>
          <w:tcPr>
            <w:tcW w:w="310" w:type="dxa"/>
            <w:tcBorders>
              <w:top w:val="single" w:sz="2" w:space="0" w:color="231F20"/>
            </w:tcBorders>
          </w:tcPr>
          <w:p>
            <w:pPr>
              <w:pStyle w:val="TableParagraph"/>
              <w:spacing w:line="133" w:lineRule="exact" w:before="94"/>
              <w:ind w:right="143"/>
              <w:jc w:val="right"/>
              <w:rPr>
                <w:sz w:val="14"/>
              </w:rPr>
            </w:pPr>
            <w:r>
              <w:rPr>
                <w:sz w:val="14"/>
              </w:rPr>
              <w:t>1</w:t>
            </w:r>
          </w:p>
        </w:tc>
      </w:tr>
      <w:tr>
        <w:trPr>
          <w:trHeight w:val="140" w:hRule="atLeast"/>
        </w:trPr>
        <w:tc>
          <w:tcPr>
            <w:tcW w:w="1483" w:type="dxa"/>
          </w:tcPr>
          <w:p>
            <w:pPr>
              <w:pStyle w:val="TableParagraph"/>
              <w:spacing w:line="120" w:lineRule="exact"/>
              <w:ind w:left="50"/>
              <w:rPr>
                <w:sz w:val="14"/>
              </w:rPr>
            </w:pPr>
            <w:r>
              <w:rPr>
                <w:sz w:val="14"/>
              </w:rPr>
              <w:t>1999 Q4</w:t>
            </w:r>
          </w:p>
        </w:tc>
        <w:tc>
          <w:tcPr>
            <w:tcW w:w="418" w:type="dxa"/>
          </w:tcPr>
          <w:p>
            <w:pPr>
              <w:pStyle w:val="TableParagraph"/>
              <w:spacing w:line="120" w:lineRule="exact"/>
              <w:ind w:left="27"/>
              <w:rPr>
                <w:sz w:val="14"/>
              </w:rPr>
            </w:pPr>
            <w:r>
              <w:rPr>
                <w:sz w:val="14"/>
              </w:rPr>
              <w:t>14</w:t>
            </w:r>
          </w:p>
        </w:tc>
        <w:tc>
          <w:tcPr>
            <w:tcW w:w="65" w:type="dxa"/>
          </w:tcPr>
          <w:p>
            <w:pPr>
              <w:pStyle w:val="TableParagraph"/>
              <w:rPr>
                <w:sz w:val="8"/>
              </w:rPr>
            </w:pPr>
          </w:p>
        </w:tc>
        <w:tc>
          <w:tcPr>
            <w:tcW w:w="315" w:type="dxa"/>
          </w:tcPr>
          <w:p>
            <w:pPr>
              <w:pStyle w:val="TableParagraph"/>
              <w:spacing w:line="120" w:lineRule="exact"/>
              <w:ind w:left="24"/>
              <w:rPr>
                <w:sz w:val="14"/>
              </w:rPr>
            </w:pPr>
            <w:r>
              <w:rPr>
                <w:sz w:val="14"/>
              </w:rPr>
              <w:t>51</w:t>
            </w:r>
          </w:p>
        </w:tc>
        <w:tc>
          <w:tcPr>
            <w:tcW w:w="160" w:type="dxa"/>
          </w:tcPr>
          <w:p>
            <w:pPr>
              <w:pStyle w:val="TableParagraph"/>
              <w:rPr>
                <w:sz w:val="8"/>
              </w:rPr>
            </w:pPr>
          </w:p>
        </w:tc>
        <w:tc>
          <w:tcPr>
            <w:tcW w:w="320" w:type="dxa"/>
          </w:tcPr>
          <w:p>
            <w:pPr>
              <w:pStyle w:val="TableParagraph"/>
              <w:spacing w:line="120" w:lineRule="exact"/>
              <w:ind w:left="29"/>
              <w:rPr>
                <w:sz w:val="14"/>
              </w:rPr>
            </w:pPr>
            <w:r>
              <w:rPr>
                <w:sz w:val="14"/>
              </w:rPr>
              <w:t>29</w:t>
            </w:r>
          </w:p>
        </w:tc>
        <w:tc>
          <w:tcPr>
            <w:tcW w:w="165" w:type="dxa"/>
          </w:tcPr>
          <w:p>
            <w:pPr>
              <w:pStyle w:val="TableParagraph"/>
              <w:rPr>
                <w:sz w:val="8"/>
              </w:rPr>
            </w:pPr>
          </w:p>
        </w:tc>
        <w:tc>
          <w:tcPr>
            <w:tcW w:w="310" w:type="dxa"/>
          </w:tcPr>
          <w:p>
            <w:pPr>
              <w:pStyle w:val="TableParagraph"/>
              <w:spacing w:line="120" w:lineRule="exact"/>
              <w:ind w:right="143"/>
              <w:jc w:val="right"/>
              <w:rPr>
                <w:sz w:val="14"/>
              </w:rPr>
            </w:pPr>
            <w:r>
              <w:rPr>
                <w:sz w:val="14"/>
              </w:rPr>
              <w:t>5</w:t>
            </w:r>
          </w:p>
        </w:tc>
      </w:tr>
      <w:tr>
        <w:trPr>
          <w:trHeight w:val="210" w:hRule="atLeast"/>
        </w:trPr>
        <w:tc>
          <w:tcPr>
            <w:tcW w:w="1483" w:type="dxa"/>
          </w:tcPr>
          <w:p>
            <w:pPr>
              <w:pStyle w:val="TableParagraph"/>
              <w:spacing w:line="148" w:lineRule="exact"/>
              <w:ind w:left="50"/>
              <w:rPr>
                <w:sz w:val="12"/>
              </w:rPr>
            </w:pPr>
            <w:r>
              <w:rPr>
                <w:sz w:val="14"/>
              </w:rPr>
              <w:t>2000 Q4 </w:t>
            </w:r>
            <w:r>
              <w:rPr>
                <w:sz w:val="12"/>
              </w:rPr>
              <w:t>(b)</w:t>
            </w:r>
          </w:p>
        </w:tc>
        <w:tc>
          <w:tcPr>
            <w:tcW w:w="418" w:type="dxa"/>
          </w:tcPr>
          <w:p>
            <w:pPr>
              <w:pStyle w:val="TableParagraph"/>
              <w:spacing w:line="148" w:lineRule="exact"/>
              <w:ind w:left="27"/>
              <w:rPr>
                <w:sz w:val="14"/>
              </w:rPr>
            </w:pPr>
            <w:r>
              <w:rPr>
                <w:sz w:val="14"/>
              </w:rPr>
              <w:t>15</w:t>
            </w:r>
          </w:p>
        </w:tc>
        <w:tc>
          <w:tcPr>
            <w:tcW w:w="65" w:type="dxa"/>
          </w:tcPr>
          <w:p>
            <w:pPr>
              <w:pStyle w:val="TableParagraph"/>
              <w:rPr>
                <w:sz w:val="14"/>
              </w:rPr>
            </w:pPr>
          </w:p>
        </w:tc>
        <w:tc>
          <w:tcPr>
            <w:tcW w:w="315" w:type="dxa"/>
          </w:tcPr>
          <w:p>
            <w:pPr>
              <w:pStyle w:val="TableParagraph"/>
              <w:spacing w:line="148" w:lineRule="exact"/>
              <w:ind w:left="24"/>
              <w:rPr>
                <w:sz w:val="14"/>
              </w:rPr>
            </w:pPr>
            <w:r>
              <w:rPr>
                <w:sz w:val="14"/>
              </w:rPr>
              <w:t>46</w:t>
            </w:r>
          </w:p>
        </w:tc>
        <w:tc>
          <w:tcPr>
            <w:tcW w:w="160" w:type="dxa"/>
          </w:tcPr>
          <w:p>
            <w:pPr>
              <w:pStyle w:val="TableParagraph"/>
              <w:rPr>
                <w:sz w:val="14"/>
              </w:rPr>
            </w:pPr>
          </w:p>
        </w:tc>
        <w:tc>
          <w:tcPr>
            <w:tcW w:w="320" w:type="dxa"/>
          </w:tcPr>
          <w:p>
            <w:pPr>
              <w:pStyle w:val="TableParagraph"/>
              <w:spacing w:line="148" w:lineRule="exact"/>
              <w:ind w:left="29"/>
              <w:rPr>
                <w:sz w:val="14"/>
              </w:rPr>
            </w:pPr>
            <w:r>
              <w:rPr>
                <w:sz w:val="14"/>
              </w:rPr>
              <w:t>30</w:t>
            </w:r>
          </w:p>
        </w:tc>
        <w:tc>
          <w:tcPr>
            <w:tcW w:w="165" w:type="dxa"/>
          </w:tcPr>
          <w:p>
            <w:pPr>
              <w:pStyle w:val="TableParagraph"/>
              <w:rPr>
                <w:sz w:val="14"/>
              </w:rPr>
            </w:pPr>
          </w:p>
        </w:tc>
        <w:tc>
          <w:tcPr>
            <w:tcW w:w="310" w:type="dxa"/>
          </w:tcPr>
          <w:p>
            <w:pPr>
              <w:pStyle w:val="TableParagraph"/>
              <w:spacing w:line="148" w:lineRule="exact"/>
              <w:ind w:right="143"/>
              <w:jc w:val="right"/>
              <w:rPr>
                <w:sz w:val="14"/>
              </w:rPr>
            </w:pPr>
            <w:r>
              <w:rPr>
                <w:sz w:val="14"/>
              </w:rPr>
              <w:t>10</w:t>
            </w:r>
          </w:p>
        </w:tc>
      </w:tr>
      <w:tr>
        <w:trPr>
          <w:trHeight w:val="217" w:hRule="atLeast"/>
        </w:trPr>
        <w:tc>
          <w:tcPr>
            <w:tcW w:w="1483" w:type="dxa"/>
          </w:tcPr>
          <w:p>
            <w:pPr>
              <w:pStyle w:val="TableParagraph"/>
              <w:spacing w:line="141" w:lineRule="exact" w:before="56"/>
              <w:ind w:left="50"/>
              <w:rPr>
                <w:b/>
                <w:sz w:val="14"/>
              </w:rPr>
            </w:pPr>
            <w:r>
              <w:rPr>
                <w:b/>
                <w:sz w:val="14"/>
              </w:rPr>
              <w:t>GDP growth</w:t>
            </w:r>
          </w:p>
        </w:tc>
        <w:tc>
          <w:tcPr>
            <w:tcW w:w="418" w:type="dxa"/>
          </w:tcPr>
          <w:p>
            <w:pPr>
              <w:pStyle w:val="TableParagraph"/>
              <w:rPr>
                <w:sz w:val="14"/>
              </w:rPr>
            </w:pPr>
          </w:p>
        </w:tc>
        <w:tc>
          <w:tcPr>
            <w:tcW w:w="65" w:type="dxa"/>
          </w:tcPr>
          <w:p>
            <w:pPr>
              <w:pStyle w:val="TableParagraph"/>
              <w:rPr>
                <w:sz w:val="14"/>
              </w:rPr>
            </w:pPr>
          </w:p>
        </w:tc>
        <w:tc>
          <w:tcPr>
            <w:tcW w:w="315" w:type="dxa"/>
          </w:tcPr>
          <w:p>
            <w:pPr>
              <w:pStyle w:val="TableParagraph"/>
              <w:rPr>
                <w:sz w:val="14"/>
              </w:rPr>
            </w:pPr>
          </w:p>
        </w:tc>
        <w:tc>
          <w:tcPr>
            <w:tcW w:w="160" w:type="dxa"/>
          </w:tcPr>
          <w:p>
            <w:pPr>
              <w:pStyle w:val="TableParagraph"/>
              <w:rPr>
                <w:sz w:val="14"/>
              </w:rPr>
            </w:pPr>
          </w:p>
        </w:tc>
        <w:tc>
          <w:tcPr>
            <w:tcW w:w="320" w:type="dxa"/>
          </w:tcPr>
          <w:p>
            <w:pPr>
              <w:pStyle w:val="TableParagraph"/>
              <w:rPr>
                <w:sz w:val="14"/>
              </w:rPr>
            </w:pPr>
          </w:p>
        </w:tc>
        <w:tc>
          <w:tcPr>
            <w:tcW w:w="165" w:type="dxa"/>
          </w:tcPr>
          <w:p>
            <w:pPr>
              <w:pStyle w:val="TableParagraph"/>
              <w:rPr>
                <w:sz w:val="14"/>
              </w:rPr>
            </w:pPr>
          </w:p>
        </w:tc>
        <w:tc>
          <w:tcPr>
            <w:tcW w:w="310" w:type="dxa"/>
          </w:tcPr>
          <w:p>
            <w:pPr>
              <w:pStyle w:val="TableParagraph"/>
              <w:rPr>
                <w:sz w:val="14"/>
              </w:rPr>
            </w:pPr>
          </w:p>
        </w:tc>
      </w:tr>
    </w:tbl>
    <w:p>
      <w:pPr>
        <w:tabs>
          <w:tab w:pos="1440" w:val="left" w:leader="none"/>
          <w:tab w:pos="4129" w:val="left" w:leader="none"/>
        </w:tabs>
        <w:spacing w:line="150" w:lineRule="exact" w:before="119"/>
        <w:ind w:left="0" w:right="140" w:firstLine="0"/>
        <w:jc w:val="right"/>
        <w:rPr>
          <w:sz w:val="14"/>
        </w:rPr>
      </w:pPr>
      <w:r>
        <w:rPr>
          <w:sz w:val="14"/>
        </w:rPr>
        <w:t>Probability, per cent</w:t>
        <w:tab/>
      </w:r>
      <w:r>
        <w:rPr>
          <w:sz w:val="14"/>
          <w:u w:val="single" w:color="231F20"/>
        </w:rPr>
        <w:t>Range:</w:t>
        <w:tab/>
      </w:r>
    </w:p>
    <w:p>
      <w:pPr>
        <w:tabs>
          <w:tab w:pos="479" w:val="left" w:leader="none"/>
          <w:tab w:pos="960" w:val="left" w:leader="none"/>
          <w:tab w:pos="1440" w:val="left" w:leader="none"/>
          <w:tab w:pos="1920" w:val="left" w:leader="none"/>
          <w:tab w:pos="2400" w:val="left" w:leader="none"/>
        </w:tabs>
        <w:spacing w:line="150" w:lineRule="exact" w:before="0"/>
        <w:ind w:left="0" w:right="143" w:firstLine="0"/>
        <w:jc w:val="right"/>
        <w:rPr>
          <w:sz w:val="14"/>
        </w:rPr>
      </w:pPr>
      <w:r>
        <w:rPr>
          <w:sz w:val="14"/>
        </w:rPr>
        <w:t>less</w:t>
        <w:tab/>
        <w:t>0%</w:t>
        <w:tab/>
        <w:t>1%</w:t>
        <w:tab/>
        <w:t>2%</w:t>
        <w:tab/>
        <w:t>3%</w:t>
        <w:tab/>
        <w:t>more</w:t>
      </w:r>
    </w:p>
    <w:tbl>
      <w:tblPr>
        <w:tblW w:w="0" w:type="auto"/>
        <w:jc w:val="left"/>
        <w:tblInd w:w="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65"/>
        <w:gridCol w:w="420"/>
        <w:gridCol w:w="65"/>
        <w:gridCol w:w="315"/>
        <w:gridCol w:w="160"/>
        <w:gridCol w:w="320"/>
        <w:gridCol w:w="165"/>
        <w:gridCol w:w="325"/>
        <w:gridCol w:w="165"/>
        <w:gridCol w:w="220"/>
        <w:gridCol w:w="260"/>
        <w:gridCol w:w="305"/>
      </w:tblGrid>
      <w:tr>
        <w:trPr>
          <w:trHeight w:val="147" w:hRule="atLeast"/>
        </w:trPr>
        <w:tc>
          <w:tcPr>
            <w:tcW w:w="1465" w:type="dxa"/>
            <w:vMerge w:val="restart"/>
          </w:tcPr>
          <w:p>
            <w:pPr>
              <w:pStyle w:val="TableParagraph"/>
              <w:rPr>
                <w:sz w:val="18"/>
              </w:rPr>
            </w:pPr>
          </w:p>
        </w:tc>
        <w:tc>
          <w:tcPr>
            <w:tcW w:w="420" w:type="dxa"/>
          </w:tcPr>
          <w:p>
            <w:pPr>
              <w:pStyle w:val="TableParagraph"/>
              <w:spacing w:line="128" w:lineRule="exact"/>
              <w:ind w:right="152"/>
              <w:jc w:val="right"/>
              <w:rPr>
                <w:sz w:val="14"/>
              </w:rPr>
            </w:pPr>
            <w:r>
              <w:rPr>
                <w:sz w:val="14"/>
              </w:rPr>
              <w:t>than</w:t>
            </w:r>
          </w:p>
        </w:tc>
        <w:tc>
          <w:tcPr>
            <w:tcW w:w="65" w:type="dxa"/>
          </w:tcPr>
          <w:p>
            <w:pPr>
              <w:pStyle w:val="TableParagraph"/>
              <w:rPr>
                <w:sz w:val="8"/>
              </w:rPr>
            </w:pPr>
          </w:p>
        </w:tc>
        <w:tc>
          <w:tcPr>
            <w:tcW w:w="315" w:type="dxa"/>
          </w:tcPr>
          <w:p>
            <w:pPr>
              <w:pStyle w:val="TableParagraph"/>
              <w:spacing w:line="128" w:lineRule="exact"/>
              <w:ind w:left="19"/>
              <w:rPr>
                <w:sz w:val="14"/>
              </w:rPr>
            </w:pPr>
            <w:r>
              <w:rPr>
                <w:sz w:val="14"/>
              </w:rPr>
              <w:t>to</w:t>
            </w:r>
          </w:p>
        </w:tc>
        <w:tc>
          <w:tcPr>
            <w:tcW w:w="160" w:type="dxa"/>
          </w:tcPr>
          <w:p>
            <w:pPr>
              <w:pStyle w:val="TableParagraph"/>
              <w:rPr>
                <w:sz w:val="8"/>
              </w:rPr>
            </w:pPr>
          </w:p>
        </w:tc>
        <w:tc>
          <w:tcPr>
            <w:tcW w:w="320" w:type="dxa"/>
          </w:tcPr>
          <w:p>
            <w:pPr>
              <w:pStyle w:val="TableParagraph"/>
              <w:spacing w:line="128" w:lineRule="exact"/>
              <w:ind w:left="24"/>
              <w:rPr>
                <w:sz w:val="14"/>
              </w:rPr>
            </w:pPr>
            <w:r>
              <w:rPr>
                <w:sz w:val="14"/>
              </w:rPr>
              <w:t>to</w:t>
            </w:r>
          </w:p>
        </w:tc>
        <w:tc>
          <w:tcPr>
            <w:tcW w:w="165" w:type="dxa"/>
          </w:tcPr>
          <w:p>
            <w:pPr>
              <w:pStyle w:val="TableParagraph"/>
              <w:rPr>
                <w:sz w:val="8"/>
              </w:rPr>
            </w:pPr>
          </w:p>
        </w:tc>
        <w:tc>
          <w:tcPr>
            <w:tcW w:w="325" w:type="dxa"/>
          </w:tcPr>
          <w:p>
            <w:pPr>
              <w:pStyle w:val="TableParagraph"/>
              <w:spacing w:line="128" w:lineRule="exact"/>
              <w:ind w:left="19"/>
              <w:rPr>
                <w:sz w:val="14"/>
              </w:rPr>
            </w:pPr>
            <w:r>
              <w:rPr>
                <w:sz w:val="14"/>
              </w:rPr>
              <w:t>to</w:t>
            </w:r>
          </w:p>
        </w:tc>
        <w:tc>
          <w:tcPr>
            <w:tcW w:w="165" w:type="dxa"/>
          </w:tcPr>
          <w:p>
            <w:pPr>
              <w:pStyle w:val="TableParagraph"/>
              <w:rPr>
                <w:sz w:val="8"/>
              </w:rPr>
            </w:pPr>
          </w:p>
        </w:tc>
        <w:tc>
          <w:tcPr>
            <w:tcW w:w="220" w:type="dxa"/>
          </w:tcPr>
          <w:p>
            <w:pPr>
              <w:pStyle w:val="TableParagraph"/>
              <w:spacing w:line="128" w:lineRule="exact"/>
              <w:ind w:left="9"/>
              <w:rPr>
                <w:sz w:val="14"/>
              </w:rPr>
            </w:pPr>
            <w:r>
              <w:rPr>
                <w:sz w:val="14"/>
              </w:rPr>
              <w:t>to</w:t>
            </w:r>
          </w:p>
        </w:tc>
        <w:tc>
          <w:tcPr>
            <w:tcW w:w="260" w:type="dxa"/>
          </w:tcPr>
          <w:p>
            <w:pPr>
              <w:pStyle w:val="TableParagraph"/>
              <w:rPr>
                <w:sz w:val="8"/>
              </w:rPr>
            </w:pPr>
          </w:p>
        </w:tc>
        <w:tc>
          <w:tcPr>
            <w:tcW w:w="305" w:type="dxa"/>
          </w:tcPr>
          <w:p>
            <w:pPr>
              <w:pStyle w:val="TableParagraph"/>
              <w:spacing w:line="128" w:lineRule="exact"/>
              <w:ind w:right="44"/>
              <w:jc w:val="center"/>
              <w:rPr>
                <w:sz w:val="14"/>
              </w:rPr>
            </w:pPr>
            <w:r>
              <w:rPr>
                <w:sz w:val="14"/>
              </w:rPr>
              <w:t>than</w:t>
            </w:r>
          </w:p>
        </w:tc>
      </w:tr>
      <w:tr>
        <w:trPr>
          <w:trHeight w:val="156" w:hRule="atLeast"/>
        </w:trPr>
        <w:tc>
          <w:tcPr>
            <w:tcW w:w="1465" w:type="dxa"/>
            <w:vMerge/>
            <w:tcBorders>
              <w:top w:val="nil"/>
            </w:tcBorders>
          </w:tcPr>
          <w:p>
            <w:pPr>
              <w:rPr>
                <w:sz w:val="2"/>
                <w:szCs w:val="2"/>
              </w:rPr>
            </w:pPr>
          </w:p>
        </w:tc>
        <w:tc>
          <w:tcPr>
            <w:tcW w:w="420" w:type="dxa"/>
            <w:tcBorders>
              <w:bottom w:val="single" w:sz="2" w:space="0" w:color="231F20"/>
            </w:tcBorders>
          </w:tcPr>
          <w:p>
            <w:pPr>
              <w:pStyle w:val="TableParagraph"/>
              <w:spacing w:line="132" w:lineRule="exact"/>
              <w:ind w:right="206"/>
              <w:jc w:val="right"/>
              <w:rPr>
                <w:sz w:val="14"/>
              </w:rPr>
            </w:pPr>
            <w:r>
              <w:rPr>
                <w:sz w:val="14"/>
              </w:rPr>
              <w:t>0%</w:t>
            </w:r>
          </w:p>
        </w:tc>
        <w:tc>
          <w:tcPr>
            <w:tcW w:w="65" w:type="dxa"/>
          </w:tcPr>
          <w:p>
            <w:pPr>
              <w:pStyle w:val="TableParagraph"/>
              <w:rPr>
                <w:sz w:val="10"/>
              </w:rPr>
            </w:pPr>
          </w:p>
        </w:tc>
        <w:tc>
          <w:tcPr>
            <w:tcW w:w="315" w:type="dxa"/>
            <w:tcBorders>
              <w:bottom w:val="single" w:sz="2" w:space="0" w:color="231F20"/>
            </w:tcBorders>
          </w:tcPr>
          <w:p>
            <w:pPr>
              <w:pStyle w:val="TableParagraph"/>
              <w:spacing w:line="132" w:lineRule="exact"/>
              <w:ind w:left="20"/>
              <w:rPr>
                <w:sz w:val="14"/>
              </w:rPr>
            </w:pPr>
            <w:r>
              <w:rPr>
                <w:sz w:val="14"/>
              </w:rPr>
              <w:t>1%</w:t>
            </w:r>
          </w:p>
        </w:tc>
        <w:tc>
          <w:tcPr>
            <w:tcW w:w="160" w:type="dxa"/>
          </w:tcPr>
          <w:p>
            <w:pPr>
              <w:pStyle w:val="TableParagraph"/>
              <w:rPr>
                <w:sz w:val="10"/>
              </w:rPr>
            </w:pPr>
          </w:p>
        </w:tc>
        <w:tc>
          <w:tcPr>
            <w:tcW w:w="320" w:type="dxa"/>
            <w:tcBorders>
              <w:bottom w:val="single" w:sz="2" w:space="0" w:color="231F20"/>
            </w:tcBorders>
          </w:tcPr>
          <w:p>
            <w:pPr>
              <w:pStyle w:val="TableParagraph"/>
              <w:spacing w:line="132" w:lineRule="exact"/>
              <w:ind w:left="25"/>
              <w:rPr>
                <w:sz w:val="14"/>
              </w:rPr>
            </w:pPr>
            <w:r>
              <w:rPr>
                <w:sz w:val="14"/>
              </w:rPr>
              <w:t>2%</w:t>
            </w:r>
          </w:p>
        </w:tc>
        <w:tc>
          <w:tcPr>
            <w:tcW w:w="165" w:type="dxa"/>
          </w:tcPr>
          <w:p>
            <w:pPr>
              <w:pStyle w:val="TableParagraph"/>
              <w:rPr>
                <w:sz w:val="10"/>
              </w:rPr>
            </w:pPr>
          </w:p>
        </w:tc>
        <w:tc>
          <w:tcPr>
            <w:tcW w:w="325" w:type="dxa"/>
            <w:tcBorders>
              <w:bottom w:val="single" w:sz="2" w:space="0" w:color="231F20"/>
            </w:tcBorders>
          </w:tcPr>
          <w:p>
            <w:pPr>
              <w:pStyle w:val="TableParagraph"/>
              <w:spacing w:line="132" w:lineRule="exact"/>
              <w:ind w:left="20"/>
              <w:rPr>
                <w:sz w:val="14"/>
              </w:rPr>
            </w:pPr>
            <w:r>
              <w:rPr>
                <w:sz w:val="14"/>
              </w:rPr>
              <w:t>3%</w:t>
            </w:r>
          </w:p>
        </w:tc>
        <w:tc>
          <w:tcPr>
            <w:tcW w:w="165" w:type="dxa"/>
          </w:tcPr>
          <w:p>
            <w:pPr>
              <w:pStyle w:val="TableParagraph"/>
              <w:rPr>
                <w:sz w:val="10"/>
              </w:rPr>
            </w:pPr>
          </w:p>
        </w:tc>
        <w:tc>
          <w:tcPr>
            <w:tcW w:w="220" w:type="dxa"/>
            <w:tcBorders>
              <w:bottom w:val="single" w:sz="2" w:space="0" w:color="231F20"/>
            </w:tcBorders>
          </w:tcPr>
          <w:p>
            <w:pPr>
              <w:pStyle w:val="TableParagraph"/>
              <w:spacing w:line="132" w:lineRule="exact"/>
              <w:ind w:left="10"/>
              <w:rPr>
                <w:sz w:val="14"/>
              </w:rPr>
            </w:pPr>
            <w:r>
              <w:rPr>
                <w:sz w:val="14"/>
              </w:rPr>
              <w:t>4%</w:t>
            </w:r>
          </w:p>
        </w:tc>
        <w:tc>
          <w:tcPr>
            <w:tcW w:w="260" w:type="dxa"/>
          </w:tcPr>
          <w:p>
            <w:pPr>
              <w:pStyle w:val="TableParagraph"/>
              <w:rPr>
                <w:sz w:val="10"/>
              </w:rPr>
            </w:pPr>
          </w:p>
        </w:tc>
        <w:tc>
          <w:tcPr>
            <w:tcW w:w="305" w:type="dxa"/>
            <w:tcBorders>
              <w:bottom w:val="single" w:sz="2" w:space="0" w:color="231F20"/>
            </w:tcBorders>
          </w:tcPr>
          <w:p>
            <w:pPr>
              <w:pStyle w:val="TableParagraph"/>
              <w:spacing w:line="132" w:lineRule="exact"/>
              <w:ind w:right="95"/>
              <w:jc w:val="center"/>
              <w:rPr>
                <w:sz w:val="14"/>
              </w:rPr>
            </w:pPr>
            <w:r>
              <w:rPr>
                <w:sz w:val="14"/>
              </w:rPr>
              <w:t>4%</w:t>
            </w:r>
          </w:p>
        </w:tc>
      </w:tr>
      <w:tr>
        <w:trPr>
          <w:trHeight w:val="258" w:hRule="atLeast"/>
        </w:trPr>
        <w:tc>
          <w:tcPr>
            <w:tcW w:w="1465" w:type="dxa"/>
          </w:tcPr>
          <w:p>
            <w:pPr>
              <w:pStyle w:val="TableParagraph"/>
              <w:spacing w:line="148" w:lineRule="exact" w:before="89"/>
              <w:ind w:left="50"/>
              <w:rPr>
                <w:sz w:val="14"/>
              </w:rPr>
            </w:pPr>
            <w:r>
              <w:rPr>
                <w:sz w:val="14"/>
              </w:rPr>
              <w:t>1998 Q4</w:t>
            </w:r>
          </w:p>
        </w:tc>
        <w:tc>
          <w:tcPr>
            <w:tcW w:w="420" w:type="dxa"/>
            <w:tcBorders>
              <w:top w:val="single" w:sz="2" w:space="0" w:color="231F20"/>
            </w:tcBorders>
          </w:tcPr>
          <w:p>
            <w:pPr>
              <w:pStyle w:val="TableParagraph"/>
              <w:spacing w:line="148" w:lineRule="exact" w:before="84"/>
              <w:ind w:right="232"/>
              <w:jc w:val="right"/>
              <w:rPr>
                <w:sz w:val="14"/>
              </w:rPr>
            </w:pPr>
            <w:r>
              <w:rPr>
                <w:sz w:val="14"/>
              </w:rPr>
              <w:t>1</w:t>
            </w:r>
          </w:p>
        </w:tc>
        <w:tc>
          <w:tcPr>
            <w:tcW w:w="65" w:type="dxa"/>
          </w:tcPr>
          <w:p>
            <w:pPr>
              <w:pStyle w:val="TableParagraph"/>
              <w:rPr>
                <w:sz w:val="18"/>
              </w:rPr>
            </w:pPr>
          </w:p>
        </w:tc>
        <w:tc>
          <w:tcPr>
            <w:tcW w:w="315" w:type="dxa"/>
            <w:tcBorders>
              <w:top w:val="single" w:sz="2" w:space="0" w:color="231F20"/>
            </w:tcBorders>
          </w:tcPr>
          <w:p>
            <w:pPr>
              <w:pStyle w:val="TableParagraph"/>
              <w:spacing w:line="148" w:lineRule="exact" w:before="84"/>
              <w:ind w:right="22"/>
              <w:jc w:val="center"/>
              <w:rPr>
                <w:sz w:val="14"/>
              </w:rPr>
            </w:pPr>
            <w:r>
              <w:rPr>
                <w:sz w:val="14"/>
              </w:rPr>
              <w:t>8</w:t>
            </w:r>
          </w:p>
        </w:tc>
        <w:tc>
          <w:tcPr>
            <w:tcW w:w="160" w:type="dxa"/>
          </w:tcPr>
          <w:p>
            <w:pPr>
              <w:pStyle w:val="TableParagraph"/>
              <w:rPr>
                <w:sz w:val="18"/>
              </w:rPr>
            </w:pPr>
          </w:p>
        </w:tc>
        <w:tc>
          <w:tcPr>
            <w:tcW w:w="320" w:type="dxa"/>
            <w:tcBorders>
              <w:top w:val="single" w:sz="2" w:space="0" w:color="231F20"/>
            </w:tcBorders>
          </w:tcPr>
          <w:p>
            <w:pPr>
              <w:pStyle w:val="TableParagraph"/>
              <w:spacing w:line="148" w:lineRule="exact" w:before="84"/>
              <w:ind w:left="45"/>
              <w:rPr>
                <w:sz w:val="14"/>
              </w:rPr>
            </w:pPr>
            <w:r>
              <w:rPr>
                <w:sz w:val="14"/>
              </w:rPr>
              <w:t>57</w:t>
            </w:r>
          </w:p>
        </w:tc>
        <w:tc>
          <w:tcPr>
            <w:tcW w:w="165" w:type="dxa"/>
          </w:tcPr>
          <w:p>
            <w:pPr>
              <w:pStyle w:val="TableParagraph"/>
              <w:rPr>
                <w:sz w:val="18"/>
              </w:rPr>
            </w:pPr>
          </w:p>
        </w:tc>
        <w:tc>
          <w:tcPr>
            <w:tcW w:w="325" w:type="dxa"/>
            <w:tcBorders>
              <w:top w:val="single" w:sz="2" w:space="0" w:color="231F20"/>
            </w:tcBorders>
          </w:tcPr>
          <w:p>
            <w:pPr>
              <w:pStyle w:val="TableParagraph"/>
              <w:spacing w:line="148" w:lineRule="exact" w:before="84"/>
              <w:ind w:left="40"/>
              <w:rPr>
                <w:sz w:val="14"/>
              </w:rPr>
            </w:pPr>
            <w:r>
              <w:rPr>
                <w:sz w:val="14"/>
              </w:rPr>
              <w:t>31</w:t>
            </w:r>
          </w:p>
        </w:tc>
        <w:tc>
          <w:tcPr>
            <w:tcW w:w="165" w:type="dxa"/>
          </w:tcPr>
          <w:p>
            <w:pPr>
              <w:pStyle w:val="TableParagraph"/>
              <w:rPr>
                <w:sz w:val="18"/>
              </w:rPr>
            </w:pPr>
          </w:p>
        </w:tc>
        <w:tc>
          <w:tcPr>
            <w:tcW w:w="220" w:type="dxa"/>
            <w:tcBorders>
              <w:top w:val="single" w:sz="2" w:space="0" w:color="231F20"/>
            </w:tcBorders>
          </w:tcPr>
          <w:p>
            <w:pPr>
              <w:pStyle w:val="TableParagraph"/>
              <w:spacing w:line="148" w:lineRule="exact" w:before="89"/>
              <w:ind w:right="47"/>
              <w:jc w:val="right"/>
              <w:rPr>
                <w:sz w:val="14"/>
              </w:rPr>
            </w:pPr>
            <w:r>
              <w:rPr>
                <w:sz w:val="14"/>
              </w:rPr>
              <w:t>2</w:t>
            </w:r>
          </w:p>
        </w:tc>
        <w:tc>
          <w:tcPr>
            <w:tcW w:w="260" w:type="dxa"/>
          </w:tcPr>
          <w:p>
            <w:pPr>
              <w:pStyle w:val="TableParagraph"/>
              <w:rPr>
                <w:sz w:val="18"/>
              </w:rPr>
            </w:pPr>
          </w:p>
        </w:tc>
        <w:tc>
          <w:tcPr>
            <w:tcW w:w="305" w:type="dxa"/>
            <w:tcBorders>
              <w:top w:val="single" w:sz="2" w:space="0" w:color="231F20"/>
            </w:tcBorders>
          </w:tcPr>
          <w:p>
            <w:pPr>
              <w:pStyle w:val="TableParagraph"/>
              <w:spacing w:line="148" w:lineRule="exact" w:before="89"/>
              <w:ind w:right="112"/>
              <w:jc w:val="center"/>
              <w:rPr>
                <w:sz w:val="14"/>
              </w:rPr>
            </w:pPr>
            <w:r>
              <w:rPr>
                <w:sz w:val="14"/>
              </w:rPr>
              <w:t>0</w:t>
            </w:r>
          </w:p>
        </w:tc>
      </w:tr>
      <w:tr>
        <w:trPr>
          <w:trHeight w:val="140" w:hRule="atLeast"/>
        </w:trPr>
        <w:tc>
          <w:tcPr>
            <w:tcW w:w="1465" w:type="dxa"/>
          </w:tcPr>
          <w:p>
            <w:pPr>
              <w:pStyle w:val="TableParagraph"/>
              <w:spacing w:line="120" w:lineRule="exact"/>
              <w:ind w:left="50"/>
              <w:rPr>
                <w:sz w:val="14"/>
              </w:rPr>
            </w:pPr>
            <w:r>
              <w:rPr>
                <w:sz w:val="14"/>
              </w:rPr>
              <w:t>1999 Q4</w:t>
            </w:r>
          </w:p>
        </w:tc>
        <w:tc>
          <w:tcPr>
            <w:tcW w:w="420" w:type="dxa"/>
          </w:tcPr>
          <w:p>
            <w:pPr>
              <w:pStyle w:val="TableParagraph"/>
              <w:spacing w:line="120" w:lineRule="exact"/>
              <w:ind w:right="232"/>
              <w:jc w:val="right"/>
              <w:rPr>
                <w:sz w:val="14"/>
              </w:rPr>
            </w:pPr>
            <w:r>
              <w:rPr>
                <w:sz w:val="14"/>
              </w:rPr>
              <w:t>21</w:t>
            </w:r>
          </w:p>
        </w:tc>
        <w:tc>
          <w:tcPr>
            <w:tcW w:w="65" w:type="dxa"/>
          </w:tcPr>
          <w:p>
            <w:pPr>
              <w:pStyle w:val="TableParagraph"/>
              <w:rPr>
                <w:sz w:val="8"/>
              </w:rPr>
            </w:pPr>
          </w:p>
        </w:tc>
        <w:tc>
          <w:tcPr>
            <w:tcW w:w="315" w:type="dxa"/>
          </w:tcPr>
          <w:p>
            <w:pPr>
              <w:pStyle w:val="TableParagraph"/>
              <w:spacing w:line="120" w:lineRule="exact"/>
              <w:ind w:left="40"/>
              <w:rPr>
                <w:sz w:val="14"/>
              </w:rPr>
            </w:pPr>
            <w:r>
              <w:rPr>
                <w:sz w:val="14"/>
              </w:rPr>
              <w:t>41</w:t>
            </w:r>
          </w:p>
        </w:tc>
        <w:tc>
          <w:tcPr>
            <w:tcW w:w="160" w:type="dxa"/>
          </w:tcPr>
          <w:p>
            <w:pPr>
              <w:pStyle w:val="TableParagraph"/>
              <w:rPr>
                <w:sz w:val="8"/>
              </w:rPr>
            </w:pPr>
          </w:p>
        </w:tc>
        <w:tc>
          <w:tcPr>
            <w:tcW w:w="320" w:type="dxa"/>
          </w:tcPr>
          <w:p>
            <w:pPr>
              <w:pStyle w:val="TableParagraph"/>
              <w:spacing w:line="120" w:lineRule="exact"/>
              <w:ind w:left="45"/>
              <w:rPr>
                <w:sz w:val="14"/>
              </w:rPr>
            </w:pPr>
            <w:r>
              <w:rPr>
                <w:sz w:val="14"/>
              </w:rPr>
              <w:t>27</w:t>
            </w:r>
          </w:p>
        </w:tc>
        <w:tc>
          <w:tcPr>
            <w:tcW w:w="165" w:type="dxa"/>
          </w:tcPr>
          <w:p>
            <w:pPr>
              <w:pStyle w:val="TableParagraph"/>
              <w:rPr>
                <w:sz w:val="8"/>
              </w:rPr>
            </w:pPr>
          </w:p>
        </w:tc>
        <w:tc>
          <w:tcPr>
            <w:tcW w:w="325" w:type="dxa"/>
          </w:tcPr>
          <w:p>
            <w:pPr>
              <w:pStyle w:val="TableParagraph"/>
              <w:spacing w:line="120" w:lineRule="exact"/>
              <w:ind w:right="32"/>
              <w:jc w:val="center"/>
              <w:rPr>
                <w:sz w:val="14"/>
              </w:rPr>
            </w:pPr>
            <w:r>
              <w:rPr>
                <w:sz w:val="14"/>
              </w:rPr>
              <w:t>9</w:t>
            </w:r>
          </w:p>
        </w:tc>
        <w:tc>
          <w:tcPr>
            <w:tcW w:w="165" w:type="dxa"/>
          </w:tcPr>
          <w:p>
            <w:pPr>
              <w:pStyle w:val="TableParagraph"/>
              <w:rPr>
                <w:sz w:val="8"/>
              </w:rPr>
            </w:pPr>
          </w:p>
        </w:tc>
        <w:tc>
          <w:tcPr>
            <w:tcW w:w="220" w:type="dxa"/>
          </w:tcPr>
          <w:p>
            <w:pPr>
              <w:pStyle w:val="TableParagraph"/>
              <w:spacing w:line="120" w:lineRule="exact"/>
              <w:ind w:right="47"/>
              <w:jc w:val="right"/>
              <w:rPr>
                <w:sz w:val="14"/>
              </w:rPr>
            </w:pPr>
            <w:r>
              <w:rPr>
                <w:sz w:val="14"/>
              </w:rPr>
              <w:t>2</w:t>
            </w:r>
          </w:p>
        </w:tc>
        <w:tc>
          <w:tcPr>
            <w:tcW w:w="260" w:type="dxa"/>
          </w:tcPr>
          <w:p>
            <w:pPr>
              <w:pStyle w:val="TableParagraph"/>
              <w:rPr>
                <w:sz w:val="8"/>
              </w:rPr>
            </w:pPr>
          </w:p>
        </w:tc>
        <w:tc>
          <w:tcPr>
            <w:tcW w:w="305" w:type="dxa"/>
          </w:tcPr>
          <w:p>
            <w:pPr>
              <w:pStyle w:val="TableParagraph"/>
              <w:spacing w:line="120" w:lineRule="exact"/>
              <w:ind w:right="112"/>
              <w:jc w:val="center"/>
              <w:rPr>
                <w:sz w:val="14"/>
              </w:rPr>
            </w:pPr>
            <w:r>
              <w:rPr>
                <w:sz w:val="14"/>
              </w:rPr>
              <w:t>0</w:t>
            </w:r>
          </w:p>
        </w:tc>
      </w:tr>
      <w:tr>
        <w:trPr>
          <w:trHeight w:val="147" w:hRule="atLeast"/>
        </w:trPr>
        <w:tc>
          <w:tcPr>
            <w:tcW w:w="1465" w:type="dxa"/>
          </w:tcPr>
          <w:p>
            <w:pPr>
              <w:pStyle w:val="TableParagraph"/>
              <w:spacing w:line="128" w:lineRule="exact"/>
              <w:ind w:left="50"/>
              <w:rPr>
                <w:sz w:val="12"/>
              </w:rPr>
            </w:pPr>
            <w:r>
              <w:rPr>
                <w:sz w:val="14"/>
              </w:rPr>
              <w:t>2000 Q4 </w:t>
            </w:r>
            <w:r>
              <w:rPr>
                <w:sz w:val="12"/>
              </w:rPr>
              <w:t>(b)</w:t>
            </w:r>
          </w:p>
        </w:tc>
        <w:tc>
          <w:tcPr>
            <w:tcW w:w="420" w:type="dxa"/>
          </w:tcPr>
          <w:p>
            <w:pPr>
              <w:pStyle w:val="TableParagraph"/>
              <w:spacing w:line="128" w:lineRule="exact"/>
              <w:ind w:right="234"/>
              <w:jc w:val="right"/>
              <w:rPr>
                <w:sz w:val="14"/>
              </w:rPr>
            </w:pPr>
            <w:r>
              <w:rPr>
                <w:sz w:val="14"/>
              </w:rPr>
              <w:t>7</w:t>
            </w:r>
          </w:p>
        </w:tc>
        <w:tc>
          <w:tcPr>
            <w:tcW w:w="65" w:type="dxa"/>
          </w:tcPr>
          <w:p>
            <w:pPr>
              <w:pStyle w:val="TableParagraph"/>
              <w:rPr>
                <w:sz w:val="8"/>
              </w:rPr>
            </w:pPr>
          </w:p>
        </w:tc>
        <w:tc>
          <w:tcPr>
            <w:tcW w:w="315" w:type="dxa"/>
          </w:tcPr>
          <w:p>
            <w:pPr>
              <w:pStyle w:val="TableParagraph"/>
              <w:spacing w:line="128" w:lineRule="exact"/>
              <w:ind w:left="40"/>
              <w:rPr>
                <w:sz w:val="14"/>
              </w:rPr>
            </w:pPr>
            <w:r>
              <w:rPr>
                <w:sz w:val="14"/>
              </w:rPr>
              <w:t>17</w:t>
            </w:r>
          </w:p>
        </w:tc>
        <w:tc>
          <w:tcPr>
            <w:tcW w:w="160" w:type="dxa"/>
          </w:tcPr>
          <w:p>
            <w:pPr>
              <w:pStyle w:val="TableParagraph"/>
              <w:rPr>
                <w:sz w:val="8"/>
              </w:rPr>
            </w:pPr>
          </w:p>
        </w:tc>
        <w:tc>
          <w:tcPr>
            <w:tcW w:w="320" w:type="dxa"/>
          </w:tcPr>
          <w:p>
            <w:pPr>
              <w:pStyle w:val="TableParagraph"/>
              <w:spacing w:line="128" w:lineRule="exact"/>
              <w:ind w:left="45"/>
              <w:rPr>
                <w:sz w:val="14"/>
              </w:rPr>
            </w:pPr>
            <w:r>
              <w:rPr>
                <w:sz w:val="14"/>
              </w:rPr>
              <w:t>28</w:t>
            </w:r>
          </w:p>
        </w:tc>
        <w:tc>
          <w:tcPr>
            <w:tcW w:w="165" w:type="dxa"/>
          </w:tcPr>
          <w:p>
            <w:pPr>
              <w:pStyle w:val="TableParagraph"/>
              <w:rPr>
                <w:sz w:val="8"/>
              </w:rPr>
            </w:pPr>
          </w:p>
        </w:tc>
        <w:tc>
          <w:tcPr>
            <w:tcW w:w="325" w:type="dxa"/>
          </w:tcPr>
          <w:p>
            <w:pPr>
              <w:pStyle w:val="TableParagraph"/>
              <w:spacing w:line="128" w:lineRule="exact"/>
              <w:ind w:left="40"/>
              <w:rPr>
                <w:sz w:val="14"/>
              </w:rPr>
            </w:pPr>
            <w:r>
              <w:rPr>
                <w:sz w:val="14"/>
              </w:rPr>
              <w:t>31</w:t>
            </w:r>
          </w:p>
        </w:tc>
        <w:tc>
          <w:tcPr>
            <w:tcW w:w="165" w:type="dxa"/>
          </w:tcPr>
          <w:p>
            <w:pPr>
              <w:pStyle w:val="TableParagraph"/>
              <w:rPr>
                <w:sz w:val="8"/>
              </w:rPr>
            </w:pPr>
          </w:p>
        </w:tc>
        <w:tc>
          <w:tcPr>
            <w:tcW w:w="220" w:type="dxa"/>
          </w:tcPr>
          <w:p>
            <w:pPr>
              <w:pStyle w:val="TableParagraph"/>
              <w:spacing w:line="128" w:lineRule="exact"/>
              <w:ind w:left="30"/>
              <w:rPr>
                <w:sz w:val="14"/>
              </w:rPr>
            </w:pPr>
            <w:r>
              <w:rPr>
                <w:sz w:val="14"/>
              </w:rPr>
              <w:t>13</w:t>
            </w:r>
          </w:p>
        </w:tc>
        <w:tc>
          <w:tcPr>
            <w:tcW w:w="260" w:type="dxa"/>
          </w:tcPr>
          <w:p>
            <w:pPr>
              <w:pStyle w:val="TableParagraph"/>
              <w:rPr>
                <w:sz w:val="8"/>
              </w:rPr>
            </w:pPr>
          </w:p>
        </w:tc>
        <w:tc>
          <w:tcPr>
            <w:tcW w:w="305" w:type="dxa"/>
          </w:tcPr>
          <w:p>
            <w:pPr>
              <w:pStyle w:val="TableParagraph"/>
              <w:spacing w:line="128" w:lineRule="exact"/>
              <w:ind w:right="112"/>
              <w:jc w:val="center"/>
              <w:rPr>
                <w:sz w:val="14"/>
              </w:rPr>
            </w:pPr>
            <w:r>
              <w:rPr>
                <w:sz w:val="14"/>
              </w:rPr>
              <w:t>3</w:t>
            </w:r>
          </w:p>
        </w:tc>
      </w:tr>
    </w:tbl>
    <w:p>
      <w:pPr>
        <w:spacing w:line="208" w:lineRule="auto" w:before="117"/>
        <w:ind w:left="449" w:right="25" w:hanging="280"/>
        <w:jc w:val="left"/>
        <w:rPr>
          <w:sz w:val="12"/>
        </w:rPr>
      </w:pPr>
      <w:r>
        <w:rPr>
          <w:sz w:val="12"/>
        </w:rPr>
        <w:t>(a) 27 other forecasters provided the Bank with their assessment of the likelihood, at three time horizons, of expected twelve-month RPIX inflation and four-quarter output growth falling in the ranges shown above. This table represents the means of the responses for each range. For example, on average, forecasters assign a probability of 15% to inflation turning out to be less than 1.5% in 2000 Q4. Rows</w:t>
      </w:r>
    </w:p>
    <w:p>
      <w:pPr>
        <w:pStyle w:val="Heading2"/>
        <w:numPr>
          <w:ilvl w:val="1"/>
          <w:numId w:val="35"/>
        </w:numPr>
        <w:tabs>
          <w:tab w:pos="3619" w:val="left" w:leader="none"/>
          <w:tab w:pos="3620" w:val="left" w:leader="none"/>
          <w:tab w:pos="5689" w:val="left" w:leader="none"/>
        </w:tabs>
        <w:spacing w:line="240" w:lineRule="auto" w:before="88" w:after="0"/>
        <w:ind w:left="3619" w:right="0" w:hanging="3450"/>
        <w:jc w:val="left"/>
      </w:pPr>
      <w:r>
        <w:rPr>
          <w:color w:val="009483"/>
          <w:u w:val="thick" w:color="0093C1"/>
        </w:rPr>
        <w:br w:type="column"/>
        <w:t>Other</w:t>
      </w:r>
      <w:r>
        <w:rPr>
          <w:color w:val="009483"/>
          <w:spacing w:val="-13"/>
          <w:u w:val="thick" w:color="0093C1"/>
        </w:rPr>
        <w:t> </w:t>
      </w:r>
      <w:r>
        <w:rPr>
          <w:color w:val="009483"/>
          <w:u w:val="thick" w:color="0093C1"/>
        </w:rPr>
        <w:t>forecasts</w:t>
        <w:tab/>
      </w:r>
    </w:p>
    <w:p>
      <w:pPr>
        <w:pStyle w:val="Heading4"/>
        <w:spacing w:line="242" w:lineRule="auto" w:before="264"/>
        <w:ind w:left="170" w:right="342"/>
      </w:pPr>
      <w:r>
        <w:rPr/>
        <w:t>Chart 6.9 shows the distribution of central forecasts for the twelve-month rate of RPIX inflation in 2000 Q4, based on information gathered from 27 forecasters surveyed by the Bank. The median forecast was 2.3% </w:t>
      </w:r>
      <w:r>
        <w:rPr>
          <w:spacing w:val="-9"/>
        </w:rPr>
        <w:t>in </w:t>
      </w:r>
      <w:r>
        <w:rPr/>
        <w:t>October, lower than the projections for 2000 Q3 made at the time of the July </w:t>
      </w:r>
      <w:r>
        <w:rPr>
          <w:spacing w:val="-4"/>
        </w:rPr>
        <w:t>survey. </w:t>
      </w:r>
      <w:r>
        <w:rPr/>
        <w:t>This is the first time since the </w:t>
      </w:r>
      <w:r>
        <w:rPr>
          <w:i/>
        </w:rPr>
        <w:t>Inflation Report </w:t>
      </w:r>
      <w:r>
        <w:rPr/>
        <w:t>was first published in 1993 that the median has fallen below 2.5% looking two years</w:t>
      </w:r>
      <w:r>
        <w:rPr>
          <w:spacing w:val="-10"/>
        </w:rPr>
        <w:t> </w:t>
      </w:r>
      <w:r>
        <w:rPr/>
        <w:t>ahead.</w:t>
      </w:r>
    </w:p>
    <w:p>
      <w:pPr>
        <w:pStyle w:val="BodyText"/>
        <w:spacing w:before="2"/>
        <w:rPr>
          <w:sz w:val="25"/>
        </w:rPr>
      </w:pPr>
    </w:p>
    <w:p>
      <w:pPr>
        <w:spacing w:line="242" w:lineRule="auto" w:before="1"/>
        <w:ind w:left="170" w:right="301" w:firstLine="0"/>
        <w:jc w:val="left"/>
        <w:rPr>
          <w:sz w:val="24"/>
        </w:rPr>
      </w:pPr>
      <w:r>
        <w:rPr>
          <w:sz w:val="24"/>
        </w:rPr>
        <w:t>The forecasters surveyed by the Bank also provided their assessments of the probabilities that they attach to various outcomes for inflation and growth (see</w:t>
      </w:r>
    </w:p>
    <w:p>
      <w:pPr>
        <w:spacing w:line="242" w:lineRule="auto" w:before="3"/>
        <w:ind w:left="169" w:right="262" w:firstLine="0"/>
        <w:jc w:val="left"/>
        <w:rPr>
          <w:sz w:val="24"/>
        </w:rPr>
      </w:pPr>
      <w:r>
        <w:rPr>
          <w:sz w:val="24"/>
        </w:rPr>
        <w:t>Table 6.B). Overall, they assign a 40% probability to inflation being above the target in the fourth quarter of 2000, and a 60% probability to it being below. These estimates have changed since August, when the probabilities were broadly balanced. The average projection for GDP growth in the year to 1999 Q4 is </w:t>
      </w:r>
      <w:r>
        <w:rPr>
          <w:position w:val="8"/>
          <w:sz w:val="12"/>
        </w:rPr>
        <w:t>3</w:t>
      </w:r>
      <w:r>
        <w:rPr>
          <w:sz w:val="24"/>
        </w:rPr>
        <w:t>/</w:t>
      </w:r>
      <w:r>
        <w:rPr>
          <w:sz w:val="12"/>
        </w:rPr>
        <w:t>4</w:t>
      </w:r>
      <w:r>
        <w:rPr>
          <w:sz w:val="24"/>
        </w:rPr>
        <w:t>% (with a range of central projections from -1% to +2%), rising to 2% in the year to 2000 Q4 (range 0% to 3</w:t>
      </w:r>
      <w:r>
        <w:rPr>
          <w:position w:val="8"/>
          <w:sz w:val="12"/>
        </w:rPr>
        <w:t>1</w:t>
      </w:r>
      <w:r>
        <w:rPr>
          <w:sz w:val="24"/>
        </w:rPr>
        <w:t>/</w:t>
      </w:r>
      <w:r>
        <w:rPr>
          <w:sz w:val="12"/>
        </w:rPr>
        <w:t>2</w:t>
      </w:r>
      <w:r>
        <w:rPr>
          <w:sz w:val="24"/>
        </w:rPr>
        <w:t>%). The estimate for 1999 is 1 percentage point lower than at the time of the August </w:t>
      </w:r>
      <w:r>
        <w:rPr>
          <w:i/>
          <w:sz w:val="24"/>
        </w:rPr>
        <w:t>Report</w:t>
      </w:r>
      <w:r>
        <w:rPr>
          <w:sz w:val="24"/>
        </w:rPr>
        <w:t>. Overall, the forecasters assign a 21% probability to output growth falling below zero in the year to 1999 Q4, compared with 9% in the July survey.</w:t>
      </w:r>
    </w:p>
    <w:p>
      <w:pPr>
        <w:pStyle w:val="BodyText"/>
        <w:rPr>
          <w:sz w:val="26"/>
        </w:rPr>
      </w:pPr>
    </w:p>
    <w:p>
      <w:pPr>
        <w:pStyle w:val="BodyText"/>
        <w:rPr>
          <w:sz w:val="26"/>
        </w:rPr>
      </w:pPr>
    </w:p>
    <w:p>
      <w:pPr>
        <w:pStyle w:val="BodyText"/>
        <w:rPr>
          <w:sz w:val="26"/>
        </w:rPr>
      </w:pPr>
    </w:p>
    <w:p>
      <w:pPr>
        <w:pStyle w:val="BodyText"/>
        <w:rPr>
          <w:sz w:val="26"/>
        </w:rPr>
      </w:pPr>
    </w:p>
    <w:p>
      <w:pPr>
        <w:spacing w:line="242" w:lineRule="auto" w:before="221"/>
        <w:ind w:left="169" w:right="309" w:firstLine="0"/>
        <w:jc w:val="left"/>
        <w:rPr>
          <w:b/>
          <w:sz w:val="24"/>
        </w:rPr>
      </w:pPr>
      <w:r>
        <w:rPr>
          <w:b/>
          <w:sz w:val="24"/>
        </w:rPr>
        <w:t>The implications of the latest projections for the stance of monetary policy are discussed in the</w:t>
      </w:r>
    </w:p>
    <w:p>
      <w:pPr>
        <w:spacing w:after="0" w:line="242" w:lineRule="auto"/>
        <w:jc w:val="left"/>
        <w:rPr>
          <w:sz w:val="24"/>
        </w:rPr>
        <w:sectPr>
          <w:type w:val="continuous"/>
          <w:pgSz w:w="11900" w:h="16840"/>
          <w:pgMar w:top="1220" w:bottom="280" w:left="620" w:right="520"/>
          <w:cols w:num="2" w:equalWidth="0">
            <w:col w:w="4443" w:space="347"/>
            <w:col w:w="5970"/>
          </w:cols>
        </w:sectPr>
      </w:pPr>
    </w:p>
    <w:p>
      <w:pPr>
        <w:spacing w:before="105"/>
        <w:ind w:left="170" w:right="0" w:firstLine="0"/>
        <w:jc w:val="left"/>
        <w:rPr>
          <w:sz w:val="12"/>
        </w:rPr>
      </w:pPr>
      <w:r>
        <w:rPr>
          <w:sz w:val="12"/>
        </w:rPr>
        <w:t>(b)</w:t>
      </w:r>
    </w:p>
    <w:p>
      <w:pPr>
        <w:spacing w:line="208" w:lineRule="auto" w:before="0"/>
        <w:ind w:left="100" w:right="21" w:hanging="1"/>
        <w:jc w:val="left"/>
        <w:rPr>
          <w:sz w:val="12"/>
        </w:rPr>
      </w:pPr>
      <w:r>
        <w:rPr/>
        <w:br w:type="column"/>
      </w:r>
      <w:r>
        <w:rPr>
          <w:sz w:val="12"/>
        </w:rPr>
        <w:t>may not sum to 100 because of rounding. 26 forecasters.</w:t>
      </w:r>
    </w:p>
    <w:p>
      <w:pPr>
        <w:spacing w:line="266" w:lineRule="exact" w:before="0"/>
        <w:ind w:left="170" w:right="0" w:firstLine="0"/>
        <w:jc w:val="left"/>
        <w:rPr>
          <w:b/>
          <w:sz w:val="24"/>
        </w:rPr>
      </w:pPr>
      <w:r>
        <w:rPr/>
        <w:br w:type="column"/>
      </w:r>
      <w:r>
        <w:rPr>
          <w:b/>
          <w:sz w:val="24"/>
        </w:rPr>
        <w:t>Overview at the beginning of the </w:t>
      </w:r>
      <w:r>
        <w:rPr>
          <w:b/>
          <w:i/>
          <w:color w:val="231F20"/>
          <w:sz w:val="24"/>
        </w:rPr>
        <w:t>Report</w:t>
      </w:r>
      <w:r>
        <w:rPr>
          <w:b/>
          <w:color w:val="231F20"/>
          <w:sz w:val="24"/>
        </w:rPr>
        <w:t>.</w:t>
      </w:r>
    </w:p>
    <w:p>
      <w:pPr>
        <w:spacing w:after="0" w:line="266" w:lineRule="exact"/>
        <w:jc w:val="left"/>
        <w:rPr>
          <w:sz w:val="24"/>
        </w:rPr>
        <w:sectPr>
          <w:type w:val="continuous"/>
          <w:pgSz w:w="11900" w:h="16840"/>
          <w:pgMar w:top="1220" w:bottom="280" w:left="620" w:right="520"/>
          <w:cols w:num="3" w:equalWidth="0">
            <w:col w:w="310" w:space="40"/>
            <w:col w:w="2127" w:space="2313"/>
            <w:col w:w="5970"/>
          </w:cols>
        </w:sectPr>
      </w:pPr>
    </w:p>
    <w:p>
      <w:pPr>
        <w:pStyle w:val="BodyText"/>
        <w:rPr>
          <w:b/>
          <w:sz w:val="20"/>
        </w:rPr>
      </w:pPr>
      <w:r>
        <w:rPr/>
        <w:pict>
          <v:group style="position:absolute;margin-left:39pt;margin-top:39.669998pt;width:517pt;height:740.35pt;mso-position-horizontal-relative:page;mso-position-vertical-relative:page;z-index:-21369856" coordorigin="780,793" coordsize="10340,14807">
            <v:shape style="position:absolute;left:940;top:953;width:10020;height:14487" coordorigin="940,953" coordsize="10020,14487" path="m10960,953l5964,953,5936,953,940,953,940,8168,940,8226,940,15440,5936,15440,5964,15440,10960,15440,10960,8225,10960,8168,10960,953xe" filled="true" fillcolor="#c3e0dc" stroked="false">
              <v:path arrowok="t"/>
              <v:fill type="solid"/>
            </v:shape>
            <v:shape style="position:absolute;left:1016;top:1073;width:9867;height:14248" coordorigin="1017,1073" coordsize="9867,14248" path="m5950,1073l1017,8197,5950,15320,10883,8197,5950,1073xe" filled="true" fillcolor="#c4e1dd" stroked="false">
              <v:path arrowok="t"/>
              <v:fill type="solid"/>
            </v:shape>
            <v:shape style="position:absolute;left:1113;top:1212;width:9673;height:13968" coordorigin="1113,1213" coordsize="9673,13968" path="m5950,1213l1113,8197,5950,15180,10786,8197,5950,1213xe" filled="true" fillcolor="#c5e1dd" stroked="false">
              <v:path arrowok="t"/>
              <v:fill type="solid"/>
            </v:shape>
            <v:shape style="position:absolute;left:1210;top:1352;width:9480;height:13689" coordorigin="1210,1352" coordsize="9480,13689" path="m5950,1352l1210,8197,5950,15041,10690,8197,5950,1352xe" filled="true" fillcolor="#c6e2de" stroked="false">
              <v:path arrowok="t"/>
              <v:fill type="solid"/>
            </v:shape>
            <v:shape style="position:absolute;left:1306;top:1492;width:9286;height:13410" coordorigin="1307,1492" coordsize="9286,13410" path="m5950,1492l1307,8197,5950,14901,10593,8197,5950,1492xe" filled="true" fillcolor="#c7e2df" stroked="false">
              <v:path arrowok="t"/>
              <v:fill type="solid"/>
            </v:shape>
            <v:shape style="position:absolute;left:1403;top:1631;width:9093;height:13130" coordorigin="1404,1632" coordsize="9093,13130" path="m5950,1632l1404,8197,5950,14761,10496,8197,5950,1632xe" filled="true" fillcolor="#c8e3df" stroked="false">
              <v:path arrowok="t"/>
              <v:fill type="solid"/>
            </v:shape>
            <v:shape style="position:absolute;left:1500;top:1771;width:8900;height:12851" coordorigin="1500,1771" coordsize="8900,12851" path="m5950,1771l1500,8197,5950,14622,10399,8197,5950,1771xe" filled="true" fillcolor="#c9e3e0" stroked="false">
              <v:path arrowok="t"/>
              <v:fill type="solid"/>
            </v:shape>
            <v:shape style="position:absolute;left:1597;top:1911;width:8706;height:12571" coordorigin="1597,1911" coordsize="8706,12571" path="m5950,1911l1597,8197,5950,14482,10303,8197,5950,1911xe" filled="true" fillcolor="#cae4e0" stroked="false">
              <v:path arrowok="t"/>
              <v:fill type="solid"/>
            </v:shape>
            <v:shape style="position:absolute;left:1693;top:2050;width:8513;height:12292" coordorigin="1694,2051" coordsize="8513,12292" path="m5950,2051l1694,8197,5950,14342,10206,8197,5950,2051xe" filled="true" fillcolor="#cbe4e1" stroked="false">
              <v:path arrowok="t"/>
              <v:fill type="solid"/>
            </v:shape>
            <v:shape style="position:absolute;left:1790;top:2190;width:8319;height:12013" coordorigin="1791,2191" coordsize="8319,12013" path="m5950,2191l1791,8197,5950,14203,10109,8197,5950,2191xe" filled="true" fillcolor="#cce5e1" stroked="false">
              <v:path arrowok="t"/>
              <v:fill type="solid"/>
            </v:shape>
            <v:shape style="position:absolute;left:1887;top:2330;width:8126;height:11733" coordorigin="1887,2330" coordsize="8126,11733" path="m5950,2330l1887,8197,5950,14063,10012,8197,5950,2330xe" filled="true" fillcolor="#cde5e2" stroked="false">
              <v:path arrowok="t"/>
              <v:fill type="solid"/>
            </v:shape>
            <v:shape style="position:absolute;left:1984;top:2469;width:7932;height:11454" coordorigin="1984,2470" coordsize="7932,11454" path="m5950,2470l1984,8197,5950,13923,9916,8197,5950,2470xe" filled="true" fillcolor="#cee6e3" stroked="false">
              <v:path arrowok="t"/>
              <v:fill type="solid"/>
            </v:shape>
            <v:shape style="position:absolute;left:2080;top:2609;width:7739;height:11175" coordorigin="2081,2610" coordsize="7739,11175" path="m5950,2610l2081,8197,5950,13784,9819,8197,5950,2610xe" filled="true" fillcolor="#cfe6e3" stroked="false">
              <v:path arrowok="t"/>
              <v:fill type="solid"/>
            </v:shape>
            <v:shape style="position:absolute;left:2177;top:2749;width:7545;height:10895" coordorigin="2177,2749" coordsize="7545,10895" path="m5950,2749l2177,8197,5950,13644,9722,8197,5950,2749xe" filled="true" fillcolor="#d0e7e4" stroked="false">
              <v:path arrowok="t"/>
              <v:fill type="solid"/>
            </v:shape>
            <v:shape style="position:absolute;left:2274;top:2888;width:7352;height:10616" coordorigin="2274,2889" coordsize="7352,10616" path="m5950,2889l2274,8197,5950,13504,9626,8197,5950,2889xe" filled="true" fillcolor="#d1e7e4" stroked="false">
              <v:path arrowok="t"/>
              <v:fill type="solid"/>
            </v:shape>
            <v:shape style="position:absolute;left:2370;top:3028;width:7158;height:10337" coordorigin="2371,3029" coordsize="7158,10337" path="m5950,3029l2371,8197,5950,13365,9529,8197,5950,3029xe" filled="true" fillcolor="#d3e8e5" stroked="false">
              <v:path arrowok="t"/>
              <v:fill type="solid"/>
            </v:shape>
            <v:shape style="position:absolute;left:2467;top:3168;width:6965;height:10057" coordorigin="2468,3168" coordsize="6965,10057" path="m5950,3168l2468,8197,5950,13225,9432,8197,5950,3168xe" filled="true" fillcolor="#d4e8e5" stroked="false">
              <v:path arrowok="t"/>
              <v:fill type="solid"/>
            </v:shape>
            <v:shape style="position:absolute;left:2564;top:3307;width:6771;height:9778" coordorigin="2564,3308" coordsize="6771,9778" path="m5950,3308l2564,8197,5950,13085,9335,8197,5950,3308xe" filled="true" fillcolor="#d5e9e6" stroked="false">
              <v:path arrowok="t"/>
              <v:fill type="solid"/>
            </v:shape>
            <v:shape style="position:absolute;left:2661;top:3447;width:6578;height:9499" coordorigin="2661,3448" coordsize="6578,9499" path="m5950,3448l2661,8197,5950,12946,9239,8197,5950,3448xe" filled="true" fillcolor="#d6eae7" stroked="false">
              <v:path arrowok="t"/>
              <v:fill type="solid"/>
            </v:shape>
            <v:shape style="position:absolute;left:2757;top:3587;width:6385;height:9219" coordorigin="2758,3587" coordsize="6385,9219" path="m5950,3587l2758,8197,5950,12806,9142,8197,5950,3587xe" filled="true" fillcolor="#d7eae7" stroked="false">
              <v:path arrowok="t"/>
              <v:fill type="solid"/>
            </v:shape>
            <v:shape style="position:absolute;left:2854;top:3726;width:6191;height:8940" coordorigin="2855,3727" coordsize="6191,8940" path="m5950,3727l2855,8197,5950,12666,9045,8197,5950,3727xe" filled="true" fillcolor="#d8ebe8" stroked="false">
              <v:path arrowok="t"/>
              <v:fill type="solid"/>
            </v:shape>
            <v:shape style="position:absolute;left:2951;top:3866;width:5998;height:8660" coordorigin="2951,3867" coordsize="5998,8660" path="m5950,3867l2951,8197,5950,12527,8948,8197,5950,3867xe" filled="true" fillcolor="#d9ebe8" stroked="false">
              <v:path arrowok="t"/>
              <v:fill type="solid"/>
            </v:shape>
            <v:shape style="position:absolute;left:3048;top:4006;width:5804;height:8381" coordorigin="3048,4006" coordsize="5804,8381" path="m5950,4006l3048,8197,5950,12387,8852,8197,5950,4006xe" filled="true" fillcolor="#daece9" stroked="false">
              <v:path arrowok="t"/>
              <v:fill type="solid"/>
            </v:shape>
            <v:shape style="position:absolute;left:3144;top:4145;width:5611;height:8102" coordorigin="3145,4146" coordsize="5611,8102" path="m5950,4146l3145,8197,5950,12247,8755,8197,5950,4146xe" filled="true" fillcolor="#dbece9" stroked="false">
              <v:path arrowok="t"/>
              <v:fill type="solid"/>
            </v:shape>
            <v:shape style="position:absolute;left:3241;top:4285;width:5417;height:7822" coordorigin="3241,4286" coordsize="5417,7822" path="m5950,4286l3241,8197,5950,12108,8658,8197,5950,4286xe" filled="true" fillcolor="#dcedea" stroked="false">
              <v:path arrowok="t"/>
              <v:fill type="solid"/>
            </v:shape>
            <v:shape style="position:absolute;left:3338;top:4425;width:5224;height:7543" coordorigin="3338,4425" coordsize="5224,7543" path="m5950,4425l3338,8197,5950,11968,8562,8197,5950,4425xe" filled="true" fillcolor="#ddedeb" stroked="false">
              <v:path arrowok="t"/>
              <v:fill type="solid"/>
            </v:shape>
            <v:shape style="position:absolute;left:3434;top:4565;width:5030;height:7264" coordorigin="3435,4565" coordsize="5030,7264" path="m5950,4565l3435,8197,5950,11828,8465,8197,5950,4565xe" filled="true" fillcolor="#deeeeb" stroked="false">
              <v:path arrowok="t"/>
              <v:fill type="solid"/>
            </v:shape>
            <v:shape style="position:absolute;left:3531;top:4704;width:4837;height:6984" coordorigin="3532,4705" coordsize="4837,6984" path="m5950,4705l3532,8197,5950,11689,8368,8197,5950,4705xe" filled="true" fillcolor="#e0efec" stroked="false">
              <v:path arrowok="t"/>
              <v:fill type="solid"/>
            </v:shape>
            <v:shape style="position:absolute;left:3628;top:4844;width:4643;height:6705" coordorigin="3628,4844" coordsize="4643,6705" path="m5950,4844l3628,8197,5950,11549,8271,8197,5950,4844xe" filled="true" fillcolor="#e1efec" stroked="false">
              <v:path arrowok="t"/>
              <v:fill type="solid"/>
            </v:shape>
            <v:shape style="position:absolute;left:3725;top:4984;width:4450;height:6426" coordorigin="3725,4984" coordsize="4450,6426" path="m5950,4984l3725,8197,5950,11409,8175,8197,5950,4984xe" filled="true" fillcolor="#e2f0ed" stroked="false">
              <v:path arrowok="t"/>
              <v:fill type="solid"/>
            </v:shape>
            <v:shape style="position:absolute;left:3821;top:5123;width:4257;height:6146" coordorigin="3822,5124" coordsize="4257,6146" path="m5950,5124l3822,8197,5950,11270,8078,8197,5950,5124xe" filled="true" fillcolor="#e3f0ee" stroked="false">
              <v:path arrowok="t"/>
              <v:fill type="solid"/>
            </v:shape>
            <v:shape style="position:absolute;left:3918;top:5263;width:4063;height:5867" coordorigin="3919,5263" coordsize="4063,5867" path="m5950,5263l3919,8197,5950,11130,7981,8197,5950,5263xe" filled="true" fillcolor="#e4f1ee" stroked="false">
              <v:path arrowok="t"/>
              <v:fill type="solid"/>
            </v:shape>
            <v:shape style="position:absolute;left:4015;top:5403;width:3870;height:5588" coordorigin="4015,5403" coordsize="3870,5588" path="m5950,5403l4015,8197,5950,10990,7884,8197,5950,5403xe" filled="true" fillcolor="#e5f1ef" stroked="false">
              <v:path arrowok="t"/>
              <v:fill type="solid"/>
            </v:shape>
            <v:shape style="position:absolute;left:4112;top:5542;width:3676;height:5308" coordorigin="4112,5543" coordsize="3676,5308" path="m5950,5543l4112,8197,5950,10851,7788,8197,5950,5543xe" filled="true" fillcolor="#e6f2ef" stroked="false">
              <v:path arrowok="t"/>
              <v:fill type="solid"/>
            </v:shape>
            <v:shape style="position:absolute;left:4208;top:5682;width:3483;height:5029" coordorigin="4209,5682" coordsize="3483,5029" path="m5950,5682l4209,8197,5950,10711,7691,8197,5950,5682xe" filled="true" fillcolor="#e7f3f0" stroked="false">
              <v:path arrowok="t"/>
              <v:fill type="solid"/>
            </v:shape>
            <v:shape style="position:absolute;left:4305;top:5822;width:3289;height:4750" coordorigin="4305,5822" coordsize="3289,4750" path="m5950,5822l4305,8197,5950,10571,7594,8197,5950,5822xe" filled="true" fillcolor="#e9f3f1" stroked="false">
              <v:path arrowok="t"/>
              <v:fill type="solid"/>
            </v:shape>
            <v:shape style="position:absolute;left:4402;top:5961;width:3096;height:4470" coordorigin="4402,5962" coordsize="3096,4470" path="m5950,5962l4402,8197,5950,10431,7498,8197,5950,5962xe" filled="true" fillcolor="#eaf4f2" stroked="false">
              <v:path arrowok="t"/>
              <v:fill type="solid"/>
            </v:shape>
            <v:shape style="position:absolute;left:4498;top:6101;width:2902;height:4191" coordorigin="4499,6101" coordsize="2902,4191" path="m5950,6101l4499,8197,5950,10292,7401,8197,5950,6101xe" filled="true" fillcolor="#ebf4f2" stroked="false">
              <v:path arrowok="t"/>
              <v:fill type="solid"/>
            </v:shape>
            <v:shape style="position:absolute;left:4595;top:6241;width:2709;height:3911" coordorigin="4596,6241" coordsize="2709,3911" path="m5950,6241l4596,8197,5950,10152,7304,8197,5950,6241xe" filled="true" fillcolor="#ecf5f3" stroked="false">
              <v:path arrowok="t"/>
              <v:fill type="solid"/>
            </v:shape>
            <v:shape style="position:absolute;left:4692;top:6380;width:2515;height:3632" coordorigin="4692,6381" coordsize="2515,3632" path="m5950,6381l4692,8197,5950,10012,7207,8197,5950,6381xe" filled="true" fillcolor="#edf6f4" stroked="false">
              <v:path arrowok="t"/>
              <v:fill type="solid"/>
            </v:shape>
            <v:shape style="position:absolute;left:4789;top:6520;width:2322;height:3353" coordorigin="4789,6521" coordsize="2322,3353" path="m5950,6521l4789,8197,5950,9873,7111,8197,5950,6521xe" filled="true" fillcolor="#eff7f5" stroked="false">
              <v:path arrowok="t"/>
              <v:fill type="solid"/>
            </v:shape>
            <v:shape style="position:absolute;left:4885;top:6660;width:2129;height:3073" coordorigin="4886,6660" coordsize="2129,3073" path="m5950,6660l4886,8197,5950,9733,7014,8197,5950,6660xe" filled="true" fillcolor="#f0f7f5" stroked="false">
              <v:path arrowok="t"/>
              <v:fill type="solid"/>
            </v:shape>
            <v:shape style="position:absolute;left:4982;top:6799;width:1935;height:2794" coordorigin="4983,6800" coordsize="1935,2794" path="m5950,6800l4983,8197,5950,9593,6917,8197,5950,6800xe" filled="true" fillcolor="#f1f8f6" stroked="false">
              <v:path arrowok="t"/>
              <v:fill type="solid"/>
            </v:shape>
            <v:shape style="position:absolute;left:5079;top:6939;width:1742;height:2515" coordorigin="5079,6940" coordsize="1742,2515" path="m5950,6940l5079,8197,5950,9454,6820,8197,5950,6940xe" filled="true" fillcolor="#f2f8f7" stroked="false">
              <v:path arrowok="t"/>
              <v:fill type="solid"/>
            </v:shape>
            <v:shape style="position:absolute;left:5176;top:7079;width:1548;height:2235" coordorigin="5176,7079" coordsize="1548,2235" path="m5950,7079l5176,8197,5950,9314,6724,8197,5950,7079xe" filled="true" fillcolor="#f3f9f8" stroked="false">
              <v:path arrowok="t"/>
              <v:fill type="solid"/>
            </v:shape>
            <v:shape style="position:absolute;left:5272;top:7218;width:1355;height:1956" coordorigin="5273,7219" coordsize="1355,1956" path="m5950,7219l5273,8197,5950,9174,6627,8197,5950,7219xe" filled="true" fillcolor="#f5f9f8" stroked="false">
              <v:path arrowok="t"/>
              <v:fill type="solid"/>
            </v:shape>
            <v:shape style="position:absolute;left:5369;top:7358;width:1161;height:1677" coordorigin="5370,7359" coordsize="1161,1677" path="m5950,7359l5370,8197,5950,9035,6530,8197,5950,7359xe" filled="true" fillcolor="#f6faf9" stroked="false">
              <v:path arrowok="t"/>
              <v:fill type="solid"/>
            </v:shape>
            <v:shape style="position:absolute;left:5466;top:7498;width:968;height:1397" coordorigin="5466,7498" coordsize="968,1397" path="m5950,7498l5466,8197,5950,8895,6434,8197,5950,7498xe" filled="true" fillcolor="#f8fbfa" stroked="false">
              <v:path arrowok="t"/>
              <v:fill type="solid"/>
            </v:shape>
            <v:shape style="position:absolute;left:5562;top:7637;width:774;height:1118" coordorigin="5563,7638" coordsize="774,1118" path="m5950,7638l5563,8197,5950,8755,6337,8197,5950,7638xe" filled="true" fillcolor="#f9fcfc" stroked="false">
              <v:path arrowok="t"/>
              <v:fill type="solid"/>
            </v:shape>
            <v:shape style="position:absolute;left:5659;top:7777;width:581;height:839" coordorigin="5660,7778" coordsize="581,839" path="m5950,7778l5660,8197,5950,8616,6240,8197,5950,7778xe" filled="true" fillcolor="#fbfdfd" stroked="false">
              <v:path arrowok="t"/>
              <v:fill type="solid"/>
            </v:shape>
            <v:shape style="position:absolute;left:5756;top:7917;width:387;height:559" coordorigin="5756,7917" coordsize="387,559" path="m5950,7917l5756,8197,5950,8476,6143,8197,5950,7917xe" filled="true" fillcolor="#fdfefe" stroked="false">
              <v:path arrowok="t"/>
              <v:fill type="solid"/>
            </v:shape>
            <v:shape style="position:absolute;left:5853;top:8056;width:194;height:280" coordorigin="5853,8057" coordsize="194,280" path="m5950,8057l5853,8197,5950,8336,6047,8197,5950,8057xe" filled="true" fillcolor="#ffffff" stroked="false">
              <v:path arrowok="t"/>
              <v:fill type="solid"/>
            </v:shape>
            <v:rect style="position:absolute;left:820;top:833;width:10260;height:14727" filled="false" stroked="true" strokeweight="4pt" strokecolor="#009483">
              <v:stroke dashstyle="solid"/>
            </v:rect>
            <v:rect style="position:absolute;left:926;top:939;width:10048;height:14515" filled="false" stroked="true" strokeweight="1.37pt" strokecolor="#009483">
              <v:stroke dashstyle="solid"/>
            </v:rect>
            <v:rect style="position:absolute;left:1533;top:1473;width:8840;height:13460" filled="false" stroked="true" strokeweight="2pt" strokecolor="#009483">
              <v:stroke dashstyle="solid"/>
            </v:rect>
            <v:rect style="position:absolute;left:1587;top:1527;width:8733;height:13353" filled="false" stroked="true" strokeweight=".62pt" strokecolor="#009483">
              <v:stroke dashstyle="solid"/>
            </v:rect>
            <v:shape style="position:absolute;left:3078;top:7233;width:5863;height:5887" type="#_x0000_t75" stroked="false">
              <v:imagedata r:id="rId111" o:title=""/>
            </v:shape>
            <w10:wrap type="none"/>
          </v:group>
        </w:pict>
      </w:r>
    </w:p>
    <w:p>
      <w:pPr>
        <w:pStyle w:val="BodyText"/>
        <w:rPr>
          <w:b/>
          <w:sz w:val="20"/>
        </w:rPr>
      </w:pPr>
    </w:p>
    <w:p>
      <w:pPr>
        <w:pStyle w:val="BodyText"/>
        <w:rPr>
          <w:b/>
          <w:sz w:val="20"/>
        </w:rPr>
      </w:pPr>
    </w:p>
    <w:p>
      <w:pPr>
        <w:pStyle w:val="BodyText"/>
        <w:rPr>
          <w:b/>
          <w:sz w:val="20"/>
        </w:rPr>
      </w:pPr>
    </w:p>
    <w:p>
      <w:pPr>
        <w:pStyle w:val="BodyText"/>
        <w:rPr>
          <w:b/>
          <w:sz w:val="20"/>
        </w:rPr>
      </w:pPr>
    </w:p>
    <w:p>
      <w:pPr>
        <w:spacing w:line="665" w:lineRule="exact" w:before="212"/>
        <w:ind w:left="1991" w:right="1978" w:firstLine="0"/>
        <w:jc w:val="center"/>
        <w:rPr>
          <w:b/>
          <w:sz w:val="60"/>
        </w:rPr>
      </w:pPr>
      <w:bookmarkStart w:name="Monetary Policy Committee meeting minute" w:id="85"/>
      <w:bookmarkEnd w:id="85"/>
      <w:r>
        <w:rPr/>
      </w:r>
      <w:bookmarkStart w:name="_bookmark31" w:id="86"/>
      <w:bookmarkEnd w:id="86"/>
      <w:r>
        <w:rPr/>
      </w:r>
      <w:r>
        <w:rPr>
          <w:b/>
          <w:color w:val="231F20"/>
          <w:sz w:val="60"/>
        </w:rPr>
        <w:t>Annex:</w:t>
      </w:r>
    </w:p>
    <w:p>
      <w:pPr>
        <w:spacing w:line="223" w:lineRule="auto" w:before="15"/>
        <w:ind w:left="1995" w:right="1978" w:firstLine="0"/>
        <w:jc w:val="center"/>
        <w:rPr>
          <w:b/>
          <w:sz w:val="60"/>
        </w:rPr>
      </w:pPr>
      <w:r>
        <w:rPr>
          <w:b/>
          <w:color w:val="231F20"/>
          <w:sz w:val="60"/>
        </w:rPr>
        <w:t>Minutes and Press Notices of the monthly</w:t>
      </w:r>
    </w:p>
    <w:p>
      <w:pPr>
        <w:spacing w:line="223" w:lineRule="auto" w:before="0"/>
        <w:ind w:left="1754" w:right="1738" w:firstLine="0"/>
        <w:jc w:val="center"/>
        <w:rPr>
          <w:b/>
          <w:sz w:val="60"/>
        </w:rPr>
      </w:pPr>
      <w:r>
        <w:rPr>
          <w:b/>
          <w:color w:val="231F20"/>
          <w:sz w:val="60"/>
        </w:rPr>
        <w:t>Monetary Policy Committee meetings</w:t>
      </w:r>
    </w:p>
    <w:p>
      <w:pPr>
        <w:spacing w:after="0" w:line="223" w:lineRule="auto"/>
        <w:jc w:val="center"/>
        <w:rPr>
          <w:sz w:val="60"/>
        </w:rPr>
        <w:sectPr>
          <w:headerReference w:type="default" r:id="rId108"/>
          <w:footerReference w:type="default" r:id="rId109"/>
          <w:footerReference w:type="even" r:id="rId110"/>
          <w:pgSz w:w="11900" w:h="16840"/>
          <w:pgMar w:header="0" w:footer="597" w:top="800" w:bottom="780" w:left="620" w:right="520"/>
          <w:pgNumType w:start="51"/>
        </w:sectPr>
      </w:pPr>
    </w:p>
    <w:p>
      <w:pPr>
        <w:pStyle w:val="BodyText"/>
        <w:rPr>
          <w:b/>
          <w:sz w:val="20"/>
        </w:rPr>
      </w:pPr>
    </w:p>
    <w:p>
      <w:pPr>
        <w:pStyle w:val="BodyText"/>
        <w:rPr>
          <w:b/>
          <w:sz w:val="20"/>
        </w:rPr>
      </w:pPr>
    </w:p>
    <w:p>
      <w:pPr>
        <w:pStyle w:val="BodyText"/>
        <w:spacing w:before="2"/>
        <w:rPr>
          <w:b/>
          <w:sz w:val="20"/>
        </w:rPr>
      </w:pPr>
    </w:p>
    <w:p>
      <w:pPr>
        <w:spacing w:before="86"/>
        <w:ind w:left="190" w:right="0" w:firstLine="0"/>
        <w:jc w:val="left"/>
        <w:rPr>
          <w:b/>
          <w:sz w:val="32"/>
        </w:rPr>
      </w:pPr>
      <w:bookmarkStart w:name="August minutes" w:id="87"/>
      <w:bookmarkEnd w:id="87"/>
      <w:r>
        <w:rPr/>
      </w:r>
      <w:bookmarkStart w:name="_bookmark32" w:id="88"/>
      <w:bookmarkEnd w:id="88"/>
      <w:r>
        <w:rPr/>
      </w:r>
      <w:r>
        <w:rPr>
          <w:b/>
          <w:color w:val="009483"/>
          <w:sz w:val="32"/>
        </w:rPr>
        <w:t>Minutes of the Monetary Policy Committee meeting on 5–6 August 1998</w:t>
      </w:r>
    </w:p>
    <w:p>
      <w:pPr>
        <w:pStyle w:val="BodyText"/>
        <w:rPr>
          <w:b/>
          <w:sz w:val="28"/>
        </w:rPr>
      </w:pPr>
    </w:p>
    <w:p>
      <w:pPr>
        <w:spacing w:after="0"/>
        <w:rPr>
          <w:sz w:val="28"/>
        </w:rPr>
        <w:sectPr>
          <w:headerReference w:type="even" r:id="rId112"/>
          <w:headerReference w:type="default" r:id="rId113"/>
          <w:pgSz w:w="11900" w:h="16840"/>
          <w:pgMar w:header="566" w:footer="597" w:top="760" w:bottom="780" w:left="620" w:right="520"/>
        </w:sectPr>
      </w:pPr>
    </w:p>
    <w:p>
      <w:pPr>
        <w:pStyle w:val="ListParagraph"/>
        <w:numPr>
          <w:ilvl w:val="0"/>
          <w:numId w:val="38"/>
        </w:numPr>
        <w:tabs>
          <w:tab w:pos="659" w:val="left" w:leader="none"/>
          <w:tab w:pos="661" w:val="left" w:leader="none"/>
        </w:tabs>
        <w:spacing w:line="232" w:lineRule="auto" w:before="98" w:after="0"/>
        <w:ind w:left="180" w:right="42" w:firstLine="0"/>
        <w:jc w:val="left"/>
        <w:rPr>
          <w:sz w:val="18"/>
        </w:rPr>
      </w:pPr>
      <w:r>
        <w:rPr>
          <w:color w:val="231F20"/>
          <w:sz w:val="18"/>
        </w:rPr>
        <w:t>In reviewing recent news in the course of finalising its August inflation forecast and taking its immediate policy decision, the Committee discussed the international environment and </w:t>
      </w:r>
      <w:r>
        <w:rPr>
          <w:color w:val="231F20"/>
          <w:spacing w:val="-3"/>
          <w:sz w:val="18"/>
        </w:rPr>
        <w:t>external </w:t>
      </w:r>
      <w:r>
        <w:rPr>
          <w:color w:val="231F20"/>
          <w:sz w:val="18"/>
        </w:rPr>
        <w:t>price developments; the evidence from official data of a slowdown in domestic demand and output growth; indicators of the future path of output, including recent surveys; labour market conditions, and the implications of the National Minimum Wage; the Government’s recent spending announcements; monetary conditions; and recent outside forecasts.</w:t>
      </w:r>
    </w:p>
    <w:p>
      <w:pPr>
        <w:pStyle w:val="BodyText"/>
        <w:spacing w:before="9"/>
        <w:rPr>
          <w:sz w:val="21"/>
        </w:rPr>
      </w:pPr>
    </w:p>
    <w:p>
      <w:pPr>
        <w:pStyle w:val="Heading6"/>
        <w:ind w:left="180"/>
      </w:pPr>
      <w:r>
        <w:rPr>
          <w:color w:val="009483"/>
        </w:rPr>
        <w:t>The international environment</w:t>
      </w:r>
    </w:p>
    <w:p>
      <w:pPr>
        <w:pStyle w:val="ListParagraph"/>
        <w:numPr>
          <w:ilvl w:val="0"/>
          <w:numId w:val="38"/>
        </w:numPr>
        <w:tabs>
          <w:tab w:pos="659" w:val="left" w:leader="none"/>
          <w:tab w:pos="661" w:val="left" w:leader="none"/>
        </w:tabs>
        <w:spacing w:line="232" w:lineRule="auto" w:before="110" w:after="0"/>
        <w:ind w:left="180" w:right="197" w:firstLine="0"/>
        <w:jc w:val="left"/>
        <w:rPr>
          <w:sz w:val="18"/>
        </w:rPr>
      </w:pPr>
      <w:r>
        <w:rPr>
          <w:color w:val="231F20"/>
          <w:sz w:val="18"/>
        </w:rPr>
        <w:t>The Committee discussed the international environment against the background of its August </w:t>
      </w:r>
      <w:r>
        <w:rPr>
          <w:i/>
          <w:color w:val="231F20"/>
          <w:sz w:val="18"/>
        </w:rPr>
        <w:t>Inflation Report</w:t>
      </w:r>
      <w:r>
        <w:rPr>
          <w:color w:val="231F20"/>
          <w:sz w:val="18"/>
        </w:rPr>
        <w:t>. It agreed that the outlook for Japan and the rest of Asia had not changed much since its July meeting; the Japanese economy was certainly no better, and if anything perhaps slightly worse. By contrast Europe was still thought likely to grow in line with the May forecast assumptions.</w:t>
      </w:r>
    </w:p>
    <w:p>
      <w:pPr>
        <w:pStyle w:val="BodyText"/>
        <w:spacing w:before="7"/>
      </w:pPr>
    </w:p>
    <w:p>
      <w:pPr>
        <w:pStyle w:val="ListParagraph"/>
        <w:numPr>
          <w:ilvl w:val="0"/>
          <w:numId w:val="38"/>
        </w:numPr>
        <w:tabs>
          <w:tab w:pos="659" w:val="left" w:leader="none"/>
          <w:tab w:pos="661" w:val="left" w:leader="none"/>
        </w:tabs>
        <w:spacing w:line="232" w:lineRule="auto" w:before="0" w:after="0"/>
        <w:ind w:left="180" w:right="93" w:firstLine="0"/>
        <w:jc w:val="left"/>
        <w:rPr>
          <w:sz w:val="18"/>
        </w:rPr>
      </w:pPr>
      <w:r>
        <w:rPr>
          <w:color w:val="231F20"/>
          <w:sz w:val="18"/>
        </w:rPr>
        <w:t>The US economy was key to global prospects, and members noted that while growth had so far broadly followed the path expected in May, the uncertainties about the outlook had increased. Output growth had slowed somewhat in Q2, reflecting weaker net trade and stockbuilding contributions. But domestic demand growth remained strong, and continued rises in employment and earnings were sustaining growth in real personal disposable incomes.  The outlook was potentially vulnerable to sudden change. The rate of broad money growth was still rising and unemployment was at historically low levels, possibly below the natural rate. It was accordingly plausible that domestically generated inflationary pressures were increasing. Headline inflation had perhaps so far been held down by benign external conditions and a strong dollar, as well as the high credibility of the Fed, which faced a delicate task in balancing domestic and international considerations.</w:t>
      </w:r>
    </w:p>
    <w:p>
      <w:pPr>
        <w:pStyle w:val="BodyText"/>
        <w:spacing w:before="1"/>
      </w:pPr>
    </w:p>
    <w:p>
      <w:pPr>
        <w:pStyle w:val="ListParagraph"/>
        <w:numPr>
          <w:ilvl w:val="0"/>
          <w:numId w:val="38"/>
        </w:numPr>
        <w:tabs>
          <w:tab w:pos="659" w:val="left" w:leader="none"/>
          <w:tab w:pos="661" w:val="left" w:leader="none"/>
        </w:tabs>
        <w:spacing w:line="232" w:lineRule="auto" w:before="0" w:after="0"/>
        <w:ind w:left="180" w:right="38" w:firstLine="0"/>
        <w:jc w:val="left"/>
        <w:rPr>
          <w:sz w:val="18"/>
        </w:rPr>
      </w:pPr>
      <w:r>
        <w:rPr>
          <w:color w:val="231F20"/>
          <w:sz w:val="18"/>
        </w:rPr>
        <w:t>Two particular risks were identified. First, that the US economy would turn down sharply in the face of an actual or expected tightening of monetary policy. Second, even in the absence of tighter monetary conditions, the equity market might fall. Equity prices were regarded by some commentators as reflecting highly optimistic expectations of corporate earnings growth as well as a much reduced equity risk premium (the extent to which equities were required to yield a higher return than government bonds on account of more uncertain returns). </w:t>
      </w:r>
      <w:r>
        <w:rPr>
          <w:color w:val="231F20"/>
          <w:spacing w:val="-3"/>
          <w:sz w:val="18"/>
        </w:rPr>
        <w:t>Arguably </w:t>
      </w:r>
      <w:r>
        <w:rPr>
          <w:color w:val="231F20"/>
          <w:sz w:val="18"/>
        </w:rPr>
        <w:t>the fall in the days leading up to the Committee’s meeting had increased the risk of a substantial fall in equity prices. But just as the probability and the scale of any market fall were uncertain, so were the consequences if it occurred. The macroeconomic impact of the large fall in October 1987 had in the event been small, although it was difficult to judge to what extent this was in fact due to offsetting effects from the loosening of monetary policy. However, the pattern of equity ownership had changed materially since then, partly through the growth of mutual funds, which had increased the personal sector’s near-direct holdings of equities. It was therefore possible that an equity market fall would now hit consumer confidence and consumption via reduced wealth more than had been the case in the past.</w:t>
      </w:r>
    </w:p>
    <w:p>
      <w:pPr>
        <w:pStyle w:val="BodyText"/>
        <w:spacing w:before="4"/>
        <w:rPr>
          <w:sz w:val="19"/>
        </w:rPr>
      </w:pPr>
    </w:p>
    <w:p>
      <w:pPr>
        <w:pStyle w:val="ListParagraph"/>
        <w:numPr>
          <w:ilvl w:val="0"/>
          <w:numId w:val="38"/>
        </w:numPr>
        <w:tabs>
          <w:tab w:pos="659" w:val="left" w:leader="none"/>
          <w:tab w:pos="661" w:val="left" w:leader="none"/>
        </w:tabs>
        <w:spacing w:line="232" w:lineRule="auto" w:before="0" w:after="0"/>
        <w:ind w:left="180" w:right="47" w:firstLine="0"/>
        <w:jc w:val="left"/>
        <w:rPr>
          <w:sz w:val="18"/>
        </w:rPr>
      </w:pPr>
      <w:r>
        <w:rPr>
          <w:color w:val="231F20"/>
          <w:sz w:val="18"/>
        </w:rPr>
        <w:t>The Committee felt that the balance of risks relating to </w:t>
      </w:r>
      <w:r>
        <w:rPr>
          <w:color w:val="231F20"/>
          <w:spacing w:val="-3"/>
          <w:sz w:val="18"/>
        </w:rPr>
        <w:t>future </w:t>
      </w:r>
      <w:r>
        <w:rPr>
          <w:color w:val="231F20"/>
          <w:sz w:val="18"/>
        </w:rPr>
        <w:t>activity in the US and Japan were on the downside of the</w:t>
      </w:r>
    </w:p>
    <w:p>
      <w:pPr>
        <w:pStyle w:val="BodyText"/>
        <w:spacing w:line="232" w:lineRule="auto"/>
        <w:ind w:left="180" w:right="330"/>
      </w:pPr>
      <w:r>
        <w:rPr>
          <w:color w:val="231F20"/>
        </w:rPr>
        <w:t>August central projection. It had therefore incorporated in its forecast a downside risk to UK output growth, and hence to inflation, from weaker than expected world activity in 1998 and 1999.</w:t>
      </w:r>
    </w:p>
    <w:p>
      <w:pPr>
        <w:pStyle w:val="ListParagraph"/>
        <w:numPr>
          <w:ilvl w:val="0"/>
          <w:numId w:val="38"/>
        </w:numPr>
        <w:tabs>
          <w:tab w:pos="659" w:val="left" w:leader="none"/>
          <w:tab w:pos="661" w:val="left" w:leader="none"/>
        </w:tabs>
        <w:spacing w:line="232" w:lineRule="auto" w:before="98" w:after="0"/>
        <w:ind w:left="180" w:right="844" w:firstLine="0"/>
        <w:jc w:val="left"/>
        <w:rPr>
          <w:sz w:val="18"/>
        </w:rPr>
      </w:pPr>
      <w:r>
        <w:rPr>
          <w:color w:val="231F20"/>
          <w:sz w:val="18"/>
        </w:rPr>
        <w:br w:type="column"/>
        <w:t>Also in the context of the external environment, the Committee noted that input price pressures remained </w:t>
      </w:r>
      <w:r>
        <w:rPr>
          <w:color w:val="231F20"/>
          <w:spacing w:val="-3"/>
          <w:sz w:val="18"/>
        </w:rPr>
        <w:t>benign </w:t>
      </w:r>
      <w:r>
        <w:rPr>
          <w:color w:val="231F20"/>
          <w:sz w:val="18"/>
        </w:rPr>
        <w:t>because of further falls in world commodity prices and the continuing adjustment of import prices to sterling’s past appreciation.</w:t>
      </w:r>
    </w:p>
    <w:p>
      <w:pPr>
        <w:pStyle w:val="BodyText"/>
        <w:spacing w:before="1"/>
        <w:rPr>
          <w:sz w:val="22"/>
        </w:rPr>
      </w:pPr>
    </w:p>
    <w:p>
      <w:pPr>
        <w:pStyle w:val="Heading6"/>
        <w:ind w:left="180"/>
      </w:pPr>
      <w:r>
        <w:rPr>
          <w:color w:val="009483"/>
        </w:rPr>
        <w:t>Pace of the domestic slowdown so far</w:t>
      </w:r>
    </w:p>
    <w:p>
      <w:pPr>
        <w:pStyle w:val="ListParagraph"/>
        <w:numPr>
          <w:ilvl w:val="0"/>
          <w:numId w:val="38"/>
        </w:numPr>
        <w:tabs>
          <w:tab w:pos="659" w:val="left" w:leader="none"/>
          <w:tab w:pos="661" w:val="left" w:leader="none"/>
        </w:tabs>
        <w:spacing w:line="232" w:lineRule="auto" w:before="109" w:after="0"/>
        <w:ind w:left="180" w:right="293" w:firstLine="0"/>
        <w:jc w:val="left"/>
        <w:rPr>
          <w:sz w:val="18"/>
        </w:rPr>
      </w:pPr>
      <w:r>
        <w:rPr>
          <w:color w:val="231F20"/>
          <w:sz w:val="18"/>
        </w:rPr>
        <w:t>The Committee agreed that there was now clear evidence that the economy had been slowing over the past year. The annualised growth rate of GDP had fallen from 2.9% and 3.0% through the first and second halves of 1997 respectively to an ONS estimate of 2.1% in 1998 H1. Growth in final domestic demand (ie excluding stockbuilding) had fallen from 4.6% in 1997 H1 to 4.0% in 1997 H2, and probably further in 1998 H1 given the indicators </w:t>
      </w:r>
      <w:r>
        <w:rPr>
          <w:color w:val="231F20"/>
          <w:spacing w:val="-9"/>
          <w:sz w:val="18"/>
        </w:rPr>
        <w:t>of </w:t>
      </w:r>
      <w:r>
        <w:rPr>
          <w:color w:val="231F20"/>
          <w:sz w:val="18"/>
        </w:rPr>
        <w:t>Q2 demand so far available (for example, retail sales and car registrations).</w:t>
      </w:r>
    </w:p>
    <w:p>
      <w:pPr>
        <w:pStyle w:val="BodyText"/>
        <w:spacing w:before="9"/>
        <w:rPr>
          <w:sz w:val="16"/>
        </w:rPr>
      </w:pPr>
    </w:p>
    <w:p>
      <w:pPr>
        <w:pStyle w:val="ListParagraph"/>
        <w:numPr>
          <w:ilvl w:val="0"/>
          <w:numId w:val="38"/>
        </w:numPr>
        <w:tabs>
          <w:tab w:pos="659" w:val="left" w:leader="none"/>
          <w:tab w:pos="661" w:val="left" w:leader="none"/>
        </w:tabs>
        <w:spacing w:line="232" w:lineRule="auto" w:before="0" w:after="0"/>
        <w:ind w:left="180" w:right="364" w:firstLine="0"/>
        <w:jc w:val="left"/>
        <w:rPr>
          <w:sz w:val="18"/>
        </w:rPr>
      </w:pPr>
      <w:r>
        <w:rPr>
          <w:color w:val="231F20"/>
          <w:sz w:val="18"/>
        </w:rPr>
        <w:t>Within total output, services growth had fallen from 4.7% (annualised) in 1997 H2 to 2.5% in 1998 H1. Manufacturing output growth was now at best flat. Within total final domestic demand, there were signs that retail sales growth had slowed, although some members of the Committee thought this could be attributed at least in part to recent bad weather and other special factors (eg the World Cup). Data on housing market </w:t>
      </w:r>
      <w:r>
        <w:rPr>
          <w:color w:val="231F20"/>
          <w:spacing w:val="-2"/>
          <w:sz w:val="18"/>
        </w:rPr>
        <w:t>activity—and </w:t>
      </w:r>
      <w:r>
        <w:rPr>
          <w:color w:val="231F20"/>
          <w:sz w:val="18"/>
        </w:rPr>
        <w:t>closely related items of consumer spending—suggested a slight easing in demand pressures.</w:t>
      </w:r>
    </w:p>
    <w:p>
      <w:pPr>
        <w:pStyle w:val="BodyText"/>
        <w:spacing w:before="9"/>
        <w:rPr>
          <w:sz w:val="16"/>
        </w:rPr>
      </w:pPr>
    </w:p>
    <w:p>
      <w:pPr>
        <w:pStyle w:val="ListParagraph"/>
        <w:numPr>
          <w:ilvl w:val="0"/>
          <w:numId w:val="38"/>
        </w:numPr>
        <w:tabs>
          <w:tab w:pos="659" w:val="left" w:leader="none"/>
          <w:tab w:pos="661" w:val="left" w:leader="none"/>
        </w:tabs>
        <w:spacing w:line="232" w:lineRule="auto" w:before="0" w:after="0"/>
        <w:ind w:left="180" w:right="279" w:firstLine="0"/>
        <w:jc w:val="left"/>
        <w:rPr>
          <w:sz w:val="18"/>
        </w:rPr>
      </w:pPr>
      <w:r>
        <w:rPr>
          <w:color w:val="231F20"/>
          <w:sz w:val="18"/>
        </w:rPr>
        <w:t>The Committee had projected a slowdown in domestic demand in its previous inflation forecasts but at that point there had still been considerable uncertainty as to whether it was underway. That uncertainty was now convincingly resolved. The slowdown also seemed so far to be less unevenly distributed across the different sectors of the economy than had previously been</w:t>
      </w:r>
      <w:r>
        <w:rPr>
          <w:color w:val="231F20"/>
          <w:spacing w:val="-17"/>
          <w:sz w:val="18"/>
        </w:rPr>
        <w:t> </w:t>
      </w:r>
      <w:r>
        <w:rPr>
          <w:color w:val="231F20"/>
          <w:sz w:val="18"/>
        </w:rPr>
        <w:t>expected.</w:t>
      </w:r>
    </w:p>
    <w:p>
      <w:pPr>
        <w:pStyle w:val="BodyText"/>
        <w:spacing w:before="9"/>
      </w:pPr>
    </w:p>
    <w:p>
      <w:pPr>
        <w:pStyle w:val="ListParagraph"/>
        <w:numPr>
          <w:ilvl w:val="0"/>
          <w:numId w:val="38"/>
        </w:numPr>
        <w:tabs>
          <w:tab w:pos="659" w:val="left" w:leader="none"/>
          <w:tab w:pos="661" w:val="left" w:leader="none"/>
        </w:tabs>
        <w:spacing w:line="232" w:lineRule="auto" w:before="0" w:after="0"/>
        <w:ind w:left="180" w:right="294" w:firstLine="0"/>
        <w:jc w:val="left"/>
        <w:rPr>
          <w:sz w:val="18"/>
        </w:rPr>
      </w:pPr>
      <w:r>
        <w:rPr>
          <w:color w:val="231F20"/>
          <w:sz w:val="18"/>
        </w:rPr>
        <w:t>There remained, however, considerable uncertainty about </w:t>
      </w:r>
      <w:r>
        <w:rPr>
          <w:color w:val="231F20"/>
          <w:spacing w:val="-4"/>
          <w:sz w:val="18"/>
        </w:rPr>
        <w:t>the </w:t>
      </w:r>
      <w:r>
        <w:rPr>
          <w:color w:val="231F20"/>
          <w:sz w:val="18"/>
        </w:rPr>
        <w:t>level of activity relative to the economy’s productive capacity. </w:t>
      </w:r>
      <w:r>
        <w:rPr>
          <w:color w:val="231F20"/>
          <w:spacing w:val="-6"/>
          <w:sz w:val="18"/>
        </w:rPr>
        <w:t>One </w:t>
      </w:r>
      <w:r>
        <w:rPr>
          <w:color w:val="231F20"/>
          <w:sz w:val="18"/>
        </w:rPr>
        <w:t>of the puzzles in the latter part of 1997 had been the persistent strength of surveys compared with the official data. It was still possible that the ONS estimates of past activity and demand might have under-recorded the strength of the economy. The Committee noted that there would be many changes to the National Accounts in September, including rebasing, implementation of the new European System of Accounts, and a new Inter-Departmental Business Register: it would need carefully to examine all of these changes as well as the usual revisions as further information became available to the ONS.</w:t>
      </w:r>
    </w:p>
    <w:p>
      <w:pPr>
        <w:pStyle w:val="BodyText"/>
        <w:spacing w:before="7"/>
        <w:rPr>
          <w:sz w:val="21"/>
        </w:rPr>
      </w:pPr>
    </w:p>
    <w:p>
      <w:pPr>
        <w:pStyle w:val="Heading6"/>
        <w:ind w:left="180"/>
      </w:pPr>
      <w:r>
        <w:rPr>
          <w:color w:val="009483"/>
        </w:rPr>
        <w:t>Indicators of future growth</w:t>
      </w:r>
    </w:p>
    <w:p>
      <w:pPr>
        <w:pStyle w:val="ListParagraph"/>
        <w:numPr>
          <w:ilvl w:val="0"/>
          <w:numId w:val="38"/>
        </w:numPr>
        <w:tabs>
          <w:tab w:pos="659" w:val="left" w:leader="none"/>
          <w:tab w:pos="661" w:val="left" w:leader="none"/>
        </w:tabs>
        <w:spacing w:line="232" w:lineRule="auto" w:before="109" w:after="0"/>
        <w:ind w:left="180" w:right="379" w:firstLine="0"/>
        <w:jc w:val="left"/>
        <w:rPr>
          <w:sz w:val="18"/>
        </w:rPr>
      </w:pPr>
      <w:r>
        <w:rPr>
          <w:color w:val="231F20"/>
          <w:sz w:val="18"/>
        </w:rPr>
        <w:t>More recently, and especially just prior to the Committee’s July meeting, a series of surveys had suggested that there had </w:t>
      </w:r>
      <w:r>
        <w:rPr>
          <w:color w:val="231F20"/>
          <w:spacing w:val="-5"/>
          <w:sz w:val="18"/>
        </w:rPr>
        <w:t>been </w:t>
      </w:r>
      <w:r>
        <w:rPr>
          <w:color w:val="231F20"/>
          <w:sz w:val="18"/>
        </w:rPr>
        <w:t>a sharp fall in business, and somewhat less so in consumer, confidence. For example, the M</w:t>
      </w:r>
      <w:r>
        <w:rPr>
          <w:color w:val="231F20"/>
          <w:sz w:val="14"/>
        </w:rPr>
        <w:t>ORI </w:t>
      </w:r>
      <w:r>
        <w:rPr>
          <w:color w:val="231F20"/>
          <w:sz w:val="18"/>
        </w:rPr>
        <w:t>index of consumer confidence had fallen from +1 in May to -19 in June, while the GFK measure had fallen from +1.2 in June to -1.6 in July. In surveys of manufacturing, the BCC, C</w:t>
      </w:r>
      <w:r>
        <w:rPr>
          <w:color w:val="231F20"/>
          <w:sz w:val="14"/>
        </w:rPr>
        <w:t>IPS </w:t>
      </w:r>
      <w:r>
        <w:rPr>
          <w:color w:val="231F20"/>
          <w:sz w:val="18"/>
        </w:rPr>
        <w:t>and CBI measures had deteriorated materially over the quarter, with all appearing consistent with falling activity. The services sector measures—for example the C</w:t>
      </w:r>
      <w:r>
        <w:rPr>
          <w:color w:val="231F20"/>
          <w:sz w:val="14"/>
        </w:rPr>
        <w:t>IPS </w:t>
      </w:r>
      <w:r>
        <w:rPr>
          <w:color w:val="231F20"/>
          <w:sz w:val="18"/>
        </w:rPr>
        <w:t>activity and new business indices—generally signalled continuing growth, but at a slower pace than in April. (The Committee noted that there were still far fewer surveys of the services sector than of the smaller manufacturing sector.)</w:t>
      </w:r>
    </w:p>
    <w:p>
      <w:pPr>
        <w:pStyle w:val="BodyText"/>
        <w:rPr>
          <w:sz w:val="20"/>
        </w:rPr>
      </w:pPr>
    </w:p>
    <w:p>
      <w:pPr>
        <w:pStyle w:val="ListParagraph"/>
        <w:numPr>
          <w:ilvl w:val="0"/>
          <w:numId w:val="38"/>
        </w:numPr>
        <w:tabs>
          <w:tab w:pos="659" w:val="left" w:leader="none"/>
          <w:tab w:pos="661" w:val="left" w:leader="none"/>
        </w:tabs>
        <w:spacing w:line="232" w:lineRule="auto" w:before="0" w:after="0"/>
        <w:ind w:left="180" w:right="359" w:firstLine="0"/>
        <w:jc w:val="left"/>
        <w:rPr>
          <w:sz w:val="18"/>
        </w:rPr>
      </w:pPr>
      <w:r>
        <w:rPr>
          <w:color w:val="231F20"/>
          <w:sz w:val="18"/>
        </w:rPr>
        <w:t>Interpretation of the survey evidence was felt to be difficult. First, it was not clear what had triggered the apparent sharp </w:t>
      </w:r>
      <w:r>
        <w:rPr>
          <w:color w:val="231F20"/>
          <w:spacing w:val="-3"/>
          <w:sz w:val="18"/>
        </w:rPr>
        <w:t>change</w:t>
      </w:r>
    </w:p>
    <w:p>
      <w:pPr>
        <w:spacing w:after="0" w:line="232" w:lineRule="auto"/>
        <w:jc w:val="left"/>
        <w:rPr>
          <w:sz w:val="18"/>
        </w:rPr>
        <w:sectPr>
          <w:type w:val="continuous"/>
          <w:pgSz w:w="11900" w:h="16840"/>
          <w:pgMar w:top="1220" w:bottom="280" w:left="620" w:right="520"/>
          <w:cols w:num="2" w:equalWidth="0">
            <w:col w:w="5129" w:space="261"/>
            <w:col w:w="5370"/>
          </w:cols>
        </w:sectPr>
      </w:pPr>
    </w:p>
    <w:p>
      <w:pPr>
        <w:pStyle w:val="BodyText"/>
        <w:rPr>
          <w:sz w:val="20"/>
        </w:rPr>
      </w:pPr>
    </w:p>
    <w:p>
      <w:pPr>
        <w:spacing w:after="0"/>
        <w:rPr>
          <w:sz w:val="20"/>
        </w:rPr>
        <w:sectPr>
          <w:footerReference w:type="even" r:id="rId114"/>
          <w:footerReference w:type="default" r:id="rId115"/>
          <w:pgSz w:w="11900" w:h="16840"/>
          <w:pgMar w:footer="597" w:header="566" w:top="760" w:bottom="780" w:left="620" w:right="520"/>
          <w:pgNumType w:start="54"/>
        </w:sectPr>
      </w:pPr>
    </w:p>
    <w:p>
      <w:pPr>
        <w:pStyle w:val="BodyText"/>
        <w:spacing w:before="4"/>
        <w:rPr>
          <w:sz w:val="21"/>
        </w:rPr>
      </w:pPr>
    </w:p>
    <w:p>
      <w:pPr>
        <w:pStyle w:val="BodyText"/>
        <w:spacing w:line="232" w:lineRule="auto" w:before="1"/>
        <w:ind w:left="194" w:right="57"/>
      </w:pPr>
      <w:r>
        <w:rPr>
          <w:color w:val="231F20"/>
        </w:rPr>
        <w:t>in sentiment. One possibility was that the Committee’s June tightening, which had surprised financial markets, had induced a changed perception of the likely path of monetary policy. There was some support for this in the reaction of markets to subsequent earnings data, as the Committee had highlighted the pick up in earnings growth as one of the main factors behind its June decision. Alternatively, the lagged effects of past monetary tightenings and sterling’s appreciation might now be becoming more obviously apparent to consumers and businesses. Another possibility, which could not be dismissed out of hand, was that the confidence indicators—and the publicity surrounding them—were in some degree feeding on each other.</w:t>
      </w:r>
    </w:p>
    <w:p>
      <w:pPr>
        <w:pStyle w:val="BodyText"/>
        <w:spacing w:before="6"/>
        <w:rPr>
          <w:sz w:val="16"/>
        </w:rPr>
      </w:pPr>
    </w:p>
    <w:p>
      <w:pPr>
        <w:pStyle w:val="ListParagraph"/>
        <w:numPr>
          <w:ilvl w:val="0"/>
          <w:numId w:val="38"/>
        </w:numPr>
        <w:tabs>
          <w:tab w:pos="674" w:val="left" w:leader="none"/>
          <w:tab w:pos="675" w:val="left" w:leader="none"/>
        </w:tabs>
        <w:spacing w:line="232" w:lineRule="auto" w:before="0" w:after="0"/>
        <w:ind w:left="194" w:right="102" w:firstLine="0"/>
        <w:jc w:val="left"/>
        <w:rPr>
          <w:sz w:val="18"/>
        </w:rPr>
      </w:pPr>
      <w:r>
        <w:rPr>
          <w:color w:val="231F20"/>
          <w:sz w:val="18"/>
        </w:rPr>
        <w:t>A second issue was whether, in addition to giving signals </w:t>
      </w:r>
      <w:r>
        <w:rPr>
          <w:color w:val="231F20"/>
          <w:spacing w:val="-9"/>
          <w:sz w:val="18"/>
        </w:rPr>
        <w:t>on </w:t>
      </w:r>
      <w:r>
        <w:rPr>
          <w:color w:val="231F20"/>
          <w:sz w:val="18"/>
        </w:rPr>
        <w:t>the direction of the economy, the surveys provided information on the likely scale and speed of the slowdown. Few surveys had been in existence long enough for a robust view to be reached on this; many had not yet seen one complete business cycle. The CBI Business Optimism measure did, however, seem to have been a reasonable leading indicator in recent cycles. Taken on its own, it appeared to indicate a sharp downturn in activity.</w:t>
      </w:r>
    </w:p>
    <w:p>
      <w:pPr>
        <w:pStyle w:val="BodyText"/>
        <w:spacing w:before="10"/>
        <w:rPr>
          <w:sz w:val="16"/>
        </w:rPr>
      </w:pPr>
    </w:p>
    <w:p>
      <w:pPr>
        <w:pStyle w:val="ListParagraph"/>
        <w:numPr>
          <w:ilvl w:val="0"/>
          <w:numId w:val="38"/>
        </w:numPr>
        <w:tabs>
          <w:tab w:pos="674" w:val="left" w:leader="none"/>
          <w:tab w:pos="675" w:val="left" w:leader="none"/>
        </w:tabs>
        <w:spacing w:line="232" w:lineRule="auto" w:before="0" w:after="0"/>
        <w:ind w:left="194" w:right="163" w:firstLine="0"/>
        <w:jc w:val="left"/>
        <w:rPr>
          <w:sz w:val="18"/>
        </w:rPr>
      </w:pPr>
      <w:r>
        <w:rPr>
          <w:color w:val="231F20"/>
          <w:sz w:val="18"/>
        </w:rPr>
        <w:t>Moving on to other evidence, the Committee noted that the messages about activity conveyed by the Bank’s regional Agents had also become bleaker. Most striking was the sense that the downturn was not restricted to parts of the country with a proportionally large manufacturing presence and was extending </w:t>
      </w:r>
      <w:r>
        <w:rPr>
          <w:color w:val="231F20"/>
          <w:spacing w:val="-9"/>
          <w:sz w:val="18"/>
        </w:rPr>
        <w:t>to </w:t>
      </w:r>
      <w:r>
        <w:rPr>
          <w:color w:val="231F20"/>
          <w:sz w:val="18"/>
        </w:rPr>
        <w:t>southern England. Some of the considerations bearing on the surveys applied here too, but the Agents’ evidence nevertheless broadly corroborated a steeper and more broadly based slowdown than previously expected.</w:t>
      </w:r>
    </w:p>
    <w:p>
      <w:pPr>
        <w:pStyle w:val="BodyText"/>
        <w:spacing w:before="9"/>
        <w:rPr>
          <w:sz w:val="16"/>
        </w:rPr>
      </w:pPr>
    </w:p>
    <w:p>
      <w:pPr>
        <w:pStyle w:val="ListParagraph"/>
        <w:numPr>
          <w:ilvl w:val="0"/>
          <w:numId w:val="38"/>
        </w:numPr>
        <w:tabs>
          <w:tab w:pos="674" w:val="left" w:leader="none"/>
          <w:tab w:pos="675" w:val="left" w:leader="none"/>
        </w:tabs>
        <w:spacing w:line="232" w:lineRule="auto" w:before="0" w:after="0"/>
        <w:ind w:left="194" w:right="82" w:firstLine="0"/>
        <w:jc w:val="left"/>
        <w:rPr>
          <w:sz w:val="18"/>
        </w:rPr>
      </w:pPr>
      <w:r>
        <w:rPr>
          <w:color w:val="231F20"/>
          <w:sz w:val="18"/>
        </w:rPr>
        <w:t>Finally, the rise in the number of profit warnings issued by quoted companies also suggested an accelerating slowdown. </w:t>
      </w:r>
      <w:r>
        <w:rPr>
          <w:color w:val="231F20"/>
          <w:spacing w:val="-5"/>
          <w:sz w:val="18"/>
        </w:rPr>
        <w:t>Some </w:t>
      </w:r>
      <w:r>
        <w:rPr>
          <w:color w:val="231F20"/>
          <w:sz w:val="18"/>
        </w:rPr>
        <w:t>of the downside risks to equity prices incorporated in the May </w:t>
      </w:r>
      <w:r>
        <w:rPr>
          <w:i/>
          <w:color w:val="231F20"/>
          <w:sz w:val="18"/>
        </w:rPr>
        <w:t>Inflation Report </w:t>
      </w:r>
      <w:r>
        <w:rPr>
          <w:color w:val="231F20"/>
          <w:sz w:val="18"/>
        </w:rPr>
        <w:t>seemed to be materialising. The Committee agreed that the downside risks remained, particularly in the light of apparently greater fragility in the US equity market. Consumption would, however, tend to be supported by the effects of past equity price increases and projected robust labour income growth.</w:t>
      </w:r>
    </w:p>
    <w:p>
      <w:pPr>
        <w:pStyle w:val="BodyText"/>
        <w:spacing w:before="10"/>
        <w:rPr>
          <w:sz w:val="16"/>
        </w:rPr>
      </w:pPr>
    </w:p>
    <w:p>
      <w:pPr>
        <w:pStyle w:val="ListParagraph"/>
        <w:numPr>
          <w:ilvl w:val="0"/>
          <w:numId w:val="38"/>
        </w:numPr>
        <w:tabs>
          <w:tab w:pos="674" w:val="left" w:leader="none"/>
          <w:tab w:pos="675" w:val="left" w:leader="none"/>
        </w:tabs>
        <w:spacing w:line="232" w:lineRule="auto" w:before="0" w:after="0"/>
        <w:ind w:left="194" w:right="132" w:firstLine="0"/>
        <w:jc w:val="left"/>
        <w:rPr>
          <w:sz w:val="18"/>
        </w:rPr>
      </w:pPr>
      <w:r>
        <w:rPr>
          <w:color w:val="231F20"/>
          <w:sz w:val="18"/>
        </w:rPr>
        <w:t>Overall, the economy had so far slowed broadly in line </w:t>
      </w:r>
      <w:r>
        <w:rPr>
          <w:color w:val="231F20"/>
          <w:spacing w:val="-5"/>
          <w:sz w:val="18"/>
        </w:rPr>
        <w:t>with </w:t>
      </w:r>
      <w:r>
        <w:rPr>
          <w:color w:val="231F20"/>
          <w:sz w:val="18"/>
        </w:rPr>
        <w:t>the Committee’s May forecast. The short-run outlook for activity was now slightly weaker than assumed in May and, given the recent surveys, the downside risks had probably increased.</w:t>
      </w:r>
    </w:p>
    <w:p>
      <w:pPr>
        <w:pStyle w:val="BodyText"/>
        <w:spacing w:before="4"/>
        <w:rPr>
          <w:sz w:val="20"/>
        </w:rPr>
      </w:pPr>
    </w:p>
    <w:p>
      <w:pPr>
        <w:pStyle w:val="Heading6"/>
        <w:spacing w:before="1"/>
        <w:ind w:left="194"/>
      </w:pPr>
      <w:r>
        <w:rPr>
          <w:color w:val="009483"/>
        </w:rPr>
        <w:t>Labour market conditions</w:t>
      </w:r>
    </w:p>
    <w:p>
      <w:pPr>
        <w:pStyle w:val="ListParagraph"/>
        <w:numPr>
          <w:ilvl w:val="0"/>
          <w:numId w:val="38"/>
        </w:numPr>
        <w:tabs>
          <w:tab w:pos="674" w:val="left" w:leader="none"/>
          <w:tab w:pos="675" w:val="left" w:leader="none"/>
        </w:tabs>
        <w:spacing w:line="232" w:lineRule="auto" w:before="109" w:after="0"/>
        <w:ind w:left="194" w:right="98" w:firstLine="0"/>
        <w:jc w:val="left"/>
        <w:rPr>
          <w:sz w:val="18"/>
        </w:rPr>
      </w:pPr>
      <w:r>
        <w:rPr>
          <w:color w:val="231F20"/>
          <w:sz w:val="18"/>
        </w:rPr>
        <w:t>While recent demand and activity data and survey indicators made it clear that the economy was slowing, the sustained</w:t>
      </w:r>
    </w:p>
    <w:p>
      <w:pPr>
        <w:pStyle w:val="BodyText"/>
        <w:spacing w:line="232" w:lineRule="auto"/>
        <w:ind w:left="194" w:right="58"/>
      </w:pPr>
      <w:r>
        <w:rPr>
          <w:color w:val="231F20"/>
        </w:rPr>
        <w:t>above-trend growth of previous years was putting accumulating pressures on capacity.  In particular, further increases in the demand for labour had become more of a concern in recent </w:t>
      </w:r>
      <w:r>
        <w:rPr>
          <w:color w:val="231F20"/>
          <w:spacing w:val="-3"/>
        </w:rPr>
        <w:t>months. </w:t>
      </w:r>
      <w:r>
        <w:rPr>
          <w:color w:val="231F20"/>
        </w:rPr>
        <w:t>On the LFS measures, employment had risen in the three months to May compared with the previous three months, while the unemployment rate had fallen to 6.3% in May. Employment intentions, as measured by surveys, remained strong in the services sector, but were falling in manufacturing. According to the British Chambers of Commerce, recruitment difficulties were at a record high in both sectors in Q2. There were, however, some signs of easing in recent data: the claimant unemployment count had risen for the second month running to 4.8% in June, and the CBI had recorded fewer reports of skill shortages in manufacturing in its July survey.</w:t>
      </w:r>
    </w:p>
    <w:p>
      <w:pPr>
        <w:pStyle w:val="BodyText"/>
        <w:spacing w:before="3"/>
        <w:rPr>
          <w:sz w:val="16"/>
        </w:rPr>
      </w:pPr>
    </w:p>
    <w:p>
      <w:pPr>
        <w:pStyle w:val="ListParagraph"/>
        <w:numPr>
          <w:ilvl w:val="0"/>
          <w:numId w:val="38"/>
        </w:numPr>
        <w:tabs>
          <w:tab w:pos="674" w:val="left" w:leader="none"/>
          <w:tab w:pos="675" w:val="left" w:leader="none"/>
        </w:tabs>
        <w:spacing w:line="232" w:lineRule="auto" w:before="1" w:after="0"/>
        <w:ind w:left="194" w:right="38" w:firstLine="0"/>
        <w:jc w:val="left"/>
        <w:rPr>
          <w:sz w:val="18"/>
        </w:rPr>
      </w:pPr>
      <w:r>
        <w:rPr>
          <w:color w:val="231F20"/>
          <w:sz w:val="18"/>
        </w:rPr>
        <w:t>More striking was the sharp rise in measures of earnings growth during the spring, as discussed at the Committee’s June and July meetings. Headline whole-economy average earnings growth in the three months centred on April was 5.4% (private sector </w:t>
      </w:r>
      <w:r>
        <w:rPr>
          <w:color w:val="231F20"/>
          <w:spacing w:val="-4"/>
          <w:sz w:val="18"/>
        </w:rPr>
        <w:t>6.2%, </w:t>
      </w:r>
      <w:r>
        <w:rPr>
          <w:color w:val="231F20"/>
          <w:sz w:val="18"/>
        </w:rPr>
        <w:t>public sector 2.8%), having increased from 4.6% (revised up from 4.5%) in January. The amounts identified by respondents to the ONS survey as ‘irregular pay’, which seemed likely to represent</w:t>
      </w:r>
    </w:p>
    <w:p>
      <w:pPr>
        <w:pStyle w:val="BodyText"/>
        <w:spacing w:before="11"/>
        <w:rPr>
          <w:sz w:val="20"/>
        </w:rPr>
      </w:pPr>
      <w:r>
        <w:rPr/>
        <w:br w:type="column"/>
      </w:r>
      <w:r>
        <w:rPr>
          <w:sz w:val="20"/>
        </w:rPr>
      </w:r>
    </w:p>
    <w:p>
      <w:pPr>
        <w:pStyle w:val="BodyText"/>
        <w:spacing w:line="203" w:lineRule="exact"/>
        <w:ind w:left="194"/>
      </w:pPr>
      <w:r>
        <w:rPr>
          <w:color w:val="231F20"/>
        </w:rPr>
        <w:t>mainly bonuses, contributed 0.2 percentage points to the</w:t>
      </w:r>
    </w:p>
    <w:p>
      <w:pPr>
        <w:pStyle w:val="BodyText"/>
        <w:spacing w:line="232" w:lineRule="auto" w:before="2"/>
        <w:ind w:left="194" w:right="539"/>
      </w:pPr>
      <w:r>
        <w:rPr>
          <w:color w:val="231F20"/>
        </w:rPr>
        <w:t>1.1 percentage point increase in annual average earnings growth over the year to April 1998, suggesting that the acceleration</w:t>
      </w:r>
    </w:p>
    <w:p>
      <w:pPr>
        <w:pStyle w:val="BodyText"/>
        <w:spacing w:line="232" w:lineRule="auto"/>
        <w:ind w:left="194" w:right="889"/>
      </w:pPr>
      <w:r>
        <w:rPr>
          <w:color w:val="231F20"/>
        </w:rPr>
        <w:t>of labour costs was only to a degree the result of increasing bonuses.</w:t>
      </w:r>
    </w:p>
    <w:p>
      <w:pPr>
        <w:pStyle w:val="BodyText"/>
        <w:spacing w:before="1"/>
        <w:rPr>
          <w:sz w:val="17"/>
        </w:rPr>
      </w:pPr>
    </w:p>
    <w:p>
      <w:pPr>
        <w:pStyle w:val="ListParagraph"/>
        <w:numPr>
          <w:ilvl w:val="0"/>
          <w:numId w:val="38"/>
        </w:numPr>
        <w:tabs>
          <w:tab w:pos="674" w:val="left" w:leader="none"/>
          <w:tab w:pos="675" w:val="left" w:leader="none"/>
        </w:tabs>
        <w:spacing w:line="232" w:lineRule="auto" w:before="0" w:after="0"/>
        <w:ind w:left="194" w:right="331" w:firstLine="0"/>
        <w:jc w:val="left"/>
        <w:rPr>
          <w:sz w:val="18"/>
        </w:rPr>
      </w:pPr>
      <w:r>
        <w:rPr>
          <w:color w:val="231F20"/>
          <w:sz w:val="18"/>
        </w:rPr>
        <w:t>The Committee noted that the increasing importance of bonuses and profit/performance-related pay in remuneration complicated the assessment of labour market conditions. In particular, since most firms paid bonuses in a single month, the bonus contribution had to be smoothed over the year to obtain a measure of the underlying change in earnings growth. This required an assumption about the rate of growth in bonus </w:t>
      </w:r>
      <w:r>
        <w:rPr>
          <w:color w:val="231F20"/>
          <w:spacing w:val="-3"/>
          <w:sz w:val="18"/>
        </w:rPr>
        <w:t>payments </w:t>
      </w:r>
      <w:r>
        <w:rPr>
          <w:color w:val="231F20"/>
          <w:sz w:val="18"/>
        </w:rPr>
        <w:t>over the coming twelve months. Assuming that bonuses continued to increase at the same rate as over the past year, underlying earnings growth in May was 5.2%, calculated on this basis. If, on the other hand, bonus growth fell to 10% by 1999, the smoothed earnings growth figure for May would be around 4.9%; and for zero bonus growth by January 1999, the figure was 4.7%. The assumption about future bonus growth was therefore an important element in judging current underlying earnings growth, although it was noted that since 1996 earnings growth had picked up steadily on any measure.</w:t>
      </w:r>
    </w:p>
    <w:p>
      <w:pPr>
        <w:pStyle w:val="BodyText"/>
        <w:spacing w:before="3"/>
        <w:rPr>
          <w:sz w:val="16"/>
        </w:rPr>
      </w:pPr>
    </w:p>
    <w:p>
      <w:pPr>
        <w:pStyle w:val="ListParagraph"/>
        <w:numPr>
          <w:ilvl w:val="0"/>
          <w:numId w:val="38"/>
        </w:numPr>
        <w:tabs>
          <w:tab w:pos="674" w:val="left" w:leader="none"/>
          <w:tab w:pos="675" w:val="left" w:leader="none"/>
        </w:tabs>
        <w:spacing w:line="232" w:lineRule="auto" w:before="0" w:after="0"/>
        <w:ind w:left="194" w:right="401" w:firstLine="0"/>
        <w:jc w:val="left"/>
        <w:rPr>
          <w:sz w:val="18"/>
        </w:rPr>
      </w:pPr>
      <w:r>
        <w:rPr>
          <w:color w:val="231F20"/>
          <w:sz w:val="18"/>
        </w:rPr>
        <w:t>Views varied amongst Committee members about the best assumption. On one view, past bonus growth reflected rapid growth in corporate profits and revenue, which was unlikely to continue through 1998–99 given the activity slowdown underway. On another view, bonus growth was in part a symptom of a tight labour market, with firms having to pay up to recruit and keep labour.</w:t>
      </w:r>
    </w:p>
    <w:p>
      <w:pPr>
        <w:pStyle w:val="BodyText"/>
        <w:spacing w:before="10"/>
        <w:rPr>
          <w:sz w:val="16"/>
        </w:rPr>
      </w:pPr>
    </w:p>
    <w:p>
      <w:pPr>
        <w:pStyle w:val="ListParagraph"/>
        <w:numPr>
          <w:ilvl w:val="0"/>
          <w:numId w:val="38"/>
        </w:numPr>
        <w:tabs>
          <w:tab w:pos="674" w:val="left" w:leader="none"/>
          <w:tab w:pos="675" w:val="left" w:leader="none"/>
        </w:tabs>
        <w:spacing w:line="232" w:lineRule="auto" w:before="0" w:after="0"/>
        <w:ind w:left="194" w:right="322" w:firstLine="0"/>
        <w:jc w:val="left"/>
        <w:rPr>
          <w:sz w:val="18"/>
        </w:rPr>
      </w:pPr>
      <w:r>
        <w:rPr>
          <w:color w:val="231F20"/>
          <w:sz w:val="18"/>
        </w:rPr>
        <w:t>The Committee discussed arguments advanced in the press that the official numbers materially overstated the rate of earnings growth because of the way bonuses were treated, and that there </w:t>
      </w:r>
      <w:r>
        <w:rPr>
          <w:color w:val="231F20"/>
          <w:spacing w:val="-6"/>
          <w:sz w:val="18"/>
        </w:rPr>
        <w:t>had </w:t>
      </w:r>
      <w:r>
        <w:rPr>
          <w:color w:val="231F20"/>
          <w:sz w:val="18"/>
        </w:rPr>
        <w:t>been no real acceleration in earnings. But even on evidence as presented there had clearly been an increase in the rate of earnings growth.</w:t>
      </w:r>
    </w:p>
    <w:p>
      <w:pPr>
        <w:pStyle w:val="BodyText"/>
        <w:rPr>
          <w:sz w:val="17"/>
        </w:rPr>
      </w:pPr>
    </w:p>
    <w:p>
      <w:pPr>
        <w:pStyle w:val="ListParagraph"/>
        <w:numPr>
          <w:ilvl w:val="0"/>
          <w:numId w:val="38"/>
        </w:numPr>
        <w:tabs>
          <w:tab w:pos="674" w:val="left" w:leader="none"/>
          <w:tab w:pos="675" w:val="left" w:leader="none"/>
        </w:tabs>
        <w:spacing w:line="232" w:lineRule="auto" w:before="0" w:after="0"/>
        <w:ind w:left="194" w:right="301" w:firstLine="0"/>
        <w:jc w:val="left"/>
        <w:rPr>
          <w:sz w:val="18"/>
        </w:rPr>
      </w:pPr>
      <w:r>
        <w:rPr>
          <w:color w:val="231F20"/>
          <w:sz w:val="18"/>
        </w:rPr>
        <w:t>The Committee discussed the twelve-month and three-month annualised measures of settlements growth. The twelve-month employment-weighted mean for the whole economy was 3.8% in Q2, up from 3.5% in Q1, while the three-month mean settlement had fallen from 3.9% to 3.7% over the same period. The</w:t>
      </w:r>
    </w:p>
    <w:p>
      <w:pPr>
        <w:pStyle w:val="BodyText"/>
        <w:spacing w:line="232" w:lineRule="auto"/>
        <w:ind w:left="194" w:right="344"/>
      </w:pPr>
      <w:r>
        <w:rPr>
          <w:color w:val="231F20"/>
        </w:rPr>
        <w:t>twelve-month rate could potentially mislead as it reflected settlements agreed up to a year ago, and so possibly before the prospect of a slowdown had become widely apparent. However, the three-month measure was probably more misleading. Different firms settled in different months, so that the range of employers included in the three-month measure changed from month to month. In particular, the timing of public sector settlements distorted the three-month measure.</w:t>
      </w:r>
    </w:p>
    <w:p>
      <w:pPr>
        <w:pStyle w:val="BodyText"/>
        <w:spacing w:before="6"/>
        <w:rPr>
          <w:sz w:val="16"/>
        </w:rPr>
      </w:pPr>
    </w:p>
    <w:p>
      <w:pPr>
        <w:pStyle w:val="ListParagraph"/>
        <w:numPr>
          <w:ilvl w:val="0"/>
          <w:numId w:val="38"/>
        </w:numPr>
        <w:tabs>
          <w:tab w:pos="674" w:val="left" w:leader="none"/>
          <w:tab w:pos="675" w:val="left" w:leader="none"/>
        </w:tabs>
        <w:spacing w:line="232" w:lineRule="auto" w:before="0" w:after="0"/>
        <w:ind w:left="194" w:right="313" w:firstLine="0"/>
        <w:jc w:val="left"/>
        <w:rPr>
          <w:sz w:val="18"/>
        </w:rPr>
      </w:pPr>
      <w:r>
        <w:rPr>
          <w:color w:val="231F20"/>
          <w:sz w:val="18"/>
        </w:rPr>
        <w:t>There was a range of views on the likely pace of future earnings growth, but members agreed that the labour market was tighter, and thus upward pressures on earnings were greater, than a quarter ago. One view was that the prospective slowdown in demand and output would dampen earnings growth, which was a lagging indicator of the economy. Another was that there would </w:t>
      </w:r>
      <w:r>
        <w:rPr>
          <w:color w:val="231F20"/>
          <w:spacing w:val="-10"/>
          <w:sz w:val="18"/>
        </w:rPr>
        <w:t>be </w:t>
      </w:r>
      <w:r>
        <w:rPr>
          <w:color w:val="231F20"/>
          <w:sz w:val="18"/>
        </w:rPr>
        <w:t>continuing increases. In particular, there was a risk that public sector pay would start to catch up with the private sector, as discussed at previous meetings. The slowdown in domestic demand might, though, reduce the ability of firms to pass higher labour costs into prices, which the Committee agreed to reflect in its central projection.</w:t>
      </w:r>
    </w:p>
    <w:p>
      <w:pPr>
        <w:pStyle w:val="BodyText"/>
        <w:spacing w:before="7"/>
        <w:rPr>
          <w:sz w:val="16"/>
        </w:rPr>
      </w:pPr>
    </w:p>
    <w:p>
      <w:pPr>
        <w:pStyle w:val="ListParagraph"/>
        <w:numPr>
          <w:ilvl w:val="0"/>
          <w:numId w:val="38"/>
        </w:numPr>
        <w:tabs>
          <w:tab w:pos="674" w:val="left" w:leader="none"/>
          <w:tab w:pos="675" w:val="left" w:leader="none"/>
        </w:tabs>
        <w:spacing w:line="232" w:lineRule="auto" w:before="0" w:after="0"/>
        <w:ind w:left="194" w:right="461" w:firstLine="0"/>
        <w:jc w:val="left"/>
        <w:rPr>
          <w:sz w:val="18"/>
        </w:rPr>
      </w:pPr>
      <w:r>
        <w:rPr>
          <w:color w:val="231F20"/>
          <w:sz w:val="18"/>
        </w:rPr>
        <w:t>The Committee also discussed recently published research suggesting that official estimates understated productivity, and </w:t>
      </w:r>
      <w:r>
        <w:rPr>
          <w:color w:val="231F20"/>
          <w:spacing w:val="-9"/>
          <w:sz w:val="18"/>
        </w:rPr>
        <w:t>so </w:t>
      </w:r>
      <w:r>
        <w:rPr>
          <w:color w:val="231F20"/>
          <w:sz w:val="18"/>
        </w:rPr>
        <w:t>overstated unit labour cost growth, in manufacturing. Members noted that the research was specific to manufacturing and had no implications for the accuracy of official estimates of productivity and unit labour costs in the whole economy, which was the</w:t>
      </w:r>
    </w:p>
    <w:p>
      <w:pPr>
        <w:spacing w:after="0" w:line="232" w:lineRule="auto"/>
        <w:jc w:val="left"/>
        <w:rPr>
          <w:sz w:val="18"/>
        </w:rPr>
        <w:sectPr>
          <w:type w:val="continuous"/>
          <w:pgSz w:w="11900" w:h="16840"/>
          <w:pgMar w:top="1220" w:bottom="280" w:left="620" w:right="520"/>
          <w:cols w:num="2" w:equalWidth="0">
            <w:col w:w="5134" w:space="249"/>
            <w:col w:w="5377"/>
          </w:cols>
        </w:sectPr>
      </w:pPr>
    </w:p>
    <w:p>
      <w:pPr>
        <w:pStyle w:val="BodyText"/>
        <w:rPr>
          <w:sz w:val="20"/>
        </w:rPr>
      </w:pPr>
    </w:p>
    <w:p>
      <w:pPr>
        <w:spacing w:after="0"/>
        <w:rPr>
          <w:sz w:val="20"/>
        </w:rPr>
        <w:sectPr>
          <w:pgSz w:w="11900" w:h="16840"/>
          <w:pgMar w:header="566" w:footer="597" w:top="760" w:bottom="780" w:left="620" w:right="520"/>
        </w:sectPr>
      </w:pPr>
    </w:p>
    <w:p>
      <w:pPr>
        <w:pStyle w:val="BodyText"/>
        <w:spacing w:before="6"/>
        <w:rPr>
          <w:sz w:val="20"/>
        </w:rPr>
      </w:pPr>
    </w:p>
    <w:p>
      <w:pPr>
        <w:pStyle w:val="BodyText"/>
        <w:spacing w:line="232" w:lineRule="auto"/>
        <w:ind w:left="200" w:right="283"/>
      </w:pPr>
      <w:r>
        <w:rPr>
          <w:color w:val="231F20"/>
        </w:rPr>
        <w:t>Committee’s focus. The authors of the research had said that any errors in the measures of manufacturing were likely to be offset by countervailing errors in the measures for other </w:t>
      </w:r>
      <w:r>
        <w:rPr>
          <w:color w:val="231F20"/>
          <w:spacing w:val="-3"/>
        </w:rPr>
        <w:t>industry </w:t>
      </w:r>
      <w:r>
        <w:rPr>
          <w:color w:val="231F20"/>
        </w:rPr>
        <w:t>groups.</w:t>
      </w:r>
    </w:p>
    <w:p>
      <w:pPr>
        <w:pStyle w:val="BodyText"/>
        <w:spacing w:before="1"/>
        <w:rPr>
          <w:sz w:val="17"/>
        </w:rPr>
      </w:pPr>
    </w:p>
    <w:p>
      <w:pPr>
        <w:pStyle w:val="ListParagraph"/>
        <w:numPr>
          <w:ilvl w:val="0"/>
          <w:numId w:val="38"/>
        </w:numPr>
        <w:tabs>
          <w:tab w:pos="679" w:val="left" w:leader="none"/>
          <w:tab w:pos="681" w:val="left" w:leader="none"/>
        </w:tabs>
        <w:spacing w:line="232" w:lineRule="auto" w:before="1" w:after="0"/>
        <w:ind w:left="200" w:right="68" w:firstLine="0"/>
        <w:jc w:val="left"/>
        <w:rPr>
          <w:sz w:val="18"/>
        </w:rPr>
      </w:pPr>
      <w:r>
        <w:rPr>
          <w:color w:val="231F20"/>
          <w:sz w:val="18"/>
        </w:rPr>
        <w:t>The Committee discussed the implications for inflation of the National Minimum Wage due to take effect from April 1999; a box on the MPC’s analysis would appear in the August </w:t>
      </w:r>
      <w:r>
        <w:rPr>
          <w:i/>
          <w:color w:val="231F20"/>
          <w:sz w:val="18"/>
        </w:rPr>
        <w:t>Inflation </w:t>
      </w:r>
      <w:r>
        <w:rPr>
          <w:i/>
          <w:color w:val="231F20"/>
          <w:sz w:val="18"/>
        </w:rPr>
        <w:t>Report</w:t>
      </w:r>
      <w:r>
        <w:rPr>
          <w:color w:val="231F20"/>
          <w:sz w:val="18"/>
        </w:rPr>
        <w:t>. The introduction of the National Minimum Wage (NMW) was akin to a price level shock. It would raise the price level, with a temporary impact on inflation. There was an upside risk that there would be more restoration of wage differentials than assumed in the central projection. Faster earnings growth in 1998 and 1999 than had been assumed in May, together with the NMW, would change the profile of the central projection of RPIX inflation, in </w:t>
      </w:r>
      <w:r>
        <w:rPr>
          <w:color w:val="231F20"/>
          <w:spacing w:val="-6"/>
          <w:sz w:val="18"/>
        </w:rPr>
        <w:t>the </w:t>
      </w:r>
      <w:r>
        <w:rPr>
          <w:color w:val="231F20"/>
          <w:sz w:val="18"/>
        </w:rPr>
        <w:t>direction of making it humped rather than saucer-shaped.</w:t>
      </w:r>
    </w:p>
    <w:p>
      <w:pPr>
        <w:pStyle w:val="BodyText"/>
        <w:spacing w:before="10"/>
        <w:rPr>
          <w:sz w:val="19"/>
        </w:rPr>
      </w:pPr>
    </w:p>
    <w:p>
      <w:pPr>
        <w:pStyle w:val="Heading6"/>
      </w:pPr>
      <w:r>
        <w:rPr>
          <w:color w:val="009483"/>
        </w:rPr>
        <w:t>Fiscal policy</w:t>
      </w:r>
    </w:p>
    <w:p>
      <w:pPr>
        <w:pStyle w:val="ListParagraph"/>
        <w:numPr>
          <w:ilvl w:val="0"/>
          <w:numId w:val="38"/>
        </w:numPr>
        <w:tabs>
          <w:tab w:pos="679" w:val="left" w:leader="none"/>
          <w:tab w:pos="681" w:val="left" w:leader="none"/>
        </w:tabs>
        <w:spacing w:line="232" w:lineRule="auto" w:before="110" w:after="0"/>
        <w:ind w:left="200" w:right="38" w:firstLine="0"/>
        <w:jc w:val="left"/>
        <w:rPr>
          <w:sz w:val="18"/>
        </w:rPr>
      </w:pPr>
      <w:r>
        <w:rPr>
          <w:color w:val="231F20"/>
          <w:sz w:val="18"/>
        </w:rPr>
        <w:t>The Committee discussed the implications for the inflation outlook of the latest Government spending announcements (in the Economic and Fiscal Strategy Report and the Comprehensive Spending Review). Fiscal policy had been progressively tightened in recent years. Following the latest announcements, the starting point in the E</w:t>
      </w:r>
      <w:r>
        <w:rPr>
          <w:color w:val="231F20"/>
          <w:sz w:val="14"/>
        </w:rPr>
        <w:t>FSR </w:t>
      </w:r>
      <w:r>
        <w:rPr>
          <w:color w:val="231F20"/>
          <w:sz w:val="18"/>
        </w:rPr>
        <w:t>was a somewhat lower fiscal deficit in 1997/98 than in the March Budget and May </w:t>
      </w:r>
      <w:r>
        <w:rPr>
          <w:i/>
          <w:color w:val="231F20"/>
          <w:sz w:val="18"/>
        </w:rPr>
        <w:t>Inflation Report</w:t>
      </w:r>
      <w:r>
        <w:rPr>
          <w:color w:val="231F20"/>
          <w:sz w:val="18"/>
        </w:rPr>
        <w:t>. There appeared to be an increase in current as well as in public investment spending from 1999/2000 onwards compared with the illustrative assumptions in the March Budget. The March Budget had, though, still effected reductions in forecast future deficits compared to 1997/98.  It was observed that the budget balance was not by itself a complete measure of the macroeconomic impact of fiscal policy, which was also affected by changes in the level and composition of planned expenditure. These changes were reflected in the central projection.</w:t>
      </w:r>
    </w:p>
    <w:p>
      <w:pPr>
        <w:pStyle w:val="BodyText"/>
        <w:spacing w:before="6"/>
        <w:rPr>
          <w:sz w:val="19"/>
        </w:rPr>
      </w:pPr>
    </w:p>
    <w:p>
      <w:pPr>
        <w:pStyle w:val="Heading6"/>
      </w:pPr>
      <w:r>
        <w:rPr>
          <w:color w:val="009483"/>
        </w:rPr>
        <w:t>Monetary conditions</w:t>
      </w:r>
    </w:p>
    <w:p>
      <w:pPr>
        <w:pStyle w:val="ListParagraph"/>
        <w:numPr>
          <w:ilvl w:val="0"/>
          <w:numId w:val="38"/>
        </w:numPr>
        <w:tabs>
          <w:tab w:pos="679" w:val="left" w:leader="none"/>
          <w:tab w:pos="681" w:val="left" w:leader="none"/>
        </w:tabs>
        <w:spacing w:line="232" w:lineRule="auto" w:before="110" w:after="0"/>
        <w:ind w:left="200" w:right="38" w:firstLine="0"/>
        <w:jc w:val="left"/>
        <w:rPr>
          <w:sz w:val="18"/>
        </w:rPr>
      </w:pPr>
      <w:r>
        <w:rPr>
          <w:color w:val="231F20"/>
          <w:sz w:val="18"/>
        </w:rPr>
        <w:t>The Committee noted that the rate of growth of most of the money and credit numbers had fallen over both the quarter and the latest month, and quite markedly since the peaks in 1997. Compared with May, there were clearer signs that monetary growth had eased. However, with the possible exception of narrow money, whose three-month annualised rate of growth was around 4% in July, further falls were needed in the absence of persuasive reasons to expect continuing strong negative velocity growth. On one </w:t>
      </w:r>
      <w:r>
        <w:rPr>
          <w:color w:val="231F20"/>
          <w:spacing w:val="-4"/>
          <w:sz w:val="18"/>
        </w:rPr>
        <w:t>view, </w:t>
      </w:r>
      <w:r>
        <w:rPr>
          <w:color w:val="231F20"/>
          <w:sz w:val="18"/>
        </w:rPr>
        <w:t>additional risks were posed by a possible liquidity overhang from cumulative past rapid broad money growth.</w:t>
      </w:r>
    </w:p>
    <w:p>
      <w:pPr>
        <w:pStyle w:val="BodyText"/>
        <w:spacing w:before="8"/>
        <w:rPr>
          <w:sz w:val="16"/>
        </w:rPr>
      </w:pPr>
    </w:p>
    <w:p>
      <w:pPr>
        <w:pStyle w:val="ListParagraph"/>
        <w:numPr>
          <w:ilvl w:val="0"/>
          <w:numId w:val="38"/>
        </w:numPr>
        <w:tabs>
          <w:tab w:pos="679" w:val="left" w:leader="none"/>
          <w:tab w:pos="681" w:val="left" w:leader="none"/>
        </w:tabs>
        <w:spacing w:line="232" w:lineRule="auto" w:before="0" w:after="0"/>
        <w:ind w:left="200" w:right="128" w:firstLine="0"/>
        <w:jc w:val="left"/>
        <w:rPr>
          <w:sz w:val="18"/>
        </w:rPr>
      </w:pPr>
      <w:r>
        <w:rPr>
          <w:color w:val="231F20"/>
          <w:sz w:val="18"/>
        </w:rPr>
        <w:t>Consumer credit had continued to rise very rapidly. It seemed that, notwithstanding the increases in official rates, </w:t>
      </w:r>
      <w:r>
        <w:rPr>
          <w:color w:val="231F20"/>
          <w:spacing w:val="-3"/>
          <w:sz w:val="18"/>
        </w:rPr>
        <w:t>intense </w:t>
      </w:r>
      <w:r>
        <w:rPr>
          <w:color w:val="231F20"/>
          <w:sz w:val="18"/>
        </w:rPr>
        <w:t>competition had prevented interest rates from rising on unsecured credit products over the past year or so. It was unclear what if any implications this had for future consumption growth, particularly given that mortgage equity withdrawal had been negative in </w:t>
      </w:r>
      <w:r>
        <w:rPr>
          <w:color w:val="231F20"/>
          <w:spacing w:val="-3"/>
          <w:sz w:val="18"/>
        </w:rPr>
        <w:t>recent </w:t>
      </w:r>
      <w:r>
        <w:rPr>
          <w:color w:val="231F20"/>
          <w:sz w:val="18"/>
        </w:rPr>
        <w:t>quarters.</w:t>
      </w:r>
    </w:p>
    <w:p>
      <w:pPr>
        <w:pStyle w:val="BodyText"/>
        <w:spacing w:before="10"/>
        <w:rPr>
          <w:sz w:val="16"/>
        </w:rPr>
      </w:pPr>
    </w:p>
    <w:p>
      <w:pPr>
        <w:pStyle w:val="ListParagraph"/>
        <w:numPr>
          <w:ilvl w:val="0"/>
          <w:numId w:val="38"/>
        </w:numPr>
        <w:tabs>
          <w:tab w:pos="679" w:val="left" w:leader="none"/>
          <w:tab w:pos="681" w:val="left" w:leader="none"/>
        </w:tabs>
        <w:spacing w:line="232" w:lineRule="auto" w:before="1" w:after="0"/>
        <w:ind w:left="200" w:right="72" w:firstLine="0"/>
        <w:jc w:val="left"/>
        <w:rPr>
          <w:sz w:val="18"/>
        </w:rPr>
      </w:pPr>
      <w:r>
        <w:rPr>
          <w:color w:val="231F20"/>
          <w:sz w:val="18"/>
        </w:rPr>
        <w:t>As regards price indicators of monetary conditions, the </w:t>
      </w:r>
      <w:r>
        <w:rPr>
          <w:color w:val="231F20"/>
          <w:spacing w:val="-4"/>
          <w:sz w:val="18"/>
        </w:rPr>
        <w:t>Bank </w:t>
      </w:r>
      <w:r>
        <w:rPr>
          <w:color w:val="231F20"/>
          <w:sz w:val="18"/>
        </w:rPr>
        <w:t>staff’s estimates of short maturity real interest rates suggested a </w:t>
      </w:r>
      <w:r>
        <w:rPr>
          <w:color w:val="231F20"/>
          <w:spacing w:val="-3"/>
          <w:sz w:val="18"/>
        </w:rPr>
        <w:t>fall </w:t>
      </w:r>
      <w:r>
        <w:rPr>
          <w:color w:val="231F20"/>
          <w:sz w:val="18"/>
        </w:rPr>
        <w:t>over the past month but a rise since May, mainly owing to the change since the June tightening in expected future official rates. However, sterling had fallen over both the past month and compared with the May </w:t>
      </w:r>
      <w:r>
        <w:rPr>
          <w:i/>
          <w:color w:val="231F20"/>
          <w:sz w:val="18"/>
        </w:rPr>
        <w:t>Inflation Report</w:t>
      </w:r>
      <w:r>
        <w:rPr>
          <w:i/>
          <w:color w:val="231F20"/>
          <w:spacing w:val="-2"/>
          <w:sz w:val="18"/>
        </w:rPr>
        <w:t> </w:t>
      </w:r>
      <w:r>
        <w:rPr>
          <w:color w:val="231F20"/>
          <w:sz w:val="18"/>
        </w:rPr>
        <w:t>assumption.</w:t>
      </w:r>
    </w:p>
    <w:p>
      <w:pPr>
        <w:pStyle w:val="BodyText"/>
        <w:spacing w:before="2"/>
        <w:rPr>
          <w:sz w:val="20"/>
        </w:rPr>
      </w:pPr>
    </w:p>
    <w:p>
      <w:pPr>
        <w:pStyle w:val="Heading6"/>
        <w:spacing w:before="1"/>
      </w:pPr>
      <w:r>
        <w:rPr>
          <w:color w:val="009483"/>
        </w:rPr>
        <w:t>Other forecasts of inflation</w:t>
      </w:r>
    </w:p>
    <w:p>
      <w:pPr>
        <w:pStyle w:val="ListParagraph"/>
        <w:numPr>
          <w:ilvl w:val="0"/>
          <w:numId w:val="38"/>
        </w:numPr>
        <w:tabs>
          <w:tab w:pos="679" w:val="left" w:leader="none"/>
          <w:tab w:pos="681" w:val="left" w:leader="none"/>
        </w:tabs>
        <w:spacing w:line="232" w:lineRule="auto" w:before="109" w:after="0"/>
        <w:ind w:left="200" w:right="238" w:firstLine="0"/>
        <w:jc w:val="left"/>
        <w:rPr>
          <w:sz w:val="18"/>
        </w:rPr>
      </w:pPr>
      <w:r>
        <w:rPr>
          <w:color w:val="231F20"/>
          <w:sz w:val="18"/>
        </w:rPr>
        <w:t>The Committee reviewed information collected up to the meeting on other forecasts; as usual the completed survey </w:t>
      </w:r>
      <w:r>
        <w:rPr>
          <w:color w:val="231F20"/>
          <w:spacing w:val="-4"/>
          <w:sz w:val="18"/>
        </w:rPr>
        <w:t>would </w:t>
      </w:r>
      <w:r>
        <w:rPr>
          <w:color w:val="231F20"/>
          <w:sz w:val="18"/>
        </w:rPr>
        <w:t>be summarised in the </w:t>
      </w:r>
      <w:r>
        <w:rPr>
          <w:i/>
          <w:color w:val="231F20"/>
          <w:sz w:val="18"/>
        </w:rPr>
        <w:t>Inflation Report</w:t>
      </w:r>
      <w:r>
        <w:rPr>
          <w:color w:val="231F20"/>
          <w:sz w:val="18"/>
        </w:rPr>
        <w:t>. So far, the averages for RPIX inflation in 1998 Q4, 1999 Q4 and 2000 Q3 were 2.6%, 2.5% and 2.5% respectively; and for GDP growth they were 1.4%, 1.7% and 2.2%. These forecasts did, of course, make a</w:t>
      </w:r>
    </w:p>
    <w:p>
      <w:pPr>
        <w:pStyle w:val="BodyText"/>
        <w:spacing w:before="6"/>
        <w:rPr>
          <w:sz w:val="20"/>
        </w:rPr>
      </w:pPr>
      <w:r>
        <w:rPr/>
        <w:br w:type="column"/>
      </w:r>
      <w:r>
        <w:rPr>
          <w:sz w:val="20"/>
        </w:rPr>
      </w:r>
    </w:p>
    <w:p>
      <w:pPr>
        <w:pStyle w:val="BodyText"/>
        <w:spacing w:line="232" w:lineRule="auto"/>
        <w:ind w:left="200" w:right="734"/>
      </w:pPr>
      <w:r>
        <w:rPr>
          <w:color w:val="231F20"/>
        </w:rPr>
        <w:t>variety of assumptions about the path of interest rates and the exchange rate.</w:t>
      </w:r>
    </w:p>
    <w:p>
      <w:pPr>
        <w:pStyle w:val="BodyText"/>
        <w:spacing w:before="6"/>
        <w:rPr>
          <w:sz w:val="20"/>
        </w:rPr>
      </w:pPr>
    </w:p>
    <w:p>
      <w:pPr>
        <w:pStyle w:val="Heading6"/>
      </w:pPr>
      <w:r>
        <w:rPr>
          <w:color w:val="009483"/>
        </w:rPr>
        <w:t>The MPC’s August forecast</w:t>
      </w:r>
    </w:p>
    <w:p>
      <w:pPr>
        <w:pStyle w:val="ListParagraph"/>
        <w:numPr>
          <w:ilvl w:val="0"/>
          <w:numId w:val="38"/>
        </w:numPr>
        <w:tabs>
          <w:tab w:pos="679" w:val="left" w:leader="none"/>
          <w:tab w:pos="681" w:val="left" w:leader="none"/>
        </w:tabs>
        <w:spacing w:line="232" w:lineRule="auto" w:before="190" w:after="0"/>
        <w:ind w:left="200" w:right="266" w:firstLine="0"/>
        <w:jc w:val="left"/>
        <w:rPr>
          <w:sz w:val="18"/>
        </w:rPr>
      </w:pPr>
      <w:r>
        <w:rPr>
          <w:color w:val="231F20"/>
          <w:sz w:val="18"/>
        </w:rPr>
        <w:t>On the Committee’s own forecast, which is described fully in the </w:t>
      </w:r>
      <w:r>
        <w:rPr>
          <w:i/>
          <w:color w:val="231F20"/>
          <w:sz w:val="18"/>
        </w:rPr>
        <w:t>Inflation Report </w:t>
      </w:r>
      <w:r>
        <w:rPr>
          <w:color w:val="231F20"/>
          <w:sz w:val="18"/>
        </w:rPr>
        <w:t>published in the week following the </w:t>
      </w:r>
      <w:r>
        <w:rPr>
          <w:color w:val="231F20"/>
          <w:spacing w:val="-3"/>
          <w:sz w:val="18"/>
        </w:rPr>
        <w:t>meeting, </w:t>
      </w:r>
      <w:r>
        <w:rPr>
          <w:color w:val="231F20"/>
          <w:sz w:val="18"/>
        </w:rPr>
        <w:t>the near-term outlook for output growth was weaker than in May. As in previous quarters there was a negative contribution from net trade through much of the forecast period, but this was smaller than in May due to sterling’s slight fall over the quarter and a steeper future depreciation being assumed in the central projection, reflecting a widening in interest rate differentials. The official figures for investment in 1996 and 1997 having been revised up, the Committee decided to reduce its forecast of investment growth, and so domestic demand growth, over the forecast period. Overall, therefore, in the central projection output growth fell below trend before rising as the fall in net exports came to an end and as planned government spending picked up.</w:t>
      </w:r>
    </w:p>
    <w:p>
      <w:pPr>
        <w:pStyle w:val="BodyText"/>
        <w:spacing w:before="7"/>
        <w:rPr>
          <w:sz w:val="21"/>
        </w:rPr>
      </w:pPr>
    </w:p>
    <w:p>
      <w:pPr>
        <w:pStyle w:val="ListParagraph"/>
        <w:numPr>
          <w:ilvl w:val="0"/>
          <w:numId w:val="38"/>
        </w:numPr>
        <w:tabs>
          <w:tab w:pos="681" w:val="left" w:leader="none"/>
        </w:tabs>
        <w:spacing w:line="232" w:lineRule="auto" w:before="0" w:after="0"/>
        <w:ind w:left="200" w:right="362" w:firstLine="0"/>
        <w:jc w:val="both"/>
        <w:rPr>
          <w:sz w:val="18"/>
        </w:rPr>
      </w:pPr>
      <w:r>
        <w:rPr>
          <w:color w:val="231F20"/>
          <w:sz w:val="18"/>
        </w:rPr>
        <w:t>The inflation profile reflected the adverse news on earnings since May, which on its own implied a worse rate of inflation for </w:t>
      </w:r>
      <w:r>
        <w:rPr>
          <w:color w:val="231F20"/>
          <w:spacing w:val="-18"/>
          <w:sz w:val="18"/>
        </w:rPr>
        <w:t>a </w:t>
      </w:r>
      <w:r>
        <w:rPr>
          <w:color w:val="231F20"/>
          <w:sz w:val="18"/>
        </w:rPr>
        <w:t>given rate of output growth (a worse short-run nominal/real</w:t>
      </w:r>
    </w:p>
    <w:p>
      <w:pPr>
        <w:pStyle w:val="BodyText"/>
        <w:spacing w:line="232" w:lineRule="auto"/>
        <w:ind w:left="200" w:right="319"/>
      </w:pPr>
      <w:r>
        <w:rPr>
          <w:color w:val="231F20"/>
        </w:rPr>
        <w:t>trade-off). Not all members agreed with this interpretation of the earnings data. The alternative view was that the bonus elements of earnings was likely to slow as activity slowed. However, in the central projection, earnings now accelerated by more than assumed in May, and the effect of the National Minimum Wage on the price level added to nominal earnings growth in the shorter run.</w:t>
      </w:r>
    </w:p>
    <w:p>
      <w:pPr>
        <w:pStyle w:val="BodyText"/>
        <w:spacing w:line="232" w:lineRule="auto"/>
        <w:ind w:left="200" w:right="663"/>
      </w:pPr>
      <w:r>
        <w:rPr>
          <w:color w:val="231F20"/>
        </w:rPr>
        <w:t>Inflationary pressures would, however, subside somewhat as the economy slowed and unemployment rose. The central projection was thus for RPIX inflation to rise into 1999 before falling back.</w:t>
      </w:r>
    </w:p>
    <w:p>
      <w:pPr>
        <w:pStyle w:val="BodyText"/>
        <w:spacing w:before="9"/>
        <w:rPr>
          <w:sz w:val="21"/>
        </w:rPr>
      </w:pPr>
    </w:p>
    <w:p>
      <w:pPr>
        <w:pStyle w:val="ListParagraph"/>
        <w:numPr>
          <w:ilvl w:val="0"/>
          <w:numId w:val="38"/>
        </w:numPr>
        <w:tabs>
          <w:tab w:pos="679" w:val="left" w:leader="none"/>
          <w:tab w:pos="681" w:val="left" w:leader="none"/>
        </w:tabs>
        <w:spacing w:line="232" w:lineRule="auto" w:before="0" w:after="0"/>
        <w:ind w:left="200" w:right="362" w:firstLine="0"/>
        <w:jc w:val="left"/>
        <w:rPr>
          <w:sz w:val="18"/>
        </w:rPr>
      </w:pPr>
      <w:r>
        <w:rPr>
          <w:color w:val="231F20"/>
          <w:sz w:val="18"/>
        </w:rPr>
        <w:t>The net effect of these influences was that the central projection for RPIX was above the 2.5% target until the end of the forecast period; and that May’s saucer-shaped forecast was succeeded by a forecast with a hump. The balance of risks to inflation were on the upside towards the end of the period </w:t>
      </w:r>
      <w:r>
        <w:rPr>
          <w:color w:val="231F20"/>
          <w:spacing w:val="-3"/>
          <w:sz w:val="18"/>
        </w:rPr>
        <w:t>through, </w:t>
      </w:r>
      <w:r>
        <w:rPr>
          <w:color w:val="231F20"/>
          <w:sz w:val="18"/>
        </w:rPr>
        <w:t>amongst other things, the possibility of a greater sterling depreciation than assumed in the central projection.</w:t>
      </w:r>
    </w:p>
    <w:p>
      <w:pPr>
        <w:pStyle w:val="BodyText"/>
        <w:spacing w:before="1"/>
        <w:rPr>
          <w:sz w:val="27"/>
        </w:rPr>
      </w:pPr>
    </w:p>
    <w:p>
      <w:pPr>
        <w:pStyle w:val="Heading6"/>
        <w:spacing w:before="1"/>
      </w:pPr>
      <w:r>
        <w:rPr>
          <w:color w:val="009483"/>
        </w:rPr>
        <w:t>The immediate policy decision</w:t>
      </w:r>
    </w:p>
    <w:p>
      <w:pPr>
        <w:pStyle w:val="ListParagraph"/>
        <w:numPr>
          <w:ilvl w:val="0"/>
          <w:numId w:val="38"/>
        </w:numPr>
        <w:tabs>
          <w:tab w:pos="679" w:val="left" w:leader="none"/>
          <w:tab w:pos="681" w:val="left" w:leader="none"/>
        </w:tabs>
        <w:spacing w:line="232" w:lineRule="auto" w:before="169" w:after="0"/>
        <w:ind w:left="200" w:right="276" w:firstLine="0"/>
        <w:jc w:val="left"/>
        <w:rPr>
          <w:sz w:val="18"/>
        </w:rPr>
      </w:pPr>
      <w:r>
        <w:rPr>
          <w:color w:val="231F20"/>
          <w:sz w:val="18"/>
        </w:rPr>
        <w:t>The Committee first discussed to what extent it should </w:t>
      </w:r>
      <w:r>
        <w:rPr>
          <w:color w:val="231F20"/>
          <w:spacing w:val="-4"/>
          <w:sz w:val="18"/>
        </w:rPr>
        <w:t>weigh </w:t>
      </w:r>
      <w:r>
        <w:rPr>
          <w:color w:val="231F20"/>
          <w:sz w:val="18"/>
        </w:rPr>
        <w:t>in its policy decision not only the medium-term outlook for inflation but also the hump in inflation which it was forecasting in the first half of 1999.</w:t>
      </w:r>
    </w:p>
    <w:p>
      <w:pPr>
        <w:pStyle w:val="BodyText"/>
        <w:spacing w:before="4"/>
        <w:rPr>
          <w:sz w:val="22"/>
        </w:rPr>
      </w:pPr>
    </w:p>
    <w:p>
      <w:pPr>
        <w:pStyle w:val="ListParagraph"/>
        <w:numPr>
          <w:ilvl w:val="0"/>
          <w:numId w:val="38"/>
        </w:numPr>
        <w:tabs>
          <w:tab w:pos="679" w:val="left" w:leader="none"/>
          <w:tab w:pos="681" w:val="left" w:leader="none"/>
        </w:tabs>
        <w:spacing w:line="232" w:lineRule="auto" w:before="0" w:after="0"/>
        <w:ind w:left="200" w:right="327" w:firstLine="0"/>
        <w:jc w:val="left"/>
        <w:rPr>
          <w:sz w:val="18"/>
        </w:rPr>
      </w:pPr>
      <w:r>
        <w:rPr>
          <w:color w:val="231F20"/>
          <w:sz w:val="18"/>
        </w:rPr>
        <w:t>On one argument, the Committee should be concerned with the profile for inflation over the entire horizon at which current policy was likely to have some impact on inflation, not solely on the two-year ahead prospect. The central projection for inflation </w:t>
      </w:r>
      <w:r>
        <w:rPr>
          <w:color w:val="231F20"/>
          <w:spacing w:val="-9"/>
          <w:sz w:val="18"/>
        </w:rPr>
        <w:t>in </w:t>
      </w:r>
      <w:r>
        <w:rPr>
          <w:color w:val="231F20"/>
          <w:sz w:val="18"/>
        </w:rPr>
        <w:t>the August </w:t>
      </w:r>
      <w:r>
        <w:rPr>
          <w:i/>
          <w:color w:val="231F20"/>
          <w:sz w:val="18"/>
        </w:rPr>
        <w:t>Inflation Report </w:t>
      </w:r>
      <w:r>
        <w:rPr>
          <w:color w:val="231F20"/>
          <w:sz w:val="18"/>
        </w:rPr>
        <w:t>was above the target throughout the entire forecast period, except at the two year horizon, with the prospect of a subsequent rise in inflation as domestic demand growth picked up. Moreover the balance of risks to inflation was on the upside. To eliminate the anticipated hump in inflation completely might require too much volatility in output in the</w:t>
      </w:r>
    </w:p>
    <w:p>
      <w:pPr>
        <w:pStyle w:val="BodyText"/>
        <w:spacing w:line="232" w:lineRule="auto"/>
        <w:ind w:left="200" w:right="339"/>
      </w:pPr>
      <w:r>
        <w:rPr>
          <w:color w:val="231F20"/>
        </w:rPr>
        <w:t>short run. Nevertheless, it would be appropriate to reduce that hump somewhat by a further immediate tightening of monetary policy. This would also help to bring down inflation at longer horizons. The inflation projection implied that over the two year horizon, in order to meet the inflation target, an increase in interest rates was more likely to be necessary than a cut. There were no pressing arguments for delaying an increase, and so an immediate increase was called for.</w:t>
      </w:r>
    </w:p>
    <w:p>
      <w:pPr>
        <w:pStyle w:val="BodyText"/>
        <w:spacing w:before="2"/>
        <w:rPr>
          <w:sz w:val="16"/>
        </w:rPr>
      </w:pPr>
    </w:p>
    <w:p>
      <w:pPr>
        <w:pStyle w:val="ListParagraph"/>
        <w:numPr>
          <w:ilvl w:val="0"/>
          <w:numId w:val="38"/>
        </w:numPr>
        <w:tabs>
          <w:tab w:pos="681" w:val="left" w:leader="none"/>
        </w:tabs>
        <w:spacing w:line="232" w:lineRule="auto" w:before="0" w:after="0"/>
        <w:ind w:left="200" w:right="342" w:firstLine="0"/>
        <w:jc w:val="both"/>
        <w:rPr>
          <w:sz w:val="18"/>
        </w:rPr>
      </w:pPr>
      <w:r>
        <w:rPr>
          <w:color w:val="231F20"/>
          <w:sz w:val="18"/>
        </w:rPr>
        <w:t>On another argument, the lags in monetary policy were </w:t>
      </w:r>
      <w:r>
        <w:rPr>
          <w:color w:val="231F20"/>
          <w:spacing w:val="-5"/>
          <w:sz w:val="18"/>
        </w:rPr>
        <w:t>such </w:t>
      </w:r>
      <w:r>
        <w:rPr>
          <w:color w:val="231F20"/>
          <w:sz w:val="18"/>
        </w:rPr>
        <w:t>that raising rates to reduce the expected but uncertain hump in</w:t>
      </w:r>
    </w:p>
    <w:p>
      <w:pPr>
        <w:spacing w:after="0" w:line="232" w:lineRule="auto"/>
        <w:jc w:val="both"/>
        <w:rPr>
          <w:sz w:val="18"/>
        </w:rPr>
        <w:sectPr>
          <w:type w:val="continuous"/>
          <w:pgSz w:w="11900" w:h="16840"/>
          <w:pgMar w:top="1220" w:bottom="280" w:left="620" w:right="520"/>
          <w:cols w:num="2" w:equalWidth="0">
            <w:col w:w="5139" w:space="248"/>
            <w:col w:w="5373"/>
          </w:cols>
        </w:sectPr>
      </w:pPr>
    </w:p>
    <w:p>
      <w:pPr>
        <w:pStyle w:val="BodyText"/>
        <w:rPr>
          <w:sz w:val="20"/>
        </w:rPr>
      </w:pPr>
    </w:p>
    <w:p>
      <w:pPr>
        <w:spacing w:after="0"/>
        <w:rPr>
          <w:sz w:val="20"/>
        </w:rPr>
        <w:sectPr>
          <w:pgSz w:w="11900" w:h="16840"/>
          <w:pgMar w:header="566" w:footer="597" w:top="760" w:bottom="780" w:left="620" w:right="520"/>
        </w:sectPr>
      </w:pPr>
    </w:p>
    <w:p>
      <w:pPr>
        <w:pStyle w:val="BodyText"/>
        <w:spacing w:before="7"/>
        <w:rPr>
          <w:sz w:val="19"/>
        </w:rPr>
      </w:pPr>
    </w:p>
    <w:p>
      <w:pPr>
        <w:pStyle w:val="BodyText"/>
        <w:spacing w:line="232" w:lineRule="auto" w:before="1"/>
        <w:ind w:left="180"/>
      </w:pPr>
      <w:r>
        <w:rPr>
          <w:color w:val="231F20"/>
        </w:rPr>
        <w:t>inflation in 1999 would raise output volatility without directly improving the medium-term outlook for inflation. This argument pointed to not raising interest rates immediately.</w:t>
      </w:r>
    </w:p>
    <w:p>
      <w:pPr>
        <w:pStyle w:val="BodyText"/>
        <w:spacing w:before="7"/>
        <w:rPr>
          <w:sz w:val="20"/>
        </w:rPr>
      </w:pPr>
    </w:p>
    <w:p>
      <w:pPr>
        <w:pStyle w:val="ListParagraph"/>
        <w:numPr>
          <w:ilvl w:val="0"/>
          <w:numId w:val="38"/>
        </w:numPr>
        <w:tabs>
          <w:tab w:pos="661" w:val="left" w:leader="none"/>
        </w:tabs>
        <w:spacing w:line="232" w:lineRule="auto" w:before="0" w:after="0"/>
        <w:ind w:left="180" w:right="137" w:firstLine="0"/>
        <w:jc w:val="both"/>
        <w:rPr>
          <w:sz w:val="18"/>
        </w:rPr>
      </w:pPr>
      <w:r>
        <w:rPr>
          <w:color w:val="231F20"/>
          <w:sz w:val="18"/>
        </w:rPr>
        <w:t>Turning to the implications for policy of the overall </w:t>
      </w:r>
      <w:r>
        <w:rPr>
          <w:color w:val="231F20"/>
          <w:spacing w:val="-3"/>
          <w:sz w:val="18"/>
        </w:rPr>
        <w:t>outlook </w:t>
      </w:r>
      <w:r>
        <w:rPr>
          <w:color w:val="231F20"/>
          <w:sz w:val="18"/>
        </w:rPr>
        <w:t>for inflation, the Committee identified arguments for raising rates, for leaving them at 7.50%, and for cutting rates.</w:t>
      </w:r>
    </w:p>
    <w:p>
      <w:pPr>
        <w:pStyle w:val="BodyText"/>
        <w:spacing w:before="8"/>
        <w:rPr>
          <w:sz w:val="20"/>
        </w:rPr>
      </w:pPr>
    </w:p>
    <w:p>
      <w:pPr>
        <w:pStyle w:val="ListParagraph"/>
        <w:numPr>
          <w:ilvl w:val="0"/>
          <w:numId w:val="38"/>
        </w:numPr>
        <w:tabs>
          <w:tab w:pos="659" w:val="left" w:leader="none"/>
          <w:tab w:pos="661" w:val="left" w:leader="none"/>
        </w:tabs>
        <w:spacing w:line="232" w:lineRule="auto" w:before="0" w:after="0"/>
        <w:ind w:left="180" w:right="38" w:firstLine="0"/>
        <w:jc w:val="left"/>
        <w:rPr>
          <w:sz w:val="18"/>
        </w:rPr>
      </w:pPr>
      <w:r>
        <w:rPr>
          <w:color w:val="231F20"/>
          <w:sz w:val="18"/>
        </w:rPr>
        <w:t>The arguments for raising rates were as follows. The central projection for inflation was above the target throughout the forecast period, except at the 2 year horizon. The risks to inflation were, moreover, on the upside throughout—and especially towards the end of—the forecast period, so that the mean projection of inflation was above 2</w:t>
      </w:r>
      <w:r>
        <w:rPr>
          <w:color w:val="231F20"/>
          <w:position w:val="6"/>
          <w:sz w:val="9"/>
        </w:rPr>
        <w:t>1</w:t>
      </w:r>
      <w:r>
        <w:rPr>
          <w:color w:val="231F20"/>
          <w:sz w:val="18"/>
        </w:rPr>
        <w:t>/</w:t>
      </w:r>
      <w:r>
        <w:rPr>
          <w:color w:val="231F20"/>
          <w:sz w:val="9"/>
        </w:rPr>
        <w:t>2</w:t>
      </w:r>
      <w:r>
        <w:rPr>
          <w:color w:val="231F20"/>
          <w:sz w:val="18"/>
        </w:rPr>
        <w:t>% throughout the forecast period. On one view, it seemed likely, notwithstanding the considerable uncertainties, that inflation would be increasing beyond the two-year horizon, as the effects of sterling’s appreciation on net trade wore off and as the impact of government spending on domestic demand came </w:t>
      </w:r>
      <w:r>
        <w:rPr>
          <w:color w:val="231F20"/>
          <w:spacing w:val="-3"/>
          <w:sz w:val="18"/>
        </w:rPr>
        <w:t>through. </w:t>
      </w:r>
      <w:r>
        <w:rPr>
          <w:color w:val="231F20"/>
          <w:sz w:val="18"/>
        </w:rPr>
        <w:t>Thus, just as inflation outturns had persistently been above target in the past, it was more likely than not that inflation would be above target in the foreseeable future. This would be damaging to credibility, and called for an immediate 25 basis point rise.</w:t>
      </w:r>
    </w:p>
    <w:p>
      <w:pPr>
        <w:pStyle w:val="BodyText"/>
        <w:spacing w:before="11"/>
        <w:rPr>
          <w:sz w:val="19"/>
        </w:rPr>
      </w:pPr>
    </w:p>
    <w:p>
      <w:pPr>
        <w:pStyle w:val="ListParagraph"/>
        <w:numPr>
          <w:ilvl w:val="0"/>
          <w:numId w:val="38"/>
        </w:numPr>
        <w:tabs>
          <w:tab w:pos="659" w:val="left" w:leader="none"/>
          <w:tab w:pos="661" w:val="left" w:leader="none"/>
        </w:tabs>
        <w:spacing w:line="232" w:lineRule="auto" w:before="0" w:after="0"/>
        <w:ind w:left="180" w:right="38" w:firstLine="0"/>
        <w:jc w:val="left"/>
        <w:rPr>
          <w:sz w:val="18"/>
        </w:rPr>
      </w:pPr>
      <w:r>
        <w:rPr>
          <w:color w:val="231F20"/>
          <w:sz w:val="18"/>
        </w:rPr>
        <w:t>The arguments for a cut in rates were as follows. Current monetary conditions were already tight. Real short-term interest rates were probably in the range 4</w:t>
      </w:r>
      <w:r>
        <w:rPr>
          <w:color w:val="231F20"/>
          <w:position w:val="6"/>
          <w:sz w:val="9"/>
        </w:rPr>
        <w:t>1</w:t>
      </w:r>
      <w:r>
        <w:rPr>
          <w:color w:val="231F20"/>
          <w:sz w:val="18"/>
        </w:rPr>
        <w:t>/</w:t>
      </w:r>
      <w:r>
        <w:rPr>
          <w:color w:val="231F20"/>
          <w:sz w:val="9"/>
        </w:rPr>
        <w:t>2</w:t>
      </w:r>
      <w:r>
        <w:rPr>
          <w:color w:val="231F20"/>
          <w:sz w:val="18"/>
        </w:rPr>
        <w:t>%–5% and the exchange rate was being held up partly by market expectations of official interest rates being set at the current level (or even higher) for some time. The downturn in the economy now becoming evident in the data was largely the effect of the monetary tightening put in place a year or so ago and the past appreciation of sterling. So far the downturn was moderate, but the more recent monetary tightenings were yet </w:t>
      </w:r>
      <w:r>
        <w:rPr>
          <w:color w:val="231F20"/>
          <w:spacing w:val="-9"/>
          <w:sz w:val="18"/>
        </w:rPr>
        <w:t>to </w:t>
      </w:r>
      <w:r>
        <w:rPr>
          <w:color w:val="231F20"/>
          <w:sz w:val="18"/>
        </w:rPr>
        <w:t>have their maximum effect, and there were some ominous signs in the survey evidence and from the Bank’s regional Agents that the decline in output growth might be about to steepen.</w:t>
      </w:r>
    </w:p>
    <w:p>
      <w:pPr>
        <w:pStyle w:val="BodyText"/>
        <w:rPr>
          <w:sz w:val="20"/>
        </w:rPr>
      </w:pPr>
    </w:p>
    <w:p>
      <w:pPr>
        <w:pStyle w:val="ListParagraph"/>
        <w:numPr>
          <w:ilvl w:val="0"/>
          <w:numId w:val="38"/>
        </w:numPr>
        <w:tabs>
          <w:tab w:pos="659" w:val="left" w:leader="none"/>
          <w:tab w:pos="661" w:val="left" w:leader="none"/>
        </w:tabs>
        <w:spacing w:line="232" w:lineRule="auto" w:before="0" w:after="0"/>
        <w:ind w:left="180" w:right="53" w:firstLine="0"/>
        <w:jc w:val="left"/>
        <w:rPr>
          <w:sz w:val="18"/>
        </w:rPr>
      </w:pPr>
      <w:r>
        <w:rPr>
          <w:color w:val="231F20"/>
          <w:sz w:val="18"/>
        </w:rPr>
        <w:t>On this view these arguments pointed to an immediate, but small, reduction in interest rates, both to bring down their level directly and also to signal that official rates had probably peaked. Further support for this view came from a lower inflation forecast based on an alternative interpretation of bonus payments and earnings growth which assumed no change in the short-term nominal/real trade-off from that in the May projection. In that case it was unlikely that a 25 basis points reduction in rates would be enough to prevent inflation from being below target, especially if the downside risks of a deeper prolonged impact from the Asian crisis materialised. But there were arguments against a larger cut </w:t>
      </w:r>
      <w:r>
        <w:rPr>
          <w:color w:val="231F20"/>
          <w:spacing w:val="-9"/>
          <w:sz w:val="18"/>
        </w:rPr>
        <w:t>at </w:t>
      </w:r>
      <w:r>
        <w:rPr>
          <w:color w:val="231F20"/>
          <w:sz w:val="18"/>
        </w:rPr>
        <w:t>this point. Domestically, there were some offsetting upward risks to inflation. Medium-term inflationary pressures had increased because of the introduction of the minimum wage and because of the expansionary effect of higher planned government expenditure. There was also a risk of further earnings acceleration, although on this view it would not be possible for producers to pass much of that through to prices in the current environment. It was therefore</w:t>
      </w:r>
    </w:p>
    <w:p>
      <w:pPr>
        <w:pStyle w:val="BodyText"/>
        <w:spacing w:before="7"/>
        <w:rPr>
          <w:sz w:val="19"/>
        </w:rPr>
      </w:pPr>
      <w:r>
        <w:rPr/>
        <w:br w:type="column"/>
      </w:r>
      <w:r>
        <w:rPr>
          <w:sz w:val="19"/>
        </w:rPr>
      </w:r>
    </w:p>
    <w:p>
      <w:pPr>
        <w:pStyle w:val="BodyText"/>
        <w:spacing w:line="232" w:lineRule="auto" w:before="1"/>
        <w:ind w:left="180" w:right="376"/>
      </w:pPr>
      <w:r>
        <w:rPr>
          <w:color w:val="231F20"/>
        </w:rPr>
        <w:t>desirable to reduce rates by 25 basis points now and then wait to see how earnings and prices developed before bringing rates down further.</w:t>
      </w:r>
    </w:p>
    <w:p>
      <w:pPr>
        <w:pStyle w:val="ListParagraph"/>
        <w:numPr>
          <w:ilvl w:val="0"/>
          <w:numId w:val="38"/>
        </w:numPr>
        <w:tabs>
          <w:tab w:pos="659" w:val="left" w:leader="none"/>
          <w:tab w:pos="661" w:val="left" w:leader="none"/>
        </w:tabs>
        <w:spacing w:line="232" w:lineRule="auto" w:before="177" w:after="0"/>
        <w:ind w:left="180" w:right="309" w:firstLine="0"/>
        <w:jc w:val="left"/>
        <w:rPr>
          <w:sz w:val="18"/>
        </w:rPr>
      </w:pPr>
      <w:r>
        <w:rPr>
          <w:color w:val="231F20"/>
          <w:sz w:val="18"/>
        </w:rPr>
        <w:t>The arguments for leaving rates at 7.50% were as follows. The slowdown in activity and demand so far was broadly in line with the Committee’s earlier forecasts, resolving the earlier uncertainty about whether a turning point had been reached. The downturn also appeared so far to be somewhat more balanced than previously expected. On the other hand, the earnings data were clearly worse than expected in May, implying that the short-run nominal/real trade off had deteriorated. That would probably continue for a while, and was reflected in the Committee’s forecast. While the risks to inflation were on balance on the upside, there were downside risks. In particular the forecast of consumption growth depended in part on private sector wealth and thus on the course of the equity market, which had recently become more rather than less uncertain. And the recent striking fall in consumer and business confidence, evidenced by surveys and the Bank’s regional Agents, signalled downside risks to activity and inflation. These risks might be greater than reflected in the forecast. For example, the downturn might prove sharp enough to prevent the forecast rise in earnings growth being passed through into prices in the short run, although that would tend to increase latent price pressures beyond the two-year horizon, since margins would probably be rebuilt at some stage. In sum, given that inflation was forecast to be close to the target in two years’ time and that the outlook beyond then was highly uncertain, the Committee could sensibly wait to gather more information before concluding that policy needed to be changed.</w:t>
      </w:r>
    </w:p>
    <w:p>
      <w:pPr>
        <w:pStyle w:val="ListParagraph"/>
        <w:numPr>
          <w:ilvl w:val="0"/>
          <w:numId w:val="38"/>
        </w:numPr>
        <w:tabs>
          <w:tab w:pos="659" w:val="left" w:leader="none"/>
          <w:tab w:pos="661" w:val="left" w:leader="none"/>
        </w:tabs>
        <w:spacing w:line="232" w:lineRule="auto" w:before="160" w:after="0"/>
        <w:ind w:left="180" w:right="373" w:firstLine="0"/>
        <w:jc w:val="left"/>
        <w:rPr>
          <w:sz w:val="18"/>
        </w:rPr>
      </w:pPr>
      <w:r>
        <w:rPr>
          <w:color w:val="231F20"/>
          <w:sz w:val="18"/>
        </w:rPr>
        <w:t>The Governor invited members of the Committee to vote </w:t>
      </w:r>
      <w:r>
        <w:rPr>
          <w:color w:val="231F20"/>
          <w:spacing w:val="-8"/>
          <w:sz w:val="18"/>
        </w:rPr>
        <w:t>on </w:t>
      </w:r>
      <w:r>
        <w:rPr>
          <w:color w:val="231F20"/>
          <w:sz w:val="18"/>
        </w:rPr>
        <w:t>the proposition that the Bank’s repo rate be left unchanged this month. Seven members of the Committee (the Governor, Mervyn King, David Clementi, Alan Budd, Charles Goodhart, Ian Plenderleith and John Vickers) voted for the proposition, and two (Willem Buiter and DeAnne Julius) voted against. Willem Buiter preferred an immediate rise in interest rates and DeAnne Julius an immediate cut.</w:t>
      </w:r>
    </w:p>
    <w:p>
      <w:pPr>
        <w:pStyle w:val="ListParagraph"/>
        <w:numPr>
          <w:ilvl w:val="0"/>
          <w:numId w:val="38"/>
        </w:numPr>
        <w:tabs>
          <w:tab w:pos="659" w:val="left" w:leader="none"/>
          <w:tab w:pos="661" w:val="left" w:leader="none"/>
        </w:tabs>
        <w:spacing w:line="400" w:lineRule="exact" w:before="37" w:after="0"/>
        <w:ind w:left="180" w:right="664" w:firstLine="0"/>
        <w:jc w:val="left"/>
        <w:rPr>
          <w:sz w:val="18"/>
        </w:rPr>
      </w:pPr>
      <w:r>
        <w:rPr>
          <w:color w:val="231F20"/>
          <w:sz w:val="18"/>
        </w:rPr>
        <w:t>The following members of the Committee were </w:t>
      </w:r>
      <w:r>
        <w:rPr>
          <w:color w:val="231F20"/>
          <w:spacing w:val="-3"/>
          <w:sz w:val="18"/>
        </w:rPr>
        <w:t>present: </w:t>
      </w:r>
      <w:r>
        <w:rPr>
          <w:color w:val="231F20"/>
          <w:sz w:val="18"/>
        </w:rPr>
        <w:t>Eddie George, Governor</w:t>
      </w:r>
    </w:p>
    <w:p>
      <w:pPr>
        <w:pStyle w:val="BodyText"/>
        <w:spacing w:line="155" w:lineRule="exact"/>
        <w:ind w:left="180"/>
      </w:pPr>
      <w:r>
        <w:rPr>
          <w:color w:val="231F20"/>
        </w:rPr>
        <w:t>Mervyn King, Deputy Governor responsible for monetary policy</w:t>
      </w:r>
    </w:p>
    <w:p>
      <w:pPr>
        <w:pStyle w:val="BodyText"/>
        <w:spacing w:line="232" w:lineRule="auto" w:before="1"/>
        <w:ind w:left="180" w:right="876"/>
      </w:pPr>
      <w:r>
        <w:rPr>
          <w:color w:val="231F20"/>
        </w:rPr>
        <w:t>David Clementi, Deputy Governor responsible for financial stability</w:t>
      </w:r>
    </w:p>
    <w:p>
      <w:pPr>
        <w:pStyle w:val="BodyText"/>
        <w:spacing w:line="232" w:lineRule="auto"/>
        <w:ind w:left="180" w:right="3895"/>
      </w:pPr>
      <w:r>
        <w:rPr>
          <w:color w:val="231F20"/>
        </w:rPr>
        <w:t>Alan Budd Willem Buiter Charles Goodhart DeAnne Julius Ian Plenderleith John Vickers</w:t>
      </w:r>
    </w:p>
    <w:p>
      <w:pPr>
        <w:pStyle w:val="BodyText"/>
        <w:spacing w:before="10"/>
        <w:rPr>
          <w:sz w:val="16"/>
        </w:rPr>
      </w:pPr>
    </w:p>
    <w:p>
      <w:pPr>
        <w:pStyle w:val="ListParagraph"/>
        <w:numPr>
          <w:ilvl w:val="0"/>
          <w:numId w:val="38"/>
        </w:numPr>
        <w:tabs>
          <w:tab w:pos="659" w:val="left" w:leader="none"/>
          <w:tab w:pos="661" w:val="left" w:leader="none"/>
        </w:tabs>
        <w:spacing w:line="232" w:lineRule="auto" w:before="0" w:after="0"/>
        <w:ind w:left="180" w:right="1084" w:firstLine="0"/>
        <w:jc w:val="left"/>
        <w:rPr>
          <w:sz w:val="18"/>
        </w:rPr>
      </w:pPr>
      <w:r>
        <w:rPr>
          <w:color w:val="231F20"/>
          <w:sz w:val="18"/>
        </w:rPr>
        <w:t>Andrew Turnbull was also present as the </w:t>
      </w:r>
      <w:r>
        <w:rPr>
          <w:color w:val="231F20"/>
          <w:spacing w:val="-3"/>
          <w:sz w:val="18"/>
        </w:rPr>
        <w:t>Treasury </w:t>
      </w:r>
      <w:r>
        <w:rPr>
          <w:color w:val="231F20"/>
          <w:sz w:val="18"/>
        </w:rPr>
        <w:t>representative.</w:t>
      </w:r>
    </w:p>
    <w:p>
      <w:pPr>
        <w:spacing w:after="0" w:line="232" w:lineRule="auto"/>
        <w:jc w:val="left"/>
        <w:rPr>
          <w:sz w:val="18"/>
        </w:rPr>
        <w:sectPr>
          <w:type w:val="continuous"/>
          <w:pgSz w:w="11900" w:h="16840"/>
          <w:pgMar w:top="1220" w:bottom="280" w:left="620" w:right="520"/>
          <w:cols w:num="2" w:equalWidth="0">
            <w:col w:w="5114" w:space="276"/>
            <w:col w:w="5370"/>
          </w:cols>
        </w:sectPr>
      </w:pPr>
    </w:p>
    <w:p>
      <w:pPr>
        <w:pStyle w:val="BodyText"/>
        <w:rPr>
          <w:sz w:val="20"/>
        </w:rPr>
      </w:pPr>
    </w:p>
    <w:p>
      <w:pPr>
        <w:pStyle w:val="BodyText"/>
        <w:rPr>
          <w:sz w:val="20"/>
        </w:rPr>
      </w:pPr>
    </w:p>
    <w:p>
      <w:pPr>
        <w:pStyle w:val="Heading1"/>
        <w:spacing w:before="256"/>
        <w:ind w:left="189"/>
      </w:pPr>
      <w:r>
        <w:rPr>
          <w:color w:val="009483"/>
        </w:rPr>
        <w:t>Annex: Summary of data presented by Bank staff</w:t>
      </w:r>
    </w:p>
    <w:p>
      <w:pPr>
        <w:pStyle w:val="BodyText"/>
        <w:spacing w:before="5"/>
        <w:rPr>
          <w:b/>
          <w:sz w:val="26"/>
        </w:rPr>
      </w:pPr>
    </w:p>
    <w:p>
      <w:pPr>
        <w:spacing w:after="0"/>
        <w:rPr>
          <w:sz w:val="26"/>
        </w:rPr>
        <w:sectPr>
          <w:pgSz w:w="11900" w:h="16840"/>
          <w:pgMar w:header="566" w:footer="597" w:top="760" w:bottom="780" w:left="620" w:right="520"/>
        </w:sectPr>
      </w:pPr>
    </w:p>
    <w:p>
      <w:pPr>
        <w:pStyle w:val="ListParagraph"/>
        <w:numPr>
          <w:ilvl w:val="0"/>
          <w:numId w:val="39"/>
        </w:numPr>
        <w:tabs>
          <w:tab w:pos="669" w:val="left" w:leader="none"/>
          <w:tab w:pos="671" w:val="left" w:leader="none"/>
        </w:tabs>
        <w:spacing w:line="232" w:lineRule="auto" w:before="98" w:after="0"/>
        <w:ind w:left="190" w:right="62" w:firstLine="0"/>
        <w:jc w:val="left"/>
        <w:rPr>
          <w:sz w:val="18"/>
        </w:rPr>
      </w:pPr>
      <w:r>
        <w:rPr>
          <w:color w:val="231F20"/>
          <w:sz w:val="18"/>
        </w:rPr>
        <w:t>This Annex summarises the analysis presented by Bank staff to the Monetary Policy Committee on Friday 31 July, in advance </w:t>
      </w:r>
      <w:r>
        <w:rPr>
          <w:color w:val="231F20"/>
          <w:spacing w:val="-9"/>
          <w:sz w:val="18"/>
        </w:rPr>
        <w:t>of </w:t>
      </w:r>
      <w:r>
        <w:rPr>
          <w:color w:val="231F20"/>
          <w:sz w:val="18"/>
        </w:rPr>
        <w:t>its meeting. At the meeting itself, members were made aware of information that had subsequently become available, and that information is included in the Annex.</w:t>
      </w:r>
    </w:p>
    <w:p>
      <w:pPr>
        <w:pStyle w:val="BodyText"/>
        <w:spacing w:before="9"/>
        <w:rPr>
          <w:sz w:val="16"/>
        </w:rPr>
      </w:pPr>
    </w:p>
    <w:p>
      <w:pPr>
        <w:pStyle w:val="Heading6"/>
        <w:numPr>
          <w:ilvl w:val="0"/>
          <w:numId w:val="40"/>
        </w:numPr>
        <w:tabs>
          <w:tab w:pos="669" w:val="left" w:leader="none"/>
          <w:tab w:pos="671" w:val="left" w:leader="none"/>
        </w:tabs>
        <w:spacing w:line="240" w:lineRule="auto" w:before="0" w:after="0"/>
        <w:ind w:left="670" w:right="0" w:hanging="481"/>
        <w:jc w:val="left"/>
      </w:pPr>
      <w:r>
        <w:rPr>
          <w:color w:val="009483"/>
        </w:rPr>
        <w:t>Monetary conditions</w:t>
      </w:r>
    </w:p>
    <w:p>
      <w:pPr>
        <w:pStyle w:val="ListParagraph"/>
        <w:numPr>
          <w:ilvl w:val="0"/>
          <w:numId w:val="39"/>
        </w:numPr>
        <w:tabs>
          <w:tab w:pos="669" w:val="left" w:leader="none"/>
          <w:tab w:pos="671" w:val="left" w:leader="none"/>
        </w:tabs>
        <w:spacing w:line="232" w:lineRule="auto" w:before="70" w:after="0"/>
        <w:ind w:left="190" w:right="207" w:firstLine="0"/>
        <w:jc w:val="left"/>
        <w:rPr>
          <w:sz w:val="18"/>
        </w:rPr>
      </w:pPr>
      <w:r>
        <w:rPr>
          <w:color w:val="231F20"/>
          <w:sz w:val="18"/>
        </w:rPr>
        <w:t>The twelve-month growth rate of notes and coins had </w:t>
      </w:r>
      <w:r>
        <w:rPr>
          <w:color w:val="231F20"/>
          <w:spacing w:val="-4"/>
          <w:sz w:val="18"/>
        </w:rPr>
        <w:t>risen </w:t>
      </w:r>
      <w:r>
        <w:rPr>
          <w:color w:val="231F20"/>
          <w:sz w:val="18"/>
        </w:rPr>
        <w:t>to 5.6% in July from 5.5% in June, and the three-month and</w:t>
      </w:r>
    </w:p>
    <w:p>
      <w:pPr>
        <w:pStyle w:val="BodyText"/>
        <w:spacing w:line="232" w:lineRule="auto"/>
        <w:ind w:left="190" w:right="110"/>
      </w:pPr>
      <w:r>
        <w:rPr>
          <w:color w:val="231F20"/>
        </w:rPr>
        <w:t>six-month annualised rates were 3.5% and 4.2% respectively, after adjusting for the effects of the introduction of the new 50p and £2 coins. Three-month annualised real narrow money growth had slowed to around 2%.</w:t>
      </w:r>
    </w:p>
    <w:p>
      <w:pPr>
        <w:pStyle w:val="ListParagraph"/>
        <w:numPr>
          <w:ilvl w:val="0"/>
          <w:numId w:val="39"/>
        </w:numPr>
        <w:tabs>
          <w:tab w:pos="669" w:val="left" w:leader="none"/>
          <w:tab w:pos="671" w:val="left" w:leader="none"/>
        </w:tabs>
        <w:spacing w:line="203" w:lineRule="exact" w:before="170" w:after="0"/>
        <w:ind w:left="670" w:right="0" w:hanging="481"/>
        <w:jc w:val="left"/>
        <w:rPr>
          <w:sz w:val="18"/>
        </w:rPr>
      </w:pPr>
      <w:r>
        <w:rPr>
          <w:color w:val="231F20"/>
          <w:sz w:val="18"/>
        </w:rPr>
        <w:t>Retail M4 had grown by 0.1% in June, bringing the</w:t>
      </w:r>
    </w:p>
    <w:p>
      <w:pPr>
        <w:pStyle w:val="BodyText"/>
        <w:spacing w:line="232" w:lineRule="auto" w:before="2"/>
        <w:ind w:left="190" w:right="84"/>
      </w:pPr>
      <w:r>
        <w:rPr>
          <w:color w:val="231F20"/>
        </w:rPr>
        <w:t>three-month, six-month and twelve-month growth rates down to 5.1%, 4.5% and 5.6% respectively, from 5.5%, 5.1% and 6.7% in May. The fall in the twelve-month growth rate had partly reflected strong inflows to retail deposits in June 1997 following the Halifax Building Society demutualisation.</w:t>
      </w:r>
    </w:p>
    <w:p>
      <w:pPr>
        <w:pStyle w:val="ListParagraph"/>
        <w:numPr>
          <w:ilvl w:val="0"/>
          <w:numId w:val="39"/>
        </w:numPr>
        <w:tabs>
          <w:tab w:pos="669" w:val="left" w:leader="none"/>
          <w:tab w:pos="671" w:val="left" w:leader="none"/>
        </w:tabs>
        <w:spacing w:line="232" w:lineRule="auto" w:before="176" w:after="0"/>
        <w:ind w:left="190" w:right="217" w:firstLine="0"/>
        <w:jc w:val="left"/>
        <w:rPr>
          <w:sz w:val="18"/>
        </w:rPr>
      </w:pPr>
      <w:r>
        <w:rPr>
          <w:color w:val="231F20"/>
          <w:sz w:val="18"/>
        </w:rPr>
        <w:t>The twelve-month growth rate of aggregate Divisia </w:t>
      </w:r>
      <w:r>
        <w:rPr>
          <w:color w:val="231F20"/>
          <w:spacing w:val="-4"/>
          <w:sz w:val="18"/>
        </w:rPr>
        <w:t>money </w:t>
      </w:r>
      <w:r>
        <w:rPr>
          <w:color w:val="231F20"/>
          <w:sz w:val="18"/>
        </w:rPr>
        <w:t>had fallen to 7.9% in Q2, from 8.6% in Q1. Within the total, personal sector Divisia growth had remained unchanged at 6.9%, while ICCs’ Divisia growth had fallen to 5.1% from 5.7% in Q1, and OFIs’ Divisia growth to 16.6% from 23.1%. The</w:t>
      </w:r>
    </w:p>
    <w:p>
      <w:pPr>
        <w:pStyle w:val="BodyText"/>
        <w:spacing w:line="232" w:lineRule="auto"/>
        <w:ind w:left="190" w:right="110"/>
      </w:pPr>
      <w:r>
        <w:rPr>
          <w:color w:val="231F20"/>
        </w:rPr>
        <w:t>twelve-month growth rate of aggregate real Divisia had fallen to around 5% in Q2. In the past 20 years the average annual fall in Divisia velocity had been around 1%; if that were the current </w:t>
      </w:r>
      <w:r>
        <w:rPr>
          <w:color w:val="231F20"/>
          <w:spacing w:val="-4"/>
        </w:rPr>
        <w:t>rate, </w:t>
      </w:r>
      <w:r>
        <w:rPr>
          <w:color w:val="231F20"/>
        </w:rPr>
        <w:t>real Divisia growth of about 5% was consistent with real transactions demand growth of around 4% a year.</w:t>
      </w:r>
    </w:p>
    <w:p>
      <w:pPr>
        <w:pStyle w:val="ListParagraph"/>
        <w:numPr>
          <w:ilvl w:val="0"/>
          <w:numId w:val="39"/>
        </w:numPr>
        <w:tabs>
          <w:tab w:pos="669" w:val="left" w:leader="none"/>
          <w:tab w:pos="671" w:val="left" w:leader="none"/>
        </w:tabs>
        <w:spacing w:line="232" w:lineRule="auto" w:before="172" w:after="0"/>
        <w:ind w:left="190" w:right="38" w:firstLine="0"/>
        <w:jc w:val="left"/>
        <w:rPr>
          <w:sz w:val="18"/>
        </w:rPr>
      </w:pPr>
      <w:r>
        <w:rPr>
          <w:color w:val="231F20"/>
          <w:sz w:val="18"/>
        </w:rPr>
        <w:t>Personal sector M4 growth had weakened in June, but had been relatively strong in Q2. The three-month annualised growth rate for Q2 was 6.6%, above the twelve-month growth rate of</w:t>
      </w:r>
      <w:r>
        <w:rPr>
          <w:color w:val="231F20"/>
          <w:spacing w:val="1"/>
          <w:sz w:val="18"/>
        </w:rPr>
        <w:t> </w:t>
      </w:r>
      <w:r>
        <w:rPr>
          <w:color w:val="231F20"/>
          <w:spacing w:val="-4"/>
          <w:sz w:val="18"/>
        </w:rPr>
        <w:t>6.2%.</w:t>
      </w:r>
    </w:p>
    <w:p>
      <w:pPr>
        <w:pStyle w:val="ListParagraph"/>
        <w:numPr>
          <w:ilvl w:val="0"/>
          <w:numId w:val="39"/>
        </w:numPr>
        <w:tabs>
          <w:tab w:pos="669" w:val="left" w:leader="none"/>
          <w:tab w:pos="671" w:val="left" w:leader="none"/>
        </w:tabs>
        <w:spacing w:line="232" w:lineRule="auto" w:before="178" w:after="0"/>
        <w:ind w:left="190" w:right="92" w:firstLine="0"/>
        <w:jc w:val="left"/>
        <w:rPr>
          <w:sz w:val="18"/>
        </w:rPr>
      </w:pPr>
      <w:r>
        <w:rPr>
          <w:color w:val="231F20"/>
          <w:sz w:val="18"/>
        </w:rPr>
        <w:t>ICCs’ M4 deposits had risen by 1.5% in Q2—only slightly stronger than the 1.4% rate in Q1—while the twelve-month </w:t>
      </w:r>
      <w:r>
        <w:rPr>
          <w:color w:val="231F20"/>
          <w:spacing w:val="-3"/>
          <w:sz w:val="18"/>
        </w:rPr>
        <w:t>growth </w:t>
      </w:r>
      <w:r>
        <w:rPr>
          <w:color w:val="231F20"/>
          <w:sz w:val="18"/>
        </w:rPr>
        <w:t>rate had fallen to 5.3% from 5.8% in Q1. However, the rates of growth over shorter periods had been rising, the three-month rate picking up to 6.0% in Q2 from 5.5% in Q1, and the six-month rate to 5.8% from 4.4%.</w:t>
      </w:r>
    </w:p>
    <w:p>
      <w:pPr>
        <w:pStyle w:val="ListParagraph"/>
        <w:numPr>
          <w:ilvl w:val="0"/>
          <w:numId w:val="39"/>
        </w:numPr>
        <w:tabs>
          <w:tab w:pos="669" w:val="left" w:leader="none"/>
          <w:tab w:pos="671" w:val="left" w:leader="none"/>
        </w:tabs>
        <w:spacing w:line="232" w:lineRule="auto" w:before="175" w:after="0"/>
        <w:ind w:left="189" w:right="52" w:firstLine="0"/>
        <w:jc w:val="left"/>
        <w:rPr>
          <w:sz w:val="18"/>
        </w:rPr>
      </w:pPr>
      <w:r>
        <w:rPr>
          <w:color w:val="231F20"/>
          <w:sz w:val="18"/>
        </w:rPr>
        <w:t>The 3.5% rise in OFIs’ M4 in Q2 was the weakest quarterly increase since 1994 Q4, bringing the three-month annualised growth rate in Q2 to 14.9%. The three- and six-month growth rates had remained below the twelve-month growth rate of 19.9%. </w:t>
      </w:r>
      <w:r>
        <w:rPr>
          <w:color w:val="231F20"/>
          <w:spacing w:val="-4"/>
          <w:sz w:val="18"/>
        </w:rPr>
        <w:t>Asset </w:t>
      </w:r>
      <w:r>
        <w:rPr>
          <w:color w:val="231F20"/>
          <w:sz w:val="18"/>
        </w:rPr>
        <w:t>allocation surveys carried out by Merrill Lynch suggested that L</w:t>
      </w:r>
      <w:r>
        <w:rPr>
          <w:color w:val="231F20"/>
          <w:sz w:val="14"/>
        </w:rPr>
        <w:t>APF</w:t>
      </w:r>
      <w:r>
        <w:rPr>
          <w:color w:val="231F20"/>
          <w:sz w:val="18"/>
        </w:rPr>
        <w:t>s’ cash to portfolio value ratio had fallen in June to 4.9%, which was close to the average since 1975.</w:t>
      </w:r>
    </w:p>
    <w:p>
      <w:pPr>
        <w:pStyle w:val="ListParagraph"/>
        <w:numPr>
          <w:ilvl w:val="0"/>
          <w:numId w:val="39"/>
        </w:numPr>
        <w:tabs>
          <w:tab w:pos="669" w:val="left" w:leader="none"/>
          <w:tab w:pos="671" w:val="left" w:leader="none"/>
        </w:tabs>
        <w:spacing w:line="232" w:lineRule="auto" w:before="175" w:after="0"/>
        <w:ind w:left="189" w:right="42" w:firstLine="0"/>
        <w:jc w:val="left"/>
        <w:rPr>
          <w:sz w:val="18"/>
        </w:rPr>
      </w:pPr>
      <w:r>
        <w:rPr>
          <w:color w:val="231F20"/>
          <w:sz w:val="18"/>
        </w:rPr>
        <w:t>The twelve-month growth rate of aggregate M4 had fallen to 9.0% in June, despite relatively strong monthly growth of 0.7%. The three- and six-month growth rates had remained below 9%. Since 1997 Q2, when the twelve-month growth rate of M4 was 11.7%, persons’ M4 growth had fallen from 7.7% to 6.2%, ICCs’ M4 growth had fallen from 7.7% to 5.3%, and OFIs’ from 27.8% </w:t>
      </w:r>
      <w:r>
        <w:rPr>
          <w:color w:val="231F20"/>
          <w:spacing w:val="-9"/>
          <w:sz w:val="18"/>
        </w:rPr>
        <w:t>to </w:t>
      </w:r>
      <w:r>
        <w:rPr>
          <w:color w:val="231F20"/>
          <w:sz w:val="18"/>
        </w:rPr>
        <w:t>19.9%.</w:t>
      </w:r>
    </w:p>
    <w:p>
      <w:pPr>
        <w:pStyle w:val="BodyText"/>
        <w:spacing w:before="10"/>
        <w:rPr>
          <w:sz w:val="16"/>
        </w:rPr>
      </w:pPr>
    </w:p>
    <w:p>
      <w:pPr>
        <w:pStyle w:val="ListParagraph"/>
        <w:numPr>
          <w:ilvl w:val="0"/>
          <w:numId w:val="39"/>
        </w:numPr>
        <w:tabs>
          <w:tab w:pos="669" w:val="left" w:leader="none"/>
          <w:tab w:pos="671" w:val="left" w:leader="none"/>
        </w:tabs>
        <w:spacing w:line="232" w:lineRule="auto" w:before="0" w:after="0"/>
        <w:ind w:left="189" w:right="92" w:firstLine="0"/>
        <w:jc w:val="left"/>
        <w:rPr>
          <w:sz w:val="18"/>
        </w:rPr>
      </w:pPr>
      <w:r>
        <w:rPr>
          <w:color w:val="231F20"/>
          <w:sz w:val="18"/>
        </w:rPr>
        <w:t>Real M4 growth had fallen by around 2 percentage points during 1998—slightly above the 1.6 percentage point fall in nominal M4 growth. The twelve-month growth rate of real M4 </w:t>
      </w:r>
      <w:r>
        <w:rPr>
          <w:color w:val="231F20"/>
          <w:spacing w:val="-6"/>
          <w:sz w:val="18"/>
        </w:rPr>
        <w:t>lay </w:t>
      </w:r>
      <w:r>
        <w:rPr>
          <w:color w:val="231F20"/>
          <w:sz w:val="18"/>
        </w:rPr>
        <w:t>somewhere between 6% and 7%, depending on which price series was used to deflate nominal money. The 20-year average growth rate of velocity had been around -2%; if that were the current rate, real M4 growth of 6%–7% suggested real demand growth of between 4% and 5%.</w:t>
      </w:r>
    </w:p>
    <w:p>
      <w:pPr>
        <w:pStyle w:val="ListParagraph"/>
        <w:numPr>
          <w:ilvl w:val="0"/>
          <w:numId w:val="39"/>
        </w:numPr>
        <w:tabs>
          <w:tab w:pos="669" w:val="left" w:leader="none"/>
          <w:tab w:pos="671" w:val="left" w:leader="none"/>
        </w:tabs>
        <w:spacing w:line="232" w:lineRule="auto" w:before="98" w:after="0"/>
        <w:ind w:left="189" w:right="374" w:firstLine="0"/>
        <w:jc w:val="left"/>
        <w:rPr>
          <w:sz w:val="18"/>
        </w:rPr>
      </w:pPr>
      <w:r>
        <w:rPr>
          <w:color w:val="231F20"/>
          <w:sz w:val="18"/>
        </w:rPr>
        <w:br w:type="column"/>
        <w:t>Turning to credit, aggregate M4 lending growth had been weak in June, growing by 0.3% on the previous month. The </w:t>
      </w:r>
      <w:r>
        <w:rPr>
          <w:color w:val="231F20"/>
          <w:spacing w:val="-3"/>
          <w:sz w:val="18"/>
        </w:rPr>
        <w:t>three- </w:t>
      </w:r>
      <w:r>
        <w:rPr>
          <w:color w:val="231F20"/>
          <w:sz w:val="18"/>
        </w:rPr>
        <w:t>and six-month growth rates had both fallen and the twelve-month growth rate had fallen to 7.6% from 8.2% in May.</w:t>
      </w:r>
    </w:p>
    <w:p>
      <w:pPr>
        <w:pStyle w:val="BodyText"/>
        <w:spacing w:before="7"/>
        <w:rPr>
          <w:sz w:val="16"/>
        </w:rPr>
      </w:pPr>
    </w:p>
    <w:p>
      <w:pPr>
        <w:pStyle w:val="ListParagraph"/>
        <w:numPr>
          <w:ilvl w:val="0"/>
          <w:numId w:val="39"/>
        </w:numPr>
        <w:tabs>
          <w:tab w:pos="669" w:val="left" w:leader="none"/>
          <w:tab w:pos="671" w:val="left" w:leader="none"/>
        </w:tabs>
        <w:spacing w:line="203" w:lineRule="exact" w:before="0" w:after="0"/>
        <w:ind w:left="670" w:right="0" w:hanging="482"/>
        <w:jc w:val="left"/>
        <w:rPr>
          <w:sz w:val="18"/>
        </w:rPr>
      </w:pPr>
      <w:r>
        <w:rPr>
          <w:color w:val="231F20"/>
          <w:sz w:val="18"/>
        </w:rPr>
        <w:t>M4 lending to persons had remained steady: the</w:t>
      </w:r>
    </w:p>
    <w:p>
      <w:pPr>
        <w:pStyle w:val="BodyText"/>
        <w:spacing w:line="232" w:lineRule="auto" w:before="2"/>
        <w:ind w:left="189" w:right="347"/>
      </w:pPr>
      <w:r>
        <w:rPr>
          <w:color w:val="231F20"/>
        </w:rPr>
        <w:t>twelve-month growth rate was 6.8% in Q2 and had varied very little in the previous twelve months. Net secured lending had also been steady. Gross secured lending had been strong again in June, possibly reflecting continuing high levels of remortgaging.</w:t>
      </w:r>
    </w:p>
    <w:p>
      <w:pPr>
        <w:pStyle w:val="BodyText"/>
        <w:spacing w:line="232" w:lineRule="auto"/>
        <w:ind w:left="189" w:right="542"/>
      </w:pPr>
      <w:r>
        <w:rPr>
          <w:color w:val="231F20"/>
        </w:rPr>
        <w:t>Unsecured lending had remained strong—the twelve-month rate had remained above 16% in June—within which net credit card borrowing (accounting for about 25% of the stock of unsecured credit to the personal sector) had grown at 25.5%.</w:t>
      </w:r>
    </w:p>
    <w:p>
      <w:pPr>
        <w:pStyle w:val="BodyText"/>
        <w:spacing w:before="10"/>
        <w:rPr>
          <w:sz w:val="16"/>
        </w:rPr>
      </w:pPr>
    </w:p>
    <w:p>
      <w:pPr>
        <w:pStyle w:val="ListParagraph"/>
        <w:numPr>
          <w:ilvl w:val="0"/>
          <w:numId w:val="39"/>
        </w:numPr>
        <w:tabs>
          <w:tab w:pos="669" w:val="left" w:leader="none"/>
          <w:tab w:pos="671" w:val="left" w:leader="none"/>
        </w:tabs>
        <w:spacing w:line="232" w:lineRule="auto" w:before="0" w:after="0"/>
        <w:ind w:left="189" w:right="525" w:firstLine="0"/>
        <w:jc w:val="left"/>
        <w:rPr>
          <w:sz w:val="18"/>
        </w:rPr>
      </w:pPr>
      <w:r>
        <w:rPr>
          <w:color w:val="231F20"/>
          <w:sz w:val="18"/>
        </w:rPr>
        <w:t>Lending to ICCs had fallen by 0.1% in June, bringing the twelve-month growth rate down to 5.2% from 5.5% the </w:t>
      </w:r>
      <w:r>
        <w:rPr>
          <w:color w:val="231F20"/>
          <w:spacing w:val="-3"/>
          <w:sz w:val="18"/>
        </w:rPr>
        <w:t>previous </w:t>
      </w:r>
      <w:r>
        <w:rPr>
          <w:color w:val="231F20"/>
          <w:sz w:val="18"/>
        </w:rPr>
        <w:t>month. However, the three- and six-month rates were </w:t>
      </w:r>
      <w:r>
        <w:rPr>
          <w:color w:val="231F20"/>
          <w:spacing w:val="-3"/>
          <w:sz w:val="18"/>
        </w:rPr>
        <w:t>somewhat </w:t>
      </w:r>
      <w:r>
        <w:rPr>
          <w:color w:val="231F20"/>
          <w:sz w:val="18"/>
        </w:rPr>
        <w:t>higher. Also, external finance from outside the M4 sector had remained strong in Q2, with total (sterling and foreign currency) external finance steady between Q1 and Q2.</w:t>
      </w:r>
    </w:p>
    <w:p>
      <w:pPr>
        <w:pStyle w:val="BodyText"/>
        <w:spacing w:before="11"/>
        <w:rPr>
          <w:sz w:val="16"/>
        </w:rPr>
      </w:pPr>
    </w:p>
    <w:p>
      <w:pPr>
        <w:pStyle w:val="ListParagraph"/>
        <w:numPr>
          <w:ilvl w:val="0"/>
          <w:numId w:val="39"/>
        </w:numPr>
        <w:tabs>
          <w:tab w:pos="671" w:val="left" w:leader="none"/>
        </w:tabs>
        <w:spacing w:line="232" w:lineRule="auto" w:before="0" w:after="0"/>
        <w:ind w:left="189" w:right="528" w:firstLine="0"/>
        <w:jc w:val="both"/>
        <w:rPr>
          <w:sz w:val="18"/>
        </w:rPr>
      </w:pPr>
      <w:r>
        <w:rPr>
          <w:color w:val="231F20"/>
          <w:sz w:val="18"/>
        </w:rPr>
        <w:t>OFIs’ M4 lending had weakened in Q2, the twelve-month growth rate coming down to 13.2% from 17.5% in Q1. </w:t>
      </w:r>
      <w:r>
        <w:rPr>
          <w:color w:val="231F20"/>
          <w:spacing w:val="-3"/>
          <w:sz w:val="18"/>
        </w:rPr>
        <w:t>Monthly </w:t>
      </w:r>
      <w:r>
        <w:rPr>
          <w:color w:val="231F20"/>
          <w:sz w:val="18"/>
        </w:rPr>
        <w:t>growth had averaged 0.6% during Q2.</w:t>
      </w:r>
    </w:p>
    <w:p>
      <w:pPr>
        <w:pStyle w:val="BodyText"/>
        <w:spacing w:before="2"/>
        <w:rPr>
          <w:sz w:val="17"/>
        </w:rPr>
      </w:pPr>
    </w:p>
    <w:p>
      <w:pPr>
        <w:pStyle w:val="ListParagraph"/>
        <w:numPr>
          <w:ilvl w:val="0"/>
          <w:numId w:val="39"/>
        </w:numPr>
        <w:tabs>
          <w:tab w:pos="669" w:val="left" w:leader="none"/>
          <w:tab w:pos="671" w:val="left" w:leader="none"/>
        </w:tabs>
        <w:spacing w:line="232" w:lineRule="auto" w:before="0" w:after="0"/>
        <w:ind w:left="189" w:right="335" w:firstLine="0"/>
        <w:jc w:val="left"/>
        <w:rPr>
          <w:sz w:val="18"/>
        </w:rPr>
      </w:pPr>
      <w:r>
        <w:rPr>
          <w:color w:val="231F20"/>
          <w:sz w:val="18"/>
        </w:rPr>
        <w:t>Turning to financial prices, as expected banks had now largely passed on the most recent repo rate rise to both savings and variable rate mortgage rates, whereas mutual lenders had continued to delay. Unsecured personal credit rates had not risen. Average rates payable on fixed-rate mortgages had risen in July, with a range of banks and building society increasing rates significantly.</w:t>
      </w:r>
    </w:p>
    <w:p>
      <w:pPr>
        <w:pStyle w:val="BodyText"/>
        <w:rPr>
          <w:sz w:val="17"/>
        </w:rPr>
      </w:pPr>
    </w:p>
    <w:p>
      <w:pPr>
        <w:pStyle w:val="ListParagraph"/>
        <w:numPr>
          <w:ilvl w:val="0"/>
          <w:numId w:val="39"/>
        </w:numPr>
        <w:tabs>
          <w:tab w:pos="669" w:val="left" w:leader="none"/>
          <w:tab w:pos="671" w:val="left" w:leader="none"/>
        </w:tabs>
        <w:spacing w:line="232" w:lineRule="auto" w:before="0" w:after="0"/>
        <w:ind w:left="189" w:right="299" w:firstLine="0"/>
        <w:jc w:val="left"/>
        <w:rPr>
          <w:sz w:val="18"/>
        </w:rPr>
      </w:pPr>
      <w:r>
        <w:rPr>
          <w:color w:val="231F20"/>
          <w:sz w:val="18"/>
        </w:rPr>
        <w:t>Inflation expectations for 1998—as measured by surveys of professional forecasters conducted by Consensus Economics (forecasts of average 1998 RPIX inflation) and HM Treasury (forecasts of 1998 Q4 RPIX inflation) and the Merrill Lynch </w:t>
      </w:r>
      <w:r>
        <w:rPr>
          <w:color w:val="231F20"/>
          <w:spacing w:val="-3"/>
          <w:sz w:val="18"/>
        </w:rPr>
        <w:t>survey </w:t>
      </w:r>
      <w:r>
        <w:rPr>
          <w:color w:val="231F20"/>
          <w:sz w:val="18"/>
        </w:rPr>
        <w:t>of fund managers (forecasts of RPI inflation in the year to December 1998)—had edged up slightly in July; in each case most respondents had been surveyed before June’s low RPI inflation outturn had been published.</w:t>
      </w:r>
    </w:p>
    <w:p>
      <w:pPr>
        <w:pStyle w:val="BodyText"/>
        <w:spacing w:before="10"/>
        <w:rPr>
          <w:sz w:val="16"/>
        </w:rPr>
      </w:pPr>
    </w:p>
    <w:p>
      <w:pPr>
        <w:pStyle w:val="ListParagraph"/>
        <w:numPr>
          <w:ilvl w:val="0"/>
          <w:numId w:val="39"/>
        </w:numPr>
        <w:tabs>
          <w:tab w:pos="669" w:val="left" w:leader="none"/>
          <w:tab w:pos="671" w:val="left" w:leader="none"/>
        </w:tabs>
        <w:spacing w:line="232" w:lineRule="auto" w:before="0" w:after="0"/>
        <w:ind w:left="189" w:right="304" w:firstLine="0"/>
        <w:jc w:val="left"/>
        <w:rPr>
          <w:sz w:val="18"/>
        </w:rPr>
      </w:pPr>
      <w:r>
        <w:rPr>
          <w:color w:val="231F20"/>
          <w:sz w:val="18"/>
        </w:rPr>
        <w:t>Sterling interest rate expectations, as derived from the futures markets, had fallen slightly in July—the three-month rate implied for September 1998 stood at 7.76%—but remained higher than immediately prior to the June repo rate rise. The nominal forward curve had risen slightly at the long end (around 9 basis points at the 20-year horizon) to 5.53%.  The real forward curve had hardly moved at the long end. The implication was that either long-run inflation expectations or the inflation risk premium (or both) had risen slightly in July compared with June. There were, however, few clear macroeconomic explanations for any such development, and the increase was not large in comparison with </w:t>
      </w:r>
      <w:r>
        <w:rPr>
          <w:color w:val="231F20"/>
          <w:spacing w:val="-6"/>
          <w:sz w:val="18"/>
        </w:rPr>
        <w:t>the </w:t>
      </w:r>
      <w:r>
        <w:rPr>
          <w:color w:val="231F20"/>
          <w:sz w:val="18"/>
        </w:rPr>
        <w:t>historical volatility of the series.</w:t>
      </w:r>
    </w:p>
    <w:p>
      <w:pPr>
        <w:pStyle w:val="BodyText"/>
        <w:spacing w:before="7"/>
        <w:rPr>
          <w:sz w:val="16"/>
        </w:rPr>
      </w:pPr>
    </w:p>
    <w:p>
      <w:pPr>
        <w:pStyle w:val="ListParagraph"/>
        <w:numPr>
          <w:ilvl w:val="0"/>
          <w:numId w:val="39"/>
        </w:numPr>
        <w:tabs>
          <w:tab w:pos="669" w:val="left" w:leader="none"/>
          <w:tab w:pos="671" w:val="left" w:leader="none"/>
        </w:tabs>
        <w:spacing w:line="232" w:lineRule="auto" w:before="0" w:after="0"/>
        <w:ind w:left="189" w:right="344" w:firstLine="0"/>
        <w:jc w:val="left"/>
        <w:rPr>
          <w:sz w:val="18"/>
        </w:rPr>
      </w:pPr>
      <w:r>
        <w:rPr>
          <w:color w:val="231F20"/>
          <w:sz w:val="18"/>
        </w:rPr>
        <w:t>The two-year forward rate (for 18–24 months), derived </w:t>
      </w:r>
      <w:r>
        <w:rPr>
          <w:color w:val="231F20"/>
          <w:spacing w:val="-5"/>
          <w:sz w:val="18"/>
        </w:rPr>
        <w:t>from </w:t>
      </w:r>
      <w:r>
        <w:rPr>
          <w:color w:val="231F20"/>
          <w:sz w:val="18"/>
        </w:rPr>
        <w:t>index-linked gilts, had fallen by about 25 basis points over the month. There were no new survey-based estimates of short real rates available this month.</w:t>
      </w:r>
    </w:p>
    <w:p>
      <w:pPr>
        <w:pStyle w:val="BodyText"/>
        <w:spacing w:before="1"/>
        <w:rPr>
          <w:sz w:val="17"/>
        </w:rPr>
      </w:pPr>
    </w:p>
    <w:p>
      <w:pPr>
        <w:pStyle w:val="ListParagraph"/>
        <w:numPr>
          <w:ilvl w:val="0"/>
          <w:numId w:val="39"/>
        </w:numPr>
        <w:tabs>
          <w:tab w:pos="669" w:val="left" w:leader="none"/>
          <w:tab w:pos="671" w:val="left" w:leader="none"/>
        </w:tabs>
        <w:spacing w:line="232" w:lineRule="auto" w:before="0" w:after="0"/>
        <w:ind w:left="189" w:right="424" w:firstLine="0"/>
        <w:jc w:val="left"/>
        <w:rPr>
          <w:sz w:val="18"/>
        </w:rPr>
      </w:pPr>
      <w:r>
        <w:rPr>
          <w:color w:val="231F20"/>
          <w:sz w:val="18"/>
        </w:rPr>
        <w:t>The broad and narrow measures of the sterling ERI had fallen by 1.4% and 1.6% to 120.4 and 104.0 respectively since </w:t>
      </w:r>
      <w:r>
        <w:rPr>
          <w:color w:val="231F20"/>
          <w:spacing w:val="-6"/>
          <w:sz w:val="18"/>
        </w:rPr>
        <w:t>the </w:t>
      </w:r>
      <w:r>
        <w:rPr>
          <w:color w:val="231F20"/>
          <w:sz w:val="18"/>
        </w:rPr>
        <w:t>8–9 July MPC meeting. The ERI had fallen by 1.8% from the</w:t>
      </w:r>
    </w:p>
    <w:p>
      <w:pPr>
        <w:pStyle w:val="BodyText"/>
        <w:spacing w:line="232" w:lineRule="auto"/>
        <w:ind w:left="190" w:right="290" w:hanging="1"/>
      </w:pPr>
      <w:r>
        <w:rPr>
          <w:color w:val="231F20"/>
        </w:rPr>
        <w:t>(15 day average) starting-point in the May </w:t>
      </w:r>
      <w:r>
        <w:rPr>
          <w:i/>
          <w:color w:val="231F20"/>
        </w:rPr>
        <w:t>Inflation Report</w:t>
      </w:r>
      <w:r>
        <w:rPr>
          <w:color w:val="231F20"/>
        </w:rPr>
        <w:t>. Using the uncovered interest parity condition to project the exchange rate from end-July levels now implied a path for sterling out to 2000 Q2 approximately mid-way between the mean and modal paths for</w:t>
      </w:r>
    </w:p>
    <w:p>
      <w:pPr>
        <w:spacing w:after="0" w:line="232" w:lineRule="auto"/>
        <w:sectPr>
          <w:type w:val="continuous"/>
          <w:pgSz w:w="11900" w:h="16840"/>
          <w:pgMar w:top="1220" w:bottom="280" w:left="620" w:right="520"/>
          <w:cols w:num="2" w:equalWidth="0">
            <w:col w:w="5124" w:space="256"/>
            <w:col w:w="5380"/>
          </w:cols>
        </w:sectPr>
      </w:pPr>
    </w:p>
    <w:p>
      <w:pPr>
        <w:pStyle w:val="BodyText"/>
        <w:rPr>
          <w:sz w:val="20"/>
        </w:rPr>
      </w:pPr>
    </w:p>
    <w:p>
      <w:pPr>
        <w:spacing w:after="0"/>
        <w:rPr>
          <w:sz w:val="20"/>
        </w:rPr>
        <w:sectPr>
          <w:pgSz w:w="11900" w:h="16840"/>
          <w:pgMar w:header="566" w:footer="597" w:top="760" w:bottom="780" w:left="620" w:right="520"/>
        </w:sectPr>
      </w:pPr>
    </w:p>
    <w:p>
      <w:pPr>
        <w:pStyle w:val="BodyText"/>
        <w:spacing w:before="4"/>
        <w:rPr>
          <w:sz w:val="21"/>
        </w:rPr>
      </w:pPr>
    </w:p>
    <w:p>
      <w:pPr>
        <w:pStyle w:val="BodyText"/>
        <w:spacing w:line="232" w:lineRule="auto" w:before="1"/>
        <w:ind w:left="185" w:right="38"/>
      </w:pPr>
      <w:r>
        <w:rPr>
          <w:color w:val="231F20"/>
        </w:rPr>
        <w:t>sterling assumed in the May </w:t>
      </w:r>
      <w:r>
        <w:rPr>
          <w:i/>
          <w:color w:val="231F20"/>
        </w:rPr>
        <w:t>Inflation Report</w:t>
      </w:r>
      <w:r>
        <w:rPr>
          <w:color w:val="231F20"/>
        </w:rPr>
        <w:t>. Exchange rate forecasts taken from Consensus Economics implied a path reasonably close to the May </w:t>
      </w:r>
      <w:r>
        <w:rPr>
          <w:i/>
          <w:color w:val="231F20"/>
        </w:rPr>
        <w:t>Inflation Report </w:t>
      </w:r>
      <w:r>
        <w:rPr>
          <w:color w:val="231F20"/>
        </w:rPr>
        <w:t>mean.</w:t>
      </w:r>
    </w:p>
    <w:p>
      <w:pPr>
        <w:pStyle w:val="BodyText"/>
        <w:spacing w:before="2"/>
        <w:rPr>
          <w:sz w:val="17"/>
        </w:rPr>
      </w:pPr>
    </w:p>
    <w:p>
      <w:pPr>
        <w:pStyle w:val="ListParagraph"/>
        <w:numPr>
          <w:ilvl w:val="0"/>
          <w:numId w:val="39"/>
        </w:numPr>
        <w:tabs>
          <w:tab w:pos="665" w:val="left" w:leader="none"/>
          <w:tab w:pos="666" w:val="left" w:leader="none"/>
        </w:tabs>
        <w:spacing w:line="232" w:lineRule="auto" w:before="0" w:after="0"/>
        <w:ind w:left="185" w:right="38" w:firstLine="0"/>
        <w:jc w:val="left"/>
        <w:rPr>
          <w:sz w:val="18"/>
        </w:rPr>
      </w:pPr>
      <w:r>
        <w:rPr>
          <w:color w:val="231F20"/>
          <w:sz w:val="18"/>
        </w:rPr>
        <w:t>The Consensus forecasts can be used to provide a measure </w:t>
      </w:r>
      <w:r>
        <w:rPr>
          <w:color w:val="231F20"/>
          <w:spacing w:val="-9"/>
          <w:sz w:val="18"/>
        </w:rPr>
        <w:t>of </w:t>
      </w:r>
      <w:r>
        <w:rPr>
          <w:color w:val="231F20"/>
          <w:sz w:val="18"/>
        </w:rPr>
        <w:t>the sterling risk premium (the excess return required on sterling assets above interest rate differentials); this was based, amongst other things, on an assumption that survey respondents’ and market participants’ expectations were the same. Comparing the April and July Consensus forecasts, it was noticeable that, while the forecast value for sterling in early 2000 was broadly unchanged, the estimated risk premium on other currencies relative to sterling had fallen by around 1.5 percentage points, from around 4% to around 2.5%. Most of this fall had occurred between the April and May Consensus surveys, and might have been associated with the ‘Euro weekend’ at the start of May.  The effect of this estimated fall in the risk premium on sterling had subsequently been offset by an increased differential in market interest rates—expectations of future UK interest rates had risen after June’s increase in the repo rate.</w:t>
      </w:r>
    </w:p>
    <w:p>
      <w:pPr>
        <w:pStyle w:val="BodyText"/>
        <w:spacing w:before="6"/>
        <w:rPr>
          <w:sz w:val="19"/>
        </w:rPr>
      </w:pPr>
    </w:p>
    <w:p>
      <w:pPr>
        <w:pStyle w:val="Heading6"/>
        <w:numPr>
          <w:ilvl w:val="0"/>
          <w:numId w:val="40"/>
        </w:numPr>
        <w:tabs>
          <w:tab w:pos="665" w:val="left" w:leader="none"/>
          <w:tab w:pos="666" w:val="left" w:leader="none"/>
        </w:tabs>
        <w:spacing w:line="240" w:lineRule="auto" w:before="1" w:after="0"/>
        <w:ind w:left="665" w:right="0" w:hanging="481"/>
        <w:jc w:val="left"/>
      </w:pPr>
      <w:r>
        <w:rPr>
          <w:color w:val="009483"/>
        </w:rPr>
        <w:t>Demand and output</w:t>
      </w:r>
    </w:p>
    <w:p>
      <w:pPr>
        <w:pStyle w:val="ListParagraph"/>
        <w:numPr>
          <w:ilvl w:val="0"/>
          <w:numId w:val="39"/>
        </w:numPr>
        <w:tabs>
          <w:tab w:pos="665" w:val="left" w:leader="none"/>
          <w:tab w:pos="666" w:val="left" w:leader="none"/>
        </w:tabs>
        <w:spacing w:line="232" w:lineRule="auto" w:before="109" w:after="0"/>
        <w:ind w:left="185" w:right="87" w:firstLine="0"/>
        <w:jc w:val="left"/>
        <w:rPr>
          <w:sz w:val="18"/>
        </w:rPr>
      </w:pPr>
      <w:r>
        <w:rPr>
          <w:color w:val="231F20"/>
          <w:sz w:val="18"/>
        </w:rPr>
        <w:t>Recent data had suggested a further slowdown in underlying economic growth. The preliminary estimate of GDP growth for 1998 Q2 was 0.5%, the same as in Q1. But the Q2 figure had been boosted by strong energy output. Non-oil GDP grew by 0.4% compared with 0.6% in 1998 Q1. Annual GDP growth had moderated from 3.0% in Q1 to 2.6% in Q2.</w:t>
      </w:r>
    </w:p>
    <w:p>
      <w:pPr>
        <w:pStyle w:val="BodyText"/>
        <w:rPr>
          <w:sz w:val="17"/>
        </w:rPr>
      </w:pPr>
    </w:p>
    <w:p>
      <w:pPr>
        <w:pStyle w:val="ListParagraph"/>
        <w:numPr>
          <w:ilvl w:val="0"/>
          <w:numId w:val="39"/>
        </w:numPr>
        <w:tabs>
          <w:tab w:pos="665" w:val="left" w:leader="none"/>
          <w:tab w:pos="666" w:val="left" w:leader="none"/>
        </w:tabs>
        <w:spacing w:line="232" w:lineRule="auto" w:before="0" w:after="0"/>
        <w:ind w:left="185" w:right="43" w:firstLine="0"/>
        <w:jc w:val="left"/>
        <w:rPr>
          <w:sz w:val="18"/>
        </w:rPr>
      </w:pPr>
      <w:r>
        <w:rPr>
          <w:color w:val="231F20"/>
          <w:sz w:val="18"/>
        </w:rPr>
        <w:t>There was as yet only a limited sectoral breakdown of the Q2 output data. Service sector output had grown by 0.6% in Q2 (0.7% in Q1).  That compared with an average quarterly growth rate of 0.9% for the recovery period as a whole; and growth over the latest two quarters had been much less than in 1997, reflected </w:t>
      </w:r>
      <w:r>
        <w:rPr>
          <w:color w:val="231F20"/>
          <w:spacing w:val="-9"/>
          <w:sz w:val="18"/>
        </w:rPr>
        <w:t>in </w:t>
      </w:r>
      <w:r>
        <w:rPr>
          <w:color w:val="231F20"/>
          <w:sz w:val="18"/>
        </w:rPr>
        <w:t>six-month annualised growth rates of 2.6% in 1998 H1 compared with a peak of 4.7% in 1997 H2. Within services, distribution output had risen by 0.1% in Q2, though the figure was typically revised. The relative weakness partly reflected the fall in car sales in Q2.</w:t>
      </w:r>
    </w:p>
    <w:p>
      <w:pPr>
        <w:pStyle w:val="BodyText"/>
        <w:spacing w:before="8"/>
        <w:rPr>
          <w:sz w:val="16"/>
        </w:rPr>
      </w:pPr>
    </w:p>
    <w:p>
      <w:pPr>
        <w:pStyle w:val="ListParagraph"/>
        <w:numPr>
          <w:ilvl w:val="0"/>
          <w:numId w:val="39"/>
        </w:numPr>
        <w:tabs>
          <w:tab w:pos="665" w:val="left" w:leader="none"/>
          <w:tab w:pos="666" w:val="left" w:leader="none"/>
        </w:tabs>
        <w:spacing w:line="232" w:lineRule="auto" w:before="0" w:after="0"/>
        <w:ind w:left="185" w:right="127" w:firstLine="0"/>
        <w:jc w:val="left"/>
        <w:rPr>
          <w:sz w:val="18"/>
        </w:rPr>
      </w:pPr>
      <w:r>
        <w:rPr>
          <w:color w:val="231F20"/>
          <w:sz w:val="18"/>
        </w:rPr>
        <w:t>Manufacturing output was unchanged in June, having </w:t>
      </w:r>
      <w:r>
        <w:rPr>
          <w:color w:val="231F20"/>
          <w:spacing w:val="-3"/>
          <w:sz w:val="18"/>
        </w:rPr>
        <w:t>fallen </w:t>
      </w:r>
      <w:r>
        <w:rPr>
          <w:color w:val="231F20"/>
          <w:sz w:val="18"/>
        </w:rPr>
        <w:t>by 0.4% in May. Consequently output was unchanged in the second quarter compared with the previous quarter. The trend in manufacturing output since mid-1997 appeared to have been, at best, flat.</w:t>
      </w:r>
    </w:p>
    <w:p>
      <w:pPr>
        <w:pStyle w:val="BodyText"/>
        <w:spacing w:before="1"/>
        <w:rPr>
          <w:sz w:val="17"/>
        </w:rPr>
      </w:pPr>
    </w:p>
    <w:p>
      <w:pPr>
        <w:pStyle w:val="ListParagraph"/>
        <w:numPr>
          <w:ilvl w:val="0"/>
          <w:numId w:val="39"/>
        </w:numPr>
        <w:tabs>
          <w:tab w:pos="665" w:val="left" w:leader="none"/>
          <w:tab w:pos="666" w:val="left" w:leader="none"/>
        </w:tabs>
        <w:spacing w:line="232" w:lineRule="auto" w:before="0" w:after="0"/>
        <w:ind w:left="185" w:right="82" w:firstLine="0"/>
        <w:jc w:val="left"/>
        <w:rPr>
          <w:sz w:val="18"/>
        </w:rPr>
      </w:pPr>
      <w:r>
        <w:rPr>
          <w:color w:val="231F20"/>
          <w:sz w:val="18"/>
        </w:rPr>
        <w:t>The recent pattern of monthly retail sales data had been particularly volatile, in part reflecting the impact of the poor weather. Sales volumes had fallen by 1.1% in June after having risen by 1.8% in May. Clothing and footwear sales volumes had fallen by 6.7% in June. Quarterly growth in retail sales volumes had slowed in Q2 to 0.3% from 1.0% in Q1, the lowest rate since 1995 Q3. This indicated a continued slowdown in spending, though it was perhaps exaggerated in Q2 by the impact of the weather on sales. The slowdown had been particularly evident in household goods sales. Annual growth was 4.4% in 1998 Q2. </w:t>
      </w:r>
      <w:r>
        <w:rPr>
          <w:color w:val="231F20"/>
          <w:spacing w:val="-6"/>
          <w:sz w:val="18"/>
        </w:rPr>
        <w:t>The </w:t>
      </w:r>
      <w:r>
        <w:rPr>
          <w:color w:val="231F20"/>
          <w:sz w:val="18"/>
        </w:rPr>
        <w:t>growth in household good sales volumes had fallen sharply in the late 1980s prior to the peak of the cycle.</w:t>
      </w:r>
    </w:p>
    <w:p>
      <w:pPr>
        <w:pStyle w:val="BodyText"/>
        <w:spacing w:before="6"/>
        <w:rPr>
          <w:sz w:val="16"/>
        </w:rPr>
      </w:pPr>
    </w:p>
    <w:p>
      <w:pPr>
        <w:pStyle w:val="ListParagraph"/>
        <w:numPr>
          <w:ilvl w:val="0"/>
          <w:numId w:val="39"/>
        </w:numPr>
        <w:tabs>
          <w:tab w:pos="665" w:val="left" w:leader="none"/>
          <w:tab w:pos="666" w:val="left" w:leader="none"/>
        </w:tabs>
        <w:spacing w:line="232" w:lineRule="auto" w:before="0" w:after="0"/>
        <w:ind w:left="185" w:right="82" w:firstLine="0"/>
        <w:jc w:val="left"/>
        <w:rPr>
          <w:sz w:val="18"/>
        </w:rPr>
      </w:pPr>
      <w:r>
        <w:rPr>
          <w:color w:val="231F20"/>
          <w:sz w:val="18"/>
        </w:rPr>
        <w:t>Car registrations had fallen in June to stand 2% higher in </w:t>
      </w:r>
      <w:r>
        <w:rPr>
          <w:color w:val="231F20"/>
          <w:spacing w:val="-9"/>
          <w:sz w:val="18"/>
        </w:rPr>
        <w:t>Q2 </w:t>
      </w:r>
      <w:r>
        <w:rPr>
          <w:color w:val="231F20"/>
          <w:sz w:val="18"/>
        </w:rPr>
        <w:t>than a year earlier. Private registrations had fallen by 0.7% in this period following strong growth in 1998 Q1. This was likely to depress growth in consumer spending in Q2. But the Bank’s regional Agents had suggested that in most parts of the country car sales in July had improved, and orders were up for August.</w:t>
      </w:r>
    </w:p>
    <w:p>
      <w:pPr>
        <w:pStyle w:val="BodyText"/>
        <w:rPr>
          <w:sz w:val="17"/>
        </w:rPr>
      </w:pPr>
    </w:p>
    <w:p>
      <w:pPr>
        <w:pStyle w:val="ListParagraph"/>
        <w:numPr>
          <w:ilvl w:val="0"/>
          <w:numId w:val="39"/>
        </w:numPr>
        <w:tabs>
          <w:tab w:pos="665" w:val="left" w:leader="none"/>
          <w:tab w:pos="666" w:val="left" w:leader="none"/>
        </w:tabs>
        <w:spacing w:line="232" w:lineRule="auto" w:before="0" w:after="0"/>
        <w:ind w:left="185" w:right="107" w:firstLine="0"/>
        <w:jc w:val="left"/>
        <w:rPr>
          <w:sz w:val="18"/>
        </w:rPr>
      </w:pPr>
      <w:r>
        <w:rPr>
          <w:color w:val="231F20"/>
          <w:sz w:val="18"/>
        </w:rPr>
        <w:t>Recent housing market data also supported a picture of slowing domestic demand growth. There was a close correlation between growth in consumption and housing wealth, though it </w:t>
      </w:r>
      <w:r>
        <w:rPr>
          <w:color w:val="231F20"/>
          <w:spacing w:val="-6"/>
          <w:sz w:val="18"/>
        </w:rPr>
        <w:t>was </w:t>
      </w:r>
      <w:r>
        <w:rPr>
          <w:color w:val="231F20"/>
          <w:sz w:val="18"/>
        </w:rPr>
        <w:t>not clear whether the housing market was a leading or contemporaneous indicator of demand. Both were likely to be</w:t>
      </w:r>
    </w:p>
    <w:p>
      <w:pPr>
        <w:pStyle w:val="BodyText"/>
        <w:spacing w:before="4"/>
        <w:rPr>
          <w:sz w:val="21"/>
        </w:rPr>
      </w:pPr>
      <w:r>
        <w:rPr/>
        <w:br w:type="column"/>
      </w:r>
      <w:r>
        <w:rPr>
          <w:sz w:val="21"/>
        </w:rPr>
      </w:r>
    </w:p>
    <w:p>
      <w:pPr>
        <w:pStyle w:val="BodyText"/>
        <w:spacing w:line="232" w:lineRule="auto" w:before="1"/>
        <w:ind w:left="185" w:right="303"/>
      </w:pPr>
      <w:r>
        <w:rPr>
          <w:color w:val="231F20"/>
        </w:rPr>
        <w:t>related to income expectations. Housing transactions also tended </w:t>
      </w:r>
      <w:r>
        <w:rPr>
          <w:color w:val="231F20"/>
          <w:spacing w:val="-9"/>
        </w:rPr>
        <w:t>to </w:t>
      </w:r>
      <w:r>
        <w:rPr>
          <w:color w:val="231F20"/>
        </w:rPr>
        <w:t>rise sharply when existing home-owners trade-up as incomes and prices rise. House price inflation did not appear to be rising. The Nationwide index had risen by 1.1% in July bringing the annual rate of increase down to 10.8%. The Halifax index had risen by 6.0% over the year to July 1998. The Bank index had increased by 8.7% in the year to 1998 Q1. Regional house price data had suggested some slowdown in the south-east of England in 1998 Q2 but little overall change in the regional pattern. The volume of transactions measured by particulars delivered were 5.9% lower in June 1998 than a year earlier. This apparent softening in the housing market was consistent with a slowdown in the growth of consumption, though it was not clear whether it would itself reduce consumption growth further.</w:t>
      </w:r>
    </w:p>
    <w:p>
      <w:pPr>
        <w:pStyle w:val="BodyText"/>
        <w:spacing w:before="10"/>
        <w:rPr>
          <w:sz w:val="19"/>
        </w:rPr>
      </w:pPr>
    </w:p>
    <w:p>
      <w:pPr>
        <w:pStyle w:val="ListParagraph"/>
        <w:numPr>
          <w:ilvl w:val="0"/>
          <w:numId w:val="39"/>
        </w:numPr>
        <w:tabs>
          <w:tab w:pos="665" w:val="left" w:leader="none"/>
          <w:tab w:pos="666" w:val="left" w:leader="none"/>
        </w:tabs>
        <w:spacing w:line="232" w:lineRule="auto" w:before="0" w:after="0"/>
        <w:ind w:left="185" w:right="638" w:firstLine="0"/>
        <w:jc w:val="left"/>
        <w:rPr>
          <w:sz w:val="18"/>
        </w:rPr>
      </w:pPr>
      <w:r>
        <w:rPr>
          <w:color w:val="231F20"/>
          <w:sz w:val="18"/>
        </w:rPr>
        <w:t>Housing starts had fallen by 10.9% in Q2 over Q1. Construction had fallen by 4% in Q2. More generally, investment might fall in Q2 in the absence of the erratic </w:t>
      </w:r>
      <w:r>
        <w:rPr>
          <w:color w:val="231F20"/>
          <w:spacing w:val="-3"/>
          <w:sz w:val="18"/>
        </w:rPr>
        <w:t>factors </w:t>
      </w:r>
      <w:r>
        <w:rPr>
          <w:color w:val="231F20"/>
          <w:sz w:val="18"/>
        </w:rPr>
        <w:t>evident in Q1.</w:t>
      </w:r>
    </w:p>
    <w:p>
      <w:pPr>
        <w:pStyle w:val="BodyText"/>
        <w:spacing w:before="7"/>
        <w:rPr>
          <w:sz w:val="20"/>
        </w:rPr>
      </w:pPr>
    </w:p>
    <w:p>
      <w:pPr>
        <w:pStyle w:val="ListParagraph"/>
        <w:numPr>
          <w:ilvl w:val="0"/>
          <w:numId w:val="39"/>
        </w:numPr>
        <w:tabs>
          <w:tab w:pos="665" w:val="left" w:leader="none"/>
          <w:tab w:pos="666" w:val="left" w:leader="none"/>
        </w:tabs>
        <w:spacing w:line="232" w:lineRule="auto" w:before="0" w:after="0"/>
        <w:ind w:left="185" w:right="378" w:firstLine="0"/>
        <w:jc w:val="left"/>
        <w:rPr>
          <w:sz w:val="18"/>
        </w:rPr>
      </w:pPr>
      <w:r>
        <w:rPr>
          <w:color w:val="231F20"/>
          <w:sz w:val="18"/>
        </w:rPr>
        <w:t>The Public Sector Net Cash Requirement outturn in June was £6.1 billion, higher than June 1997, partly due to the timing </w:t>
      </w:r>
      <w:r>
        <w:rPr>
          <w:color w:val="231F20"/>
          <w:spacing w:val="-9"/>
          <w:sz w:val="18"/>
        </w:rPr>
        <w:t>of </w:t>
      </w:r>
      <w:r>
        <w:rPr>
          <w:color w:val="231F20"/>
          <w:sz w:val="18"/>
        </w:rPr>
        <w:t>interest payments. Over the latest three months, the P</w:t>
      </w:r>
      <w:r>
        <w:rPr>
          <w:color w:val="231F20"/>
          <w:sz w:val="14"/>
        </w:rPr>
        <w:t>SNCR</w:t>
      </w:r>
      <w:r>
        <w:rPr>
          <w:color w:val="231F20"/>
          <w:spacing w:val="8"/>
          <w:sz w:val="14"/>
        </w:rPr>
        <w:t> </w:t>
      </w:r>
      <w:r>
        <w:rPr>
          <w:color w:val="231F20"/>
          <w:sz w:val="18"/>
        </w:rPr>
        <w:t>was</w:t>
      </w:r>
    </w:p>
    <w:p>
      <w:pPr>
        <w:pStyle w:val="BodyText"/>
        <w:spacing w:line="200" w:lineRule="exact"/>
        <w:ind w:left="185"/>
      </w:pPr>
      <w:r>
        <w:rPr>
          <w:color w:val="231F20"/>
        </w:rPr>
        <w:t>£2.8 billion lower than the same period in 1997.</w:t>
      </w:r>
    </w:p>
    <w:p>
      <w:pPr>
        <w:pStyle w:val="BodyText"/>
        <w:spacing w:before="8"/>
        <w:rPr>
          <w:sz w:val="20"/>
        </w:rPr>
      </w:pPr>
    </w:p>
    <w:p>
      <w:pPr>
        <w:pStyle w:val="ListParagraph"/>
        <w:numPr>
          <w:ilvl w:val="0"/>
          <w:numId w:val="39"/>
        </w:numPr>
        <w:tabs>
          <w:tab w:pos="665" w:val="left" w:leader="none"/>
          <w:tab w:pos="666" w:val="left" w:leader="none"/>
        </w:tabs>
        <w:spacing w:line="232" w:lineRule="auto" w:before="0" w:after="0"/>
        <w:ind w:left="185" w:right="298" w:firstLine="0"/>
        <w:jc w:val="left"/>
        <w:rPr>
          <w:sz w:val="18"/>
        </w:rPr>
      </w:pPr>
      <w:r>
        <w:rPr>
          <w:color w:val="231F20"/>
          <w:sz w:val="18"/>
        </w:rPr>
        <w:t>Monthly goods and services trade data had suggested that </w:t>
      </w:r>
      <w:r>
        <w:rPr>
          <w:color w:val="231F20"/>
          <w:spacing w:val="-6"/>
          <w:sz w:val="18"/>
        </w:rPr>
        <w:t>net </w:t>
      </w:r>
      <w:r>
        <w:rPr>
          <w:color w:val="231F20"/>
          <w:sz w:val="18"/>
        </w:rPr>
        <w:t>trade may make a smaller negative contribution to GDP growth in Q2 than in Q1 (-0.7 percentage points). Goods export volumes had risen by 0.3% in May (excluding oil and erratics) reflecting a 1.8% rise in exports to EU countries. And exports to non-EU countries had risen by 3.6% in June, having fallen by 2.1% in May. Overall, exports to non-EU countries had fallen in Q2. The trend in total exports appeared to have been flat during 1998. Imports had fallen in May by 1.2%, but imports from non-EU countries had risen in June by 1.4%. The trade deficit deteriorated in May to £1.2 billion from £0.7 billion in April mainly due to oil and erratic trade with non-EU countries. This had unwound in the June data for non-EU trade. Excluding oil and erratics, the trade deficit was broadly unchanged between April and May.</w:t>
      </w:r>
    </w:p>
    <w:p>
      <w:pPr>
        <w:pStyle w:val="BodyText"/>
        <w:spacing w:before="11"/>
        <w:rPr>
          <w:sz w:val="19"/>
        </w:rPr>
      </w:pPr>
    </w:p>
    <w:p>
      <w:pPr>
        <w:pStyle w:val="ListParagraph"/>
        <w:numPr>
          <w:ilvl w:val="0"/>
          <w:numId w:val="39"/>
        </w:numPr>
        <w:tabs>
          <w:tab w:pos="665" w:val="left" w:leader="none"/>
          <w:tab w:pos="666" w:val="left" w:leader="none"/>
        </w:tabs>
        <w:spacing w:line="232" w:lineRule="auto" w:before="0" w:after="0"/>
        <w:ind w:left="185" w:right="433" w:firstLine="0"/>
        <w:jc w:val="left"/>
        <w:rPr>
          <w:sz w:val="18"/>
        </w:rPr>
      </w:pPr>
      <w:r>
        <w:rPr>
          <w:color w:val="231F20"/>
          <w:sz w:val="18"/>
        </w:rPr>
        <w:t>Survey data had shown a marked deterioration in sentiment over the latest month. Consumer confidence had fallen sharply in the June M</w:t>
      </w:r>
      <w:r>
        <w:rPr>
          <w:color w:val="231F20"/>
          <w:sz w:val="14"/>
        </w:rPr>
        <w:t>ORI </w:t>
      </w:r>
      <w:r>
        <w:rPr>
          <w:color w:val="231F20"/>
          <w:sz w:val="18"/>
        </w:rPr>
        <w:t>survey: from +1 to -19. And it had fallen for the second consecutive month in the GFK survey in July, down</w:t>
      </w:r>
    </w:p>
    <w:p>
      <w:pPr>
        <w:pStyle w:val="BodyText"/>
        <w:spacing w:line="232" w:lineRule="auto"/>
        <w:ind w:left="185" w:right="351"/>
      </w:pPr>
      <w:r>
        <w:rPr>
          <w:color w:val="231F20"/>
        </w:rPr>
        <w:t>4.2 percentage points to -1.6%. This had been mainly due to worsening perceptions about unemployment. There had been no further fall in the balance of respondents believing that it was a good time to make a major purchase. The CBI Quarterly Industrial Trends survey recorded a large fall in the new orders balance: +2 in April to -17 in July, the lowest balance since October 1992 and the largest quarterly fall since July 1990. The balance of firms reporting order books above normal had fallen from -9 in April to</w:t>
      </w:r>
    </w:p>
    <w:p>
      <w:pPr>
        <w:pStyle w:val="BodyText"/>
        <w:spacing w:line="232" w:lineRule="auto"/>
        <w:ind w:left="185" w:right="300"/>
      </w:pPr>
      <w:r>
        <w:rPr>
          <w:color w:val="231F20"/>
        </w:rPr>
        <w:t>-31 in July, the lowest balance since 1993 and the largest quarterly drop since 1980. The deterioration had been mainly in domestic orders: -15 from +9 in April. Alongside the fall in orders, manufacturers confidence fell from a balance of -22 in April to -44 in July, the lowest since January 1991. Output balances had also fallen though less markedly. The reported output balance (past </w:t>
      </w:r>
      <w:r>
        <w:rPr>
          <w:color w:val="231F20"/>
          <w:spacing w:val="-5"/>
        </w:rPr>
        <w:t>four </w:t>
      </w:r>
      <w:r>
        <w:rPr>
          <w:color w:val="231F20"/>
        </w:rPr>
        <w:t>months) had fallen from +7 to -4, the lowest balance since April 1993; expected output (next four months) had fallen to -8, the lowest since July 1991.</w:t>
      </w:r>
    </w:p>
    <w:p>
      <w:pPr>
        <w:pStyle w:val="BodyText"/>
        <w:spacing w:before="5"/>
        <w:rPr>
          <w:sz w:val="19"/>
        </w:rPr>
      </w:pPr>
    </w:p>
    <w:p>
      <w:pPr>
        <w:pStyle w:val="ListParagraph"/>
        <w:numPr>
          <w:ilvl w:val="0"/>
          <w:numId w:val="39"/>
        </w:numPr>
        <w:tabs>
          <w:tab w:pos="665" w:val="left" w:leader="none"/>
          <w:tab w:pos="666" w:val="left" w:leader="none"/>
        </w:tabs>
        <w:spacing w:line="232" w:lineRule="auto" w:before="0" w:after="0"/>
        <w:ind w:left="185" w:right="323" w:firstLine="0"/>
        <w:jc w:val="left"/>
        <w:rPr>
          <w:sz w:val="18"/>
        </w:rPr>
      </w:pPr>
      <w:r>
        <w:rPr>
          <w:color w:val="231F20"/>
          <w:sz w:val="18"/>
        </w:rPr>
        <w:t>The British Chambers of Commerce (BCC) Survey had also recorded falling balances for manufacturing orders and deliveries. Domestic orders fell from +12 in Q1 to +2 in Q2; export orders from -12 to -24. Domestic deliveries fell from +15 to +3; and export deliveries from -5 to -13. Investment, confidence and cashflow balance had all fallen to their lowest levels since late 1992. The July C</w:t>
      </w:r>
      <w:r>
        <w:rPr>
          <w:color w:val="231F20"/>
          <w:sz w:val="14"/>
        </w:rPr>
        <w:t>IPS </w:t>
      </w:r>
      <w:r>
        <w:rPr>
          <w:color w:val="231F20"/>
          <w:sz w:val="18"/>
        </w:rPr>
        <w:t>survey had showed a large fall in the manufacturing output index, from 48.7 to 43.2, the lowest level </w:t>
      </w:r>
      <w:r>
        <w:rPr>
          <w:color w:val="231F20"/>
          <w:spacing w:val="-6"/>
          <w:sz w:val="18"/>
        </w:rPr>
        <w:t>and </w:t>
      </w:r>
      <w:r>
        <w:rPr>
          <w:color w:val="231F20"/>
          <w:sz w:val="18"/>
        </w:rPr>
        <w:t>largest fall recorded by the survey.</w:t>
      </w:r>
    </w:p>
    <w:p>
      <w:pPr>
        <w:spacing w:after="0" w:line="232" w:lineRule="auto"/>
        <w:jc w:val="left"/>
        <w:rPr>
          <w:sz w:val="18"/>
        </w:rPr>
        <w:sectPr>
          <w:type w:val="continuous"/>
          <w:pgSz w:w="11900" w:h="16840"/>
          <w:pgMar w:top="1220" w:bottom="280" w:left="620" w:right="520"/>
          <w:cols w:num="2" w:equalWidth="0">
            <w:col w:w="5115" w:space="265"/>
            <w:col w:w="5380"/>
          </w:cols>
        </w:sectPr>
      </w:pPr>
    </w:p>
    <w:p>
      <w:pPr>
        <w:pStyle w:val="BodyText"/>
        <w:rPr>
          <w:sz w:val="20"/>
        </w:rPr>
      </w:pPr>
    </w:p>
    <w:p>
      <w:pPr>
        <w:spacing w:after="0"/>
        <w:rPr>
          <w:sz w:val="20"/>
        </w:rPr>
        <w:sectPr>
          <w:pgSz w:w="11900" w:h="16840"/>
          <w:pgMar w:header="566" w:footer="597" w:top="760" w:bottom="780" w:left="620" w:right="520"/>
        </w:sectPr>
      </w:pPr>
    </w:p>
    <w:p>
      <w:pPr>
        <w:pStyle w:val="BodyText"/>
        <w:spacing w:before="4"/>
        <w:rPr>
          <w:sz w:val="21"/>
        </w:rPr>
      </w:pPr>
    </w:p>
    <w:p>
      <w:pPr>
        <w:pStyle w:val="ListParagraph"/>
        <w:numPr>
          <w:ilvl w:val="0"/>
          <w:numId w:val="39"/>
        </w:numPr>
        <w:tabs>
          <w:tab w:pos="674" w:val="left" w:leader="none"/>
          <w:tab w:pos="675" w:val="left" w:leader="none"/>
        </w:tabs>
        <w:spacing w:line="232" w:lineRule="auto" w:before="1" w:after="0"/>
        <w:ind w:left="194" w:right="63" w:firstLine="0"/>
        <w:jc w:val="left"/>
        <w:rPr>
          <w:sz w:val="18"/>
        </w:rPr>
      </w:pPr>
      <w:r>
        <w:rPr>
          <w:color w:val="231F20"/>
          <w:sz w:val="18"/>
        </w:rPr>
        <w:t>On the services side, the BCC survey had indicated some slowdown in domestic demand, the home orders balance falling from 30 to 23, approaching its average level over the course of this recovery (+21). Home deliveries had fallen from +36 to +31. The export deliveries balance had fallen from +10 to 0, though the export orders balance (+3) was little changed on Q1 (+4). The </w:t>
      </w:r>
      <w:r>
        <w:rPr>
          <w:color w:val="231F20"/>
          <w:spacing w:val="-6"/>
          <w:sz w:val="18"/>
        </w:rPr>
        <w:t>C</w:t>
      </w:r>
      <w:r>
        <w:rPr>
          <w:color w:val="231F20"/>
          <w:spacing w:val="-6"/>
          <w:sz w:val="14"/>
        </w:rPr>
        <w:t>IPS </w:t>
      </w:r>
      <w:r>
        <w:rPr>
          <w:color w:val="231F20"/>
          <w:sz w:val="18"/>
        </w:rPr>
        <w:t>Report on Services had indicated continued but moderate growth in services activity. The Business Activity index was 55.9 in July but had fallen for the fifth consecutive month. The Volume of Outstanding Business index was 48.7, below 50 for the second month running, although the Incoming New Business index was still above 50 (53.7).</w:t>
      </w:r>
    </w:p>
    <w:p>
      <w:pPr>
        <w:pStyle w:val="BodyText"/>
        <w:spacing w:before="6"/>
        <w:rPr>
          <w:sz w:val="16"/>
        </w:rPr>
      </w:pPr>
    </w:p>
    <w:p>
      <w:pPr>
        <w:pStyle w:val="ListParagraph"/>
        <w:numPr>
          <w:ilvl w:val="0"/>
          <w:numId w:val="39"/>
        </w:numPr>
        <w:tabs>
          <w:tab w:pos="674" w:val="left" w:leader="none"/>
          <w:tab w:pos="675" w:val="left" w:leader="none"/>
        </w:tabs>
        <w:spacing w:line="232" w:lineRule="auto" w:before="0" w:after="0"/>
        <w:ind w:left="194" w:right="222" w:firstLine="0"/>
        <w:jc w:val="left"/>
        <w:rPr>
          <w:sz w:val="18"/>
        </w:rPr>
      </w:pPr>
      <w:r>
        <w:rPr>
          <w:color w:val="231F20"/>
          <w:sz w:val="18"/>
        </w:rPr>
        <w:t>Investment intentions balances in the manufacturing </w:t>
      </w:r>
      <w:r>
        <w:rPr>
          <w:color w:val="231F20"/>
          <w:spacing w:val="-3"/>
          <w:sz w:val="18"/>
        </w:rPr>
        <w:t>sector </w:t>
      </w:r>
      <w:r>
        <w:rPr>
          <w:color w:val="231F20"/>
          <w:sz w:val="18"/>
        </w:rPr>
        <w:t>had fallen in both the CBI and BCC surveys to their lowest </w:t>
      </w:r>
      <w:r>
        <w:rPr>
          <w:color w:val="231F20"/>
          <w:spacing w:val="-3"/>
          <w:sz w:val="18"/>
        </w:rPr>
        <w:t>levels </w:t>
      </w:r>
      <w:r>
        <w:rPr>
          <w:color w:val="231F20"/>
          <w:sz w:val="18"/>
        </w:rPr>
        <w:t>since 1991 and 1992 respectively. But services investment intentions had remained relatively strong in the BCC surveys and well above the recent average.</w:t>
      </w:r>
    </w:p>
    <w:p>
      <w:pPr>
        <w:pStyle w:val="BodyText"/>
        <w:spacing w:before="1"/>
        <w:rPr>
          <w:sz w:val="17"/>
        </w:rPr>
      </w:pPr>
    </w:p>
    <w:p>
      <w:pPr>
        <w:pStyle w:val="ListParagraph"/>
        <w:numPr>
          <w:ilvl w:val="0"/>
          <w:numId w:val="39"/>
        </w:numPr>
        <w:tabs>
          <w:tab w:pos="674" w:val="left" w:leader="none"/>
          <w:tab w:pos="675" w:val="left" w:leader="none"/>
        </w:tabs>
        <w:spacing w:line="232" w:lineRule="auto" w:before="0" w:after="0"/>
        <w:ind w:left="194" w:right="58" w:firstLine="0"/>
        <w:jc w:val="left"/>
        <w:rPr>
          <w:sz w:val="18"/>
        </w:rPr>
      </w:pPr>
      <w:r>
        <w:rPr>
          <w:color w:val="231F20"/>
          <w:sz w:val="18"/>
        </w:rPr>
        <w:t>On the international side. Japanese industrial production </w:t>
      </w:r>
      <w:r>
        <w:rPr>
          <w:color w:val="231F20"/>
          <w:spacing w:val="-6"/>
          <w:sz w:val="18"/>
        </w:rPr>
        <w:t>had </w:t>
      </w:r>
      <w:r>
        <w:rPr>
          <w:color w:val="231F20"/>
          <w:sz w:val="18"/>
        </w:rPr>
        <w:t>fallen again in June, by 2%; and retail sales were 0.9% lower in May than a year earlier. There had been some recent signs of stabilisation in Asia, but weakness in Japan continued to risk global imbalances and potentially threaten the outlook for China. Furthermore, financial risks and fear of contagion had probably increased over the latest quarter, notably in Russia.</w:t>
      </w:r>
    </w:p>
    <w:p>
      <w:pPr>
        <w:pStyle w:val="BodyText"/>
        <w:spacing w:before="10"/>
        <w:rPr>
          <w:sz w:val="16"/>
        </w:rPr>
      </w:pPr>
    </w:p>
    <w:p>
      <w:pPr>
        <w:pStyle w:val="ListParagraph"/>
        <w:numPr>
          <w:ilvl w:val="0"/>
          <w:numId w:val="39"/>
        </w:numPr>
        <w:tabs>
          <w:tab w:pos="674" w:val="left" w:leader="none"/>
          <w:tab w:pos="675" w:val="left" w:leader="none"/>
        </w:tabs>
        <w:spacing w:line="232" w:lineRule="auto" w:before="1" w:after="0"/>
        <w:ind w:left="194" w:right="43" w:firstLine="0"/>
        <w:jc w:val="left"/>
        <w:rPr>
          <w:sz w:val="18"/>
        </w:rPr>
      </w:pPr>
      <w:r>
        <w:rPr>
          <w:color w:val="231F20"/>
          <w:sz w:val="18"/>
        </w:rPr>
        <w:t>In the second quarter, US retail sales volumes had risen by </w:t>
      </w:r>
      <w:r>
        <w:rPr>
          <w:color w:val="231F20"/>
          <w:spacing w:val="-9"/>
          <w:sz w:val="18"/>
        </w:rPr>
        <w:t>as </w:t>
      </w:r>
      <w:r>
        <w:rPr>
          <w:color w:val="231F20"/>
          <w:sz w:val="18"/>
        </w:rPr>
        <w:t>much as in Q1, and the inventory/sales ratio had remained historically low. US industrial production rose by 0.6% in Q2, but the annual rate of growth had slowed. The trade deficit had widened further in April, and the June National Association of Purchasing Managers survey had shown a fall in export orders. GDP growth had nevertheless slowed in Q2 (0.4% on Q1), reflecting negative contributions from stockbuilding and net trade as well as the effects of the strike at General Motors. Domestic demand had remained strong, but was expected to slow gradually </w:t>
      </w:r>
      <w:r>
        <w:rPr>
          <w:color w:val="231F20"/>
          <w:spacing w:val="-7"/>
          <w:sz w:val="18"/>
        </w:rPr>
        <w:t>in </w:t>
      </w:r>
      <w:r>
        <w:rPr>
          <w:color w:val="231F20"/>
          <w:sz w:val="18"/>
        </w:rPr>
        <w:t>the second half of 1998.</w:t>
      </w:r>
    </w:p>
    <w:p>
      <w:pPr>
        <w:pStyle w:val="BodyText"/>
        <w:spacing w:before="7"/>
        <w:rPr>
          <w:sz w:val="16"/>
        </w:rPr>
      </w:pPr>
    </w:p>
    <w:p>
      <w:pPr>
        <w:pStyle w:val="ListParagraph"/>
        <w:numPr>
          <w:ilvl w:val="0"/>
          <w:numId w:val="39"/>
        </w:numPr>
        <w:tabs>
          <w:tab w:pos="674" w:val="left" w:leader="none"/>
          <w:tab w:pos="675" w:val="left" w:leader="none"/>
        </w:tabs>
        <w:spacing w:line="232" w:lineRule="auto" w:before="0" w:after="0"/>
        <w:ind w:left="194" w:right="72" w:firstLine="0"/>
        <w:jc w:val="left"/>
        <w:rPr>
          <w:sz w:val="18"/>
        </w:rPr>
      </w:pPr>
      <w:r>
        <w:rPr>
          <w:color w:val="231F20"/>
          <w:sz w:val="18"/>
        </w:rPr>
        <w:t>Monthly data had suggested relatively strong GDP growth </w:t>
      </w:r>
      <w:r>
        <w:rPr>
          <w:color w:val="231F20"/>
          <w:spacing w:val="-9"/>
          <w:sz w:val="18"/>
        </w:rPr>
        <w:t>in </w:t>
      </w:r>
      <w:r>
        <w:rPr>
          <w:color w:val="231F20"/>
          <w:sz w:val="18"/>
        </w:rPr>
        <w:t>Q2 in France and Italy, but a weaker picture in Germany.</w:t>
      </w:r>
    </w:p>
    <w:p>
      <w:pPr>
        <w:pStyle w:val="BodyText"/>
        <w:spacing w:before="6"/>
        <w:rPr>
          <w:sz w:val="20"/>
        </w:rPr>
      </w:pPr>
    </w:p>
    <w:p>
      <w:pPr>
        <w:pStyle w:val="Heading6"/>
        <w:numPr>
          <w:ilvl w:val="0"/>
          <w:numId w:val="40"/>
        </w:numPr>
        <w:tabs>
          <w:tab w:pos="674" w:val="left" w:leader="none"/>
          <w:tab w:pos="675" w:val="left" w:leader="none"/>
        </w:tabs>
        <w:spacing w:line="240" w:lineRule="auto" w:before="0" w:after="0"/>
        <w:ind w:left="674" w:right="0" w:hanging="481"/>
        <w:jc w:val="left"/>
      </w:pPr>
      <w:r>
        <w:rPr>
          <w:color w:val="009483"/>
        </w:rPr>
        <w:t>Labour</w:t>
      </w:r>
      <w:r>
        <w:rPr>
          <w:color w:val="009483"/>
          <w:spacing w:val="-1"/>
        </w:rPr>
        <w:t> </w:t>
      </w:r>
      <w:r>
        <w:rPr>
          <w:color w:val="009483"/>
        </w:rPr>
        <w:t>market</w:t>
      </w:r>
    </w:p>
    <w:p>
      <w:pPr>
        <w:pStyle w:val="ListParagraph"/>
        <w:numPr>
          <w:ilvl w:val="0"/>
          <w:numId w:val="39"/>
        </w:numPr>
        <w:tabs>
          <w:tab w:pos="674" w:val="left" w:leader="none"/>
          <w:tab w:pos="675" w:val="left" w:leader="none"/>
        </w:tabs>
        <w:spacing w:line="232" w:lineRule="auto" w:before="110" w:after="0"/>
        <w:ind w:left="194" w:right="38" w:firstLine="0"/>
        <w:jc w:val="left"/>
        <w:rPr>
          <w:sz w:val="18"/>
        </w:rPr>
      </w:pPr>
      <w:r>
        <w:rPr>
          <w:color w:val="231F20"/>
          <w:sz w:val="18"/>
        </w:rPr>
        <w:t>LFS employment grew by 36,000 (0.1%) in the three months ending in May, compared with the previous three months. This </w:t>
      </w:r>
      <w:r>
        <w:rPr>
          <w:color w:val="231F20"/>
          <w:spacing w:val="-6"/>
          <w:sz w:val="18"/>
        </w:rPr>
        <w:t>was </w:t>
      </w:r>
      <w:r>
        <w:rPr>
          <w:color w:val="231F20"/>
          <w:sz w:val="18"/>
        </w:rPr>
        <w:t>similar to the increase recorded in the three months ending in February. The increase in employment in March-May, compared with the same months a year earlier, was 282,000, a much faster average quarterly rate than the latest three months. The employment rise in the latest three months had been entirely accounted for by part-time workers. A wider measure of labour demand, total hours worked, had increased by 0.3% in the three months to May. Though the series was volatile, it seemed that the trend may have flattened.</w:t>
      </w:r>
    </w:p>
    <w:p>
      <w:pPr>
        <w:pStyle w:val="BodyText"/>
        <w:spacing w:before="7"/>
        <w:rPr>
          <w:sz w:val="16"/>
        </w:rPr>
      </w:pPr>
    </w:p>
    <w:p>
      <w:pPr>
        <w:pStyle w:val="ListParagraph"/>
        <w:numPr>
          <w:ilvl w:val="0"/>
          <w:numId w:val="39"/>
        </w:numPr>
        <w:tabs>
          <w:tab w:pos="674" w:val="left" w:leader="none"/>
          <w:tab w:pos="675" w:val="left" w:leader="none"/>
        </w:tabs>
        <w:spacing w:line="232" w:lineRule="auto" w:before="0" w:after="0"/>
        <w:ind w:left="194" w:right="53" w:firstLine="0"/>
        <w:jc w:val="left"/>
        <w:rPr>
          <w:sz w:val="18"/>
        </w:rPr>
      </w:pPr>
      <w:r>
        <w:rPr>
          <w:color w:val="231F20"/>
          <w:sz w:val="18"/>
        </w:rPr>
        <w:t>Surveys of employment intentions had given a mixed picture of prospects. The CBI and C</w:t>
      </w:r>
      <w:r>
        <w:rPr>
          <w:color w:val="231F20"/>
          <w:sz w:val="14"/>
        </w:rPr>
        <w:t>IPS </w:t>
      </w:r>
      <w:r>
        <w:rPr>
          <w:color w:val="231F20"/>
          <w:sz w:val="18"/>
        </w:rPr>
        <w:t>surveys suggested falling employment in the manufacturing sector at an increasing rate. But the BCC survey suggested slowing, although still positive, growth in demand for labour in that sector. BCC service sector recruitment intentions showed a balance of 22% of firms expecting to recruit more staff, some 10 points above the ten-year average, but lower than in recent quarters, after adjusting for seasonal variation. Information from the Bank’s regional Agents confirmed the sectoral picture.</w:t>
      </w:r>
    </w:p>
    <w:p>
      <w:pPr>
        <w:pStyle w:val="BodyText"/>
        <w:spacing w:before="8"/>
        <w:rPr>
          <w:sz w:val="16"/>
        </w:rPr>
      </w:pPr>
    </w:p>
    <w:p>
      <w:pPr>
        <w:pStyle w:val="ListParagraph"/>
        <w:numPr>
          <w:ilvl w:val="0"/>
          <w:numId w:val="39"/>
        </w:numPr>
        <w:tabs>
          <w:tab w:pos="674" w:val="left" w:leader="none"/>
          <w:tab w:pos="675" w:val="left" w:leader="none"/>
        </w:tabs>
        <w:spacing w:line="232" w:lineRule="auto" w:before="0" w:after="0"/>
        <w:ind w:left="194" w:right="103" w:firstLine="0"/>
        <w:jc w:val="left"/>
        <w:rPr>
          <w:sz w:val="18"/>
        </w:rPr>
      </w:pPr>
      <w:r>
        <w:rPr>
          <w:color w:val="231F20"/>
          <w:sz w:val="18"/>
        </w:rPr>
        <w:t>LFS unemployment had been 54,000 lower in the three months to May than in the previous three months and the rate had fallen to 6.3% from 6.4%. The claimant-count measure of unemployment had risen 700 in June after a slightly larger </w:t>
      </w:r>
      <w:r>
        <w:rPr>
          <w:color w:val="231F20"/>
          <w:spacing w:val="-3"/>
          <w:sz w:val="18"/>
        </w:rPr>
        <w:t>increase </w:t>
      </w:r>
      <w:r>
        <w:rPr>
          <w:color w:val="231F20"/>
          <w:sz w:val="18"/>
        </w:rPr>
        <w:t>in May. But the claimant rate had remained at 4.8%. The</w:t>
      </w:r>
    </w:p>
    <w:p>
      <w:pPr>
        <w:pStyle w:val="BodyText"/>
        <w:spacing w:before="4"/>
        <w:rPr>
          <w:sz w:val="21"/>
        </w:rPr>
      </w:pPr>
      <w:r>
        <w:rPr/>
        <w:br w:type="column"/>
      </w:r>
      <w:r>
        <w:rPr>
          <w:sz w:val="21"/>
        </w:rPr>
      </w:r>
    </w:p>
    <w:p>
      <w:pPr>
        <w:pStyle w:val="BodyText"/>
        <w:spacing w:line="232" w:lineRule="auto" w:before="1"/>
        <w:ind w:left="194" w:right="289"/>
      </w:pPr>
      <w:r>
        <w:rPr>
          <w:color w:val="231F20"/>
        </w:rPr>
        <w:t>difference in unemployment changes on these two measures could have reflected job seekers who are not eligible to claim benefit either finding work or giving up looking. The LFS survey suggested that unemployment falls during the past six months had been matched arithmetically by rises in numbers of people not actively seeking work, and the rises in employment matched the increase in the population of working age (though of course this </w:t>
      </w:r>
      <w:r>
        <w:rPr>
          <w:color w:val="231F20"/>
          <w:spacing w:val="-6"/>
        </w:rPr>
        <w:t>did </w:t>
      </w:r>
      <w:r>
        <w:rPr>
          <w:color w:val="231F20"/>
        </w:rPr>
        <w:t>not imply that none of the previously unemployed people found work nor that all of the increase in population went into employment).</w:t>
      </w:r>
    </w:p>
    <w:p>
      <w:pPr>
        <w:pStyle w:val="BodyText"/>
        <w:spacing w:before="7"/>
        <w:rPr>
          <w:sz w:val="23"/>
        </w:rPr>
      </w:pPr>
    </w:p>
    <w:p>
      <w:pPr>
        <w:pStyle w:val="ListParagraph"/>
        <w:numPr>
          <w:ilvl w:val="0"/>
          <w:numId w:val="39"/>
        </w:numPr>
        <w:tabs>
          <w:tab w:pos="674" w:val="left" w:leader="none"/>
          <w:tab w:pos="675" w:val="left" w:leader="none"/>
        </w:tabs>
        <w:spacing w:line="232" w:lineRule="auto" w:before="0" w:after="0"/>
        <w:ind w:left="194" w:right="274" w:firstLine="0"/>
        <w:jc w:val="left"/>
        <w:rPr>
          <w:sz w:val="18"/>
        </w:rPr>
      </w:pPr>
      <w:r>
        <w:rPr>
          <w:color w:val="231F20"/>
          <w:sz w:val="18"/>
        </w:rPr>
        <w:t>Regional data showed clear regional differences in the extent of tightness, and recent analysis by the Employment Policy Institute showed marked differences within regions. But there was little variation in the recent trends in claimant-count unemployment at the regional level.</w:t>
      </w:r>
    </w:p>
    <w:p>
      <w:pPr>
        <w:pStyle w:val="BodyText"/>
        <w:rPr>
          <w:sz w:val="24"/>
        </w:rPr>
      </w:pPr>
    </w:p>
    <w:p>
      <w:pPr>
        <w:pStyle w:val="ListParagraph"/>
        <w:numPr>
          <w:ilvl w:val="0"/>
          <w:numId w:val="39"/>
        </w:numPr>
        <w:tabs>
          <w:tab w:pos="674" w:val="left" w:leader="none"/>
          <w:tab w:pos="675" w:val="left" w:leader="none"/>
        </w:tabs>
        <w:spacing w:line="232" w:lineRule="auto" w:before="1" w:after="0"/>
        <w:ind w:left="194" w:right="360" w:firstLine="0"/>
        <w:jc w:val="left"/>
        <w:rPr>
          <w:sz w:val="18"/>
        </w:rPr>
      </w:pPr>
      <w:r>
        <w:rPr>
          <w:color w:val="231F20"/>
          <w:sz w:val="18"/>
        </w:rPr>
        <w:t>The stock of vacancies had risen again in June and notifications had bounced back, but there had been a slowdown in the growth of press recruitment advertising in recent months. The latest CBI survey had shown a fall in the balance of </w:t>
      </w:r>
      <w:r>
        <w:rPr>
          <w:color w:val="231F20"/>
          <w:spacing w:val="-2"/>
          <w:sz w:val="18"/>
        </w:rPr>
        <w:t>manufacturing </w:t>
      </w:r>
      <w:r>
        <w:rPr>
          <w:color w:val="231F20"/>
          <w:sz w:val="18"/>
        </w:rPr>
        <w:t>firms reporting skilled labour as a constraint on output to 12%, almost down to its long-run average.  But the BCC survey for 1998 Q2 suggested recruitment difficulties in manufacturing and the service sector were at record levels.</w:t>
      </w:r>
    </w:p>
    <w:p>
      <w:pPr>
        <w:pStyle w:val="BodyText"/>
        <w:spacing w:before="9"/>
        <w:rPr>
          <w:sz w:val="23"/>
        </w:rPr>
      </w:pPr>
    </w:p>
    <w:p>
      <w:pPr>
        <w:pStyle w:val="ListParagraph"/>
        <w:numPr>
          <w:ilvl w:val="0"/>
          <w:numId w:val="39"/>
        </w:numPr>
        <w:tabs>
          <w:tab w:pos="674" w:val="left" w:leader="none"/>
          <w:tab w:pos="675" w:val="left" w:leader="none"/>
        </w:tabs>
        <w:spacing w:line="232" w:lineRule="auto" w:before="0" w:after="0"/>
        <w:ind w:left="194" w:right="300" w:firstLine="0"/>
        <w:jc w:val="left"/>
        <w:rPr>
          <w:sz w:val="18"/>
        </w:rPr>
      </w:pPr>
      <w:r>
        <w:rPr>
          <w:color w:val="231F20"/>
          <w:sz w:val="18"/>
        </w:rPr>
        <w:t>Headline whole-economy earnings growth in the three months centred on April was 5.4% compared with a year earlier, </w:t>
      </w:r>
      <w:r>
        <w:rPr>
          <w:color w:val="231F20"/>
          <w:spacing w:val="-9"/>
          <w:sz w:val="18"/>
        </w:rPr>
        <w:t>up </w:t>
      </w:r>
      <w:r>
        <w:rPr>
          <w:color w:val="231F20"/>
          <w:sz w:val="18"/>
        </w:rPr>
        <w:t>from a revised 5.3% in March. That rise reflected a 0.1 percentage point increase in both manufacturing and services earnings growth. The difference between private and public sector earnings growth remained wide—annual growth had risen to 6.2% in the private sector and risen to 2.8% in the public sector. The ONS estimate of the contribution of irregular bonuses and profit-related payments to earnings growth allowed calculation of growth in the ‘regular pay’ component. High irregular bonus payments had continued to push up earnings growth this year but the ONS estimates suggested that of the 1.1 percentage point increase in twelve-month earnings growth between May 1997 and May 1998, regular pay accounted for around 0.9 percentage points of the rise.</w:t>
      </w:r>
    </w:p>
    <w:p>
      <w:pPr>
        <w:pStyle w:val="BodyText"/>
        <w:spacing w:before="4"/>
        <w:rPr>
          <w:sz w:val="23"/>
        </w:rPr>
      </w:pPr>
    </w:p>
    <w:p>
      <w:pPr>
        <w:pStyle w:val="ListParagraph"/>
        <w:numPr>
          <w:ilvl w:val="0"/>
          <w:numId w:val="39"/>
        </w:numPr>
        <w:tabs>
          <w:tab w:pos="674" w:val="left" w:leader="none"/>
          <w:tab w:pos="675" w:val="left" w:leader="none"/>
        </w:tabs>
        <w:spacing w:line="232" w:lineRule="auto" w:before="1" w:after="0"/>
        <w:ind w:left="194" w:right="310" w:firstLine="0"/>
        <w:jc w:val="left"/>
        <w:rPr>
          <w:sz w:val="18"/>
        </w:rPr>
      </w:pPr>
      <w:r>
        <w:rPr>
          <w:color w:val="231F20"/>
          <w:sz w:val="18"/>
        </w:rPr>
        <w:t>Twelve-month averages of wage settlements had continued to rise steadily during the second quarter as settlements in the current round were generally higher than in the previous one: the twelve-month employment weighted mean of settlements for the whole economy had been 3.8% in June. The increase in the </w:t>
      </w:r>
      <w:r>
        <w:rPr>
          <w:color w:val="231F20"/>
          <w:spacing w:val="-3"/>
          <w:sz w:val="18"/>
        </w:rPr>
        <w:t>second </w:t>
      </w:r>
      <w:r>
        <w:rPr>
          <w:color w:val="231F20"/>
          <w:sz w:val="18"/>
        </w:rPr>
        <w:t>quarter was entirely due to higher private settlements (which included the second tranche of the construction sector settlement); public sector settlements had remained unchanged at 3.2% </w:t>
      </w:r>
      <w:r>
        <w:rPr>
          <w:color w:val="231F20"/>
          <w:spacing w:val="-3"/>
          <w:sz w:val="18"/>
        </w:rPr>
        <w:t>between </w:t>
      </w:r>
      <w:r>
        <w:rPr>
          <w:color w:val="231F20"/>
          <w:sz w:val="18"/>
        </w:rPr>
        <w:t>April and June. Staff calculations of wage drift (the difference between earnings growth and settlements levels) showed drift had been rising since 1996. But it was still only around its long-run historical average despite recent high bonuses.</w:t>
      </w:r>
    </w:p>
    <w:p>
      <w:pPr>
        <w:pStyle w:val="BodyText"/>
        <w:spacing w:before="6"/>
        <w:rPr>
          <w:sz w:val="23"/>
        </w:rPr>
      </w:pPr>
    </w:p>
    <w:p>
      <w:pPr>
        <w:pStyle w:val="ListParagraph"/>
        <w:numPr>
          <w:ilvl w:val="0"/>
          <w:numId w:val="39"/>
        </w:numPr>
        <w:tabs>
          <w:tab w:pos="674" w:val="left" w:leader="none"/>
          <w:tab w:pos="675" w:val="left" w:leader="none"/>
        </w:tabs>
        <w:spacing w:line="232" w:lineRule="auto" w:before="0" w:after="0"/>
        <w:ind w:left="194" w:right="304" w:firstLine="0"/>
        <w:jc w:val="left"/>
        <w:rPr>
          <w:sz w:val="18"/>
        </w:rPr>
      </w:pPr>
      <w:r>
        <w:rPr>
          <w:color w:val="231F20"/>
          <w:sz w:val="18"/>
        </w:rPr>
        <w:t>The latest ONS data showed unit wage costs in manufacturing rising at around 6% with productivity lower than a year earlier. Agents’ contacts continued to suggest that productivity growth was stronger than the official data. The London Business School (LBS) had recently published a study suggesting that the sectoral composition of productivity growth </w:t>
      </w:r>
      <w:r>
        <w:rPr>
          <w:color w:val="231F20"/>
          <w:spacing w:val="-6"/>
          <w:sz w:val="18"/>
        </w:rPr>
        <w:t>had </w:t>
      </w:r>
      <w:r>
        <w:rPr>
          <w:color w:val="231F20"/>
          <w:sz w:val="18"/>
        </w:rPr>
        <w:t>been mismeasured. Bank staff had previously drawn the Committee’s attention to the contrast between official data for manufacturing output and survey evidence, and to the weak official data for productivity; the LBS suggested that there was also a statistical break in the relationship between manufacturing employment data and survey data. The LBS economists did not, however, question the whole-economy data for earnings, productivity and unit wage costs; in their view an underestimate of manufacturing productivity growth was compensated by an overestimate in the non-manufacturing sector.</w:t>
      </w:r>
    </w:p>
    <w:p>
      <w:pPr>
        <w:spacing w:after="0" w:line="232" w:lineRule="auto"/>
        <w:jc w:val="left"/>
        <w:rPr>
          <w:sz w:val="18"/>
        </w:rPr>
        <w:sectPr>
          <w:type w:val="continuous"/>
          <w:pgSz w:w="11900" w:h="16840"/>
          <w:pgMar w:top="1220" w:bottom="280" w:left="620" w:right="520"/>
          <w:cols w:num="2" w:equalWidth="0">
            <w:col w:w="5139" w:space="251"/>
            <w:col w:w="5370"/>
          </w:cols>
        </w:sectPr>
      </w:pPr>
    </w:p>
    <w:p>
      <w:pPr>
        <w:pStyle w:val="BodyText"/>
        <w:rPr>
          <w:sz w:val="20"/>
        </w:rPr>
      </w:pPr>
    </w:p>
    <w:p>
      <w:pPr>
        <w:spacing w:after="0"/>
        <w:rPr>
          <w:sz w:val="20"/>
        </w:rPr>
        <w:sectPr>
          <w:pgSz w:w="11900" w:h="16840"/>
          <w:pgMar w:header="566" w:footer="597" w:top="760" w:bottom="780" w:left="620" w:right="520"/>
        </w:sectPr>
      </w:pPr>
    </w:p>
    <w:p>
      <w:pPr>
        <w:pStyle w:val="BodyText"/>
        <w:spacing w:before="4"/>
        <w:rPr>
          <w:sz w:val="21"/>
        </w:rPr>
      </w:pPr>
    </w:p>
    <w:p>
      <w:pPr>
        <w:pStyle w:val="ListParagraph"/>
        <w:numPr>
          <w:ilvl w:val="0"/>
          <w:numId w:val="39"/>
        </w:numPr>
        <w:tabs>
          <w:tab w:pos="665" w:val="left" w:leader="none"/>
          <w:tab w:pos="666" w:val="left" w:leader="none"/>
        </w:tabs>
        <w:spacing w:line="232" w:lineRule="auto" w:before="1" w:after="0"/>
        <w:ind w:left="185" w:right="38" w:firstLine="0"/>
        <w:jc w:val="left"/>
        <w:rPr>
          <w:sz w:val="18"/>
        </w:rPr>
      </w:pPr>
      <w:r>
        <w:rPr>
          <w:color w:val="231F20"/>
          <w:sz w:val="18"/>
        </w:rPr>
        <w:t>In July, the Agents conducted a special inquiry into the potential effects of the Minimum Wage on firms. The survey covered 136 firms, employing around one million staff. A third of all firms said they would be unaffected.  Because these firms tended to be the largest firms they represented 70% of the staff covered by the survey. Of those affected around a third had </w:t>
      </w:r>
      <w:r>
        <w:rPr>
          <w:color w:val="231F20"/>
          <w:spacing w:val="-3"/>
          <w:sz w:val="18"/>
        </w:rPr>
        <w:t>already </w:t>
      </w:r>
      <w:r>
        <w:rPr>
          <w:color w:val="231F20"/>
          <w:sz w:val="18"/>
        </w:rPr>
        <w:t>taken action. Nearly half of the firms which would be affected said they would reduce margins. Around a third said they would raise prices and a third said they would reduce employment (firms were allowed to indicate more than one reaction). The survey suggested that service sector firms were more likely to try to increase prices or reduce margins, and manufacturing firms were more likely to reduce employment and increase mechanisation. Around 40% of firms affected said that restoration of pay differentials was likely to take place.</w:t>
      </w:r>
    </w:p>
    <w:p>
      <w:pPr>
        <w:pStyle w:val="BodyText"/>
        <w:spacing w:before="7"/>
        <w:rPr>
          <w:sz w:val="19"/>
        </w:rPr>
      </w:pPr>
    </w:p>
    <w:p>
      <w:pPr>
        <w:pStyle w:val="Heading6"/>
        <w:numPr>
          <w:ilvl w:val="0"/>
          <w:numId w:val="40"/>
        </w:numPr>
        <w:tabs>
          <w:tab w:pos="665" w:val="left" w:leader="none"/>
          <w:tab w:pos="666" w:val="left" w:leader="none"/>
        </w:tabs>
        <w:spacing w:line="240" w:lineRule="auto" w:before="0" w:after="0"/>
        <w:ind w:left="665" w:right="0" w:hanging="481"/>
        <w:jc w:val="left"/>
      </w:pPr>
      <w:r>
        <w:rPr>
          <w:color w:val="009483"/>
        </w:rPr>
        <w:t>Prices</w:t>
      </w:r>
    </w:p>
    <w:p>
      <w:pPr>
        <w:pStyle w:val="ListParagraph"/>
        <w:numPr>
          <w:ilvl w:val="0"/>
          <w:numId w:val="39"/>
        </w:numPr>
        <w:tabs>
          <w:tab w:pos="665" w:val="left" w:leader="none"/>
          <w:tab w:pos="666" w:val="left" w:leader="none"/>
        </w:tabs>
        <w:spacing w:line="232" w:lineRule="auto" w:before="110" w:after="0"/>
        <w:ind w:left="185" w:right="42" w:firstLine="0"/>
        <w:jc w:val="left"/>
        <w:rPr>
          <w:sz w:val="18"/>
        </w:rPr>
      </w:pPr>
      <w:r>
        <w:rPr>
          <w:color w:val="231F20"/>
          <w:sz w:val="18"/>
        </w:rPr>
        <w:t>Annual deflation in both commodity and manufacturers’ input prices had persisted in June. The Bank’s commodity price index had fallen (provisionally) by 1.6% in June, and by 11.3% over the year. The index excluding oil had fallen (provisionally) </w:t>
      </w:r>
      <w:r>
        <w:rPr>
          <w:color w:val="231F20"/>
          <w:spacing w:val="-9"/>
          <w:sz w:val="18"/>
        </w:rPr>
        <w:t>by </w:t>
      </w:r>
      <w:r>
        <w:rPr>
          <w:color w:val="231F20"/>
          <w:sz w:val="18"/>
        </w:rPr>
        <w:t>0.4% on the month and by 8.4% over the year. Metals and non-oil fuels prices had fallen since November 1997 as the turmoil in East Asia weakened demand; both had fallen by around 5% in the three months to June. Those falls had been counterbalanced by a provisional 5% rise in UK agriculture prices following recent bad weather and poor harvests. The sterling price of Brent crude oil (one-month future) had fallen by 8.1% in June and by a further 3.0% in July. The June oil price fall had contributed to a 0.7% fall in manufacturers’ input prices, down by 3.7% on the year.  The C</w:t>
      </w:r>
      <w:r>
        <w:rPr>
          <w:color w:val="231F20"/>
          <w:sz w:val="14"/>
        </w:rPr>
        <w:t>IPS </w:t>
      </w:r>
      <w:r>
        <w:rPr>
          <w:color w:val="231F20"/>
          <w:sz w:val="18"/>
        </w:rPr>
        <w:t>report on manufacturing had suggested a further fall in input prices in July.</w:t>
      </w:r>
    </w:p>
    <w:p>
      <w:pPr>
        <w:pStyle w:val="BodyText"/>
        <w:spacing w:before="4"/>
        <w:rPr>
          <w:sz w:val="16"/>
        </w:rPr>
      </w:pPr>
    </w:p>
    <w:p>
      <w:pPr>
        <w:pStyle w:val="ListParagraph"/>
        <w:numPr>
          <w:ilvl w:val="0"/>
          <w:numId w:val="39"/>
        </w:numPr>
        <w:tabs>
          <w:tab w:pos="665" w:val="left" w:leader="none"/>
          <w:tab w:pos="666" w:val="left" w:leader="none"/>
        </w:tabs>
        <w:spacing w:line="232" w:lineRule="auto" w:before="0" w:after="0"/>
        <w:ind w:left="185" w:right="47" w:firstLine="0"/>
        <w:jc w:val="left"/>
        <w:rPr>
          <w:sz w:val="18"/>
        </w:rPr>
      </w:pPr>
      <w:r>
        <w:rPr>
          <w:color w:val="231F20"/>
          <w:sz w:val="18"/>
        </w:rPr>
        <w:t>Oil prices had fallen since March 1997. That price </w:t>
      </w:r>
      <w:r>
        <w:rPr>
          <w:color w:val="231F20"/>
          <w:spacing w:val="-3"/>
          <w:sz w:val="18"/>
        </w:rPr>
        <w:t>weakness </w:t>
      </w:r>
      <w:r>
        <w:rPr>
          <w:color w:val="231F20"/>
          <w:sz w:val="18"/>
        </w:rPr>
        <w:t>showed no sign of abating despite two O</w:t>
      </w:r>
      <w:r>
        <w:rPr>
          <w:color w:val="231F20"/>
          <w:sz w:val="14"/>
        </w:rPr>
        <w:t>PEC </w:t>
      </w:r>
      <w:r>
        <w:rPr>
          <w:color w:val="231F20"/>
          <w:sz w:val="18"/>
        </w:rPr>
        <w:t>agreements to cut supply in 1998. As a result, Saudi Arabia was proposing an alternative cartel of oil exporting countries to intervene in oil markets in order to stabilise prices. In July, the six-month future price of oil (£8.74) remained above the one-month future price (£7.88) reflecting high inventory levels and the consequent high price of storage.</w:t>
      </w:r>
    </w:p>
    <w:p>
      <w:pPr>
        <w:pStyle w:val="BodyText"/>
        <w:spacing w:before="10"/>
        <w:rPr>
          <w:sz w:val="16"/>
        </w:rPr>
      </w:pPr>
    </w:p>
    <w:p>
      <w:pPr>
        <w:pStyle w:val="ListParagraph"/>
        <w:numPr>
          <w:ilvl w:val="0"/>
          <w:numId w:val="39"/>
        </w:numPr>
        <w:tabs>
          <w:tab w:pos="665" w:val="left" w:leader="none"/>
          <w:tab w:pos="666" w:val="left" w:leader="none"/>
        </w:tabs>
        <w:spacing w:line="232" w:lineRule="auto" w:before="0" w:after="0"/>
        <w:ind w:left="185" w:right="96" w:firstLine="0"/>
        <w:jc w:val="left"/>
        <w:rPr>
          <w:sz w:val="18"/>
        </w:rPr>
      </w:pPr>
      <w:r>
        <w:rPr>
          <w:color w:val="231F20"/>
          <w:sz w:val="18"/>
        </w:rPr>
        <w:t>In June, manufacturing output prices (excluding excise duties) had recorded annual deflation for the third consecutive month; excluding excise duties, output prices had risen by 0.1% </w:t>
      </w:r>
      <w:r>
        <w:rPr>
          <w:color w:val="231F20"/>
          <w:spacing w:val="-9"/>
          <w:sz w:val="18"/>
        </w:rPr>
        <w:t>in </w:t>
      </w:r>
      <w:r>
        <w:rPr>
          <w:color w:val="231F20"/>
          <w:sz w:val="18"/>
        </w:rPr>
        <w:t>June giving annual growth of -0.5%. The Quarterly CBI Industrial Trends Survey had reported a further fall in output price expectations in 1998 Q2 (the seasonally adjusted balance fell from</w:t>
      </w:r>
    </w:p>
    <w:p>
      <w:pPr>
        <w:pStyle w:val="BodyText"/>
        <w:spacing w:line="232" w:lineRule="auto"/>
        <w:ind w:left="185" w:right="101"/>
      </w:pPr>
      <w:r>
        <w:rPr>
          <w:color w:val="231F20"/>
        </w:rPr>
        <w:t>-6% in Q1 to -10% in Q2). Though more volatile, the CBI expectations balance was correlated with annual producer output price inflation. The CBI balance of manufacturers’ unit costs had remained negative, at -1.0%, in Q2; the balance had been close to its all-time low throughout the past year. Low cost inflation could help to explain low output price inflation: but it was not consistent with the Bank’s estimate of manufacturers’ weighted costs which had continued to rise in Q2, by 0.8% year-on-year, due to rising bought-in services and unit labour costs.</w:t>
      </w:r>
    </w:p>
    <w:p>
      <w:pPr>
        <w:pStyle w:val="BodyText"/>
        <w:spacing w:before="4"/>
        <w:rPr>
          <w:sz w:val="16"/>
        </w:rPr>
      </w:pPr>
    </w:p>
    <w:p>
      <w:pPr>
        <w:pStyle w:val="ListParagraph"/>
        <w:numPr>
          <w:ilvl w:val="0"/>
          <w:numId w:val="39"/>
        </w:numPr>
        <w:tabs>
          <w:tab w:pos="665" w:val="left" w:leader="none"/>
          <w:tab w:pos="666" w:val="left" w:leader="none"/>
        </w:tabs>
        <w:spacing w:line="232" w:lineRule="auto" w:before="0" w:after="0"/>
        <w:ind w:left="185" w:right="122" w:firstLine="0"/>
        <w:jc w:val="left"/>
        <w:rPr>
          <w:sz w:val="18"/>
        </w:rPr>
      </w:pPr>
      <w:r>
        <w:rPr>
          <w:color w:val="231F20"/>
          <w:sz w:val="18"/>
        </w:rPr>
        <w:t>The tax wedge component in output prices had increased over the past year; annual output price inflation in June was </w:t>
      </w:r>
      <w:r>
        <w:rPr>
          <w:color w:val="231F20"/>
          <w:spacing w:val="-4"/>
          <w:sz w:val="18"/>
        </w:rPr>
        <w:t>1.0%, </w:t>
      </w:r>
      <w:r>
        <w:rPr>
          <w:color w:val="231F20"/>
          <w:sz w:val="18"/>
        </w:rPr>
        <w:t>compared to -0.5% for PPIY (output prices excluding excise duties). The increased tax wedge had been caused by rising petrol and tobacco duties and the weakness of petrol prices (which had a larger effect on PPIY than on total output prices).</w:t>
      </w:r>
    </w:p>
    <w:p>
      <w:pPr>
        <w:pStyle w:val="BodyText"/>
        <w:rPr>
          <w:sz w:val="17"/>
        </w:rPr>
      </w:pPr>
    </w:p>
    <w:p>
      <w:pPr>
        <w:pStyle w:val="ListParagraph"/>
        <w:numPr>
          <w:ilvl w:val="0"/>
          <w:numId w:val="39"/>
        </w:numPr>
        <w:tabs>
          <w:tab w:pos="665" w:val="left" w:leader="none"/>
          <w:tab w:pos="666" w:val="left" w:leader="none"/>
        </w:tabs>
        <w:spacing w:line="232" w:lineRule="auto" w:before="0" w:after="0"/>
        <w:ind w:left="185" w:right="97" w:firstLine="0"/>
        <w:jc w:val="left"/>
        <w:rPr>
          <w:sz w:val="18"/>
        </w:rPr>
      </w:pPr>
      <w:r>
        <w:rPr>
          <w:color w:val="231F20"/>
          <w:sz w:val="18"/>
        </w:rPr>
        <w:t>Total import prices had risen by 0.9% in May but had fallen by 3.5% on the year; total export prices had risen by 1.2% in May but had fallen by 2.7% on the year. Annual deflation had persisted in non-EU export and import prices in June (export prices down </w:t>
      </w:r>
      <w:r>
        <w:rPr>
          <w:color w:val="231F20"/>
          <w:spacing w:val="-9"/>
          <w:sz w:val="18"/>
        </w:rPr>
        <w:t>by </w:t>
      </w:r>
      <w:r>
        <w:rPr>
          <w:color w:val="231F20"/>
          <w:sz w:val="18"/>
        </w:rPr>
        <w:t>0.4% on the year, import prices down by 3.1%). Nonetheless, the correlation between falling trade prices and sterling’s appreciation</w:t>
      </w:r>
    </w:p>
    <w:p>
      <w:pPr>
        <w:pStyle w:val="BodyText"/>
        <w:spacing w:before="4"/>
        <w:rPr>
          <w:sz w:val="21"/>
        </w:rPr>
      </w:pPr>
      <w:r>
        <w:rPr/>
        <w:br w:type="column"/>
      </w:r>
      <w:r>
        <w:rPr>
          <w:sz w:val="21"/>
        </w:rPr>
      </w:r>
    </w:p>
    <w:p>
      <w:pPr>
        <w:pStyle w:val="BodyText"/>
        <w:spacing w:line="232" w:lineRule="auto" w:before="1"/>
        <w:ind w:left="185" w:right="834"/>
      </w:pPr>
      <w:r>
        <w:rPr>
          <w:color w:val="231F20"/>
        </w:rPr>
        <w:t>had not been as strong as expected, given past experience of exchange rate movements.</w:t>
      </w:r>
    </w:p>
    <w:p>
      <w:pPr>
        <w:pStyle w:val="ListParagraph"/>
        <w:numPr>
          <w:ilvl w:val="0"/>
          <w:numId w:val="39"/>
        </w:numPr>
        <w:tabs>
          <w:tab w:pos="665" w:val="left" w:leader="none"/>
          <w:tab w:pos="666" w:val="left" w:leader="none"/>
        </w:tabs>
        <w:spacing w:line="232" w:lineRule="auto" w:before="178" w:after="0"/>
        <w:ind w:left="185" w:right="336" w:firstLine="0"/>
        <w:jc w:val="left"/>
        <w:rPr>
          <w:sz w:val="18"/>
        </w:rPr>
      </w:pPr>
      <w:r>
        <w:rPr>
          <w:color w:val="231F20"/>
          <w:sz w:val="18"/>
        </w:rPr>
        <w:t>The Bank’s estimate of manufacturers’ margins had been updated to include the food, drink, tobacco and petroleum industries. Following that change the estimates had continued to show a decline in margins on both domestic and export sales, as unit labour and bought-in services costs had risen, more than offsetting falls in other costs, alongside falling export and </w:t>
      </w:r>
      <w:r>
        <w:rPr>
          <w:color w:val="231F20"/>
          <w:spacing w:val="-3"/>
          <w:sz w:val="18"/>
        </w:rPr>
        <w:t>domestic </w:t>
      </w:r>
      <w:r>
        <w:rPr>
          <w:color w:val="231F20"/>
          <w:sz w:val="18"/>
        </w:rPr>
        <w:t>prices.</w:t>
      </w:r>
    </w:p>
    <w:p>
      <w:pPr>
        <w:pStyle w:val="ListParagraph"/>
        <w:numPr>
          <w:ilvl w:val="0"/>
          <w:numId w:val="39"/>
        </w:numPr>
        <w:tabs>
          <w:tab w:pos="665" w:val="left" w:leader="none"/>
          <w:tab w:pos="666" w:val="left" w:leader="none"/>
        </w:tabs>
        <w:spacing w:line="232" w:lineRule="auto" w:before="175" w:after="0"/>
        <w:ind w:left="185" w:right="291" w:firstLine="0"/>
        <w:jc w:val="left"/>
        <w:rPr>
          <w:sz w:val="18"/>
        </w:rPr>
      </w:pPr>
      <w:r>
        <w:rPr>
          <w:color w:val="231F20"/>
          <w:sz w:val="18"/>
        </w:rPr>
        <w:t>All of the main retail price inflation measures had fallen sharply in June following their surprising rise in May. The fall in annual RPIX inflation, to 2.8%, in June had been entirely due to goods prices, which had accounted for the rise in May. Annual RPIX goods price inflation had fallen from 2.6% in May to 2.0% in June; RPIX services inflation was unchanged at 3.1%. Within goods prices, the largest falls (relative to June 1997) came from seasonal foods, motor vehicles and petrol. Annual RPI inflation of 3.7% had remained above RPIX inflation because mortgage </w:t>
      </w:r>
      <w:r>
        <w:rPr>
          <w:color w:val="231F20"/>
          <w:spacing w:val="-3"/>
          <w:sz w:val="18"/>
        </w:rPr>
        <w:t>interest </w:t>
      </w:r>
      <w:r>
        <w:rPr>
          <w:color w:val="231F20"/>
          <w:sz w:val="18"/>
        </w:rPr>
        <w:t>payments had risen 25% in the year to June. That gap between RPIX and RPI inflation was expected to narrow sharply in the coming months as last year’s MIPS rises fall out of the annual inflation rate.</w:t>
      </w:r>
    </w:p>
    <w:p>
      <w:pPr>
        <w:pStyle w:val="ListParagraph"/>
        <w:numPr>
          <w:ilvl w:val="0"/>
          <w:numId w:val="39"/>
        </w:numPr>
        <w:tabs>
          <w:tab w:pos="665" w:val="left" w:leader="none"/>
          <w:tab w:pos="666" w:val="left" w:leader="none"/>
        </w:tabs>
        <w:spacing w:line="232" w:lineRule="auto" w:before="170" w:after="0"/>
        <w:ind w:left="185" w:right="291" w:firstLine="0"/>
        <w:jc w:val="left"/>
        <w:rPr>
          <w:sz w:val="18"/>
        </w:rPr>
      </w:pPr>
      <w:r>
        <w:rPr>
          <w:color w:val="231F20"/>
          <w:sz w:val="18"/>
        </w:rPr>
        <w:t>RPIY inflation was 2.0% in June;  the gap between RPIY and RPIX inflation was expected to narrow by 0.2 percentage points in July when the timing effects of recent increases in petrol excise duties fall out of the calculation. HICP inflation had fallen by 0.3 percentage points to 1.7% in June, in line with the fall in </w:t>
      </w:r>
      <w:r>
        <w:rPr>
          <w:color w:val="231F20"/>
          <w:spacing w:val="-6"/>
          <w:sz w:val="18"/>
        </w:rPr>
        <w:t>RPI </w:t>
      </w:r>
      <w:r>
        <w:rPr>
          <w:color w:val="231F20"/>
          <w:sz w:val="18"/>
        </w:rPr>
        <w:t>inflation.  UK HICP inflation remained above the average rate in the European Union of 1.6% in the year to May.</w:t>
      </w:r>
    </w:p>
    <w:p>
      <w:pPr>
        <w:pStyle w:val="BodyText"/>
        <w:spacing w:before="5"/>
      </w:pPr>
    </w:p>
    <w:p>
      <w:pPr>
        <w:pStyle w:val="Heading6"/>
        <w:numPr>
          <w:ilvl w:val="0"/>
          <w:numId w:val="40"/>
        </w:numPr>
        <w:tabs>
          <w:tab w:pos="665" w:val="left" w:leader="none"/>
          <w:tab w:pos="666" w:val="left" w:leader="none"/>
        </w:tabs>
        <w:spacing w:line="266" w:lineRule="auto" w:before="0" w:after="0"/>
        <w:ind w:left="185" w:right="1032" w:firstLine="0"/>
        <w:jc w:val="left"/>
      </w:pPr>
      <w:r>
        <w:rPr>
          <w:color w:val="009483"/>
        </w:rPr>
        <w:t>Bank’s regional Agencies: summary </w:t>
      </w:r>
      <w:r>
        <w:rPr>
          <w:color w:val="009483"/>
          <w:spacing w:val="-8"/>
        </w:rPr>
        <w:t>of </w:t>
      </w:r>
      <w:r>
        <w:rPr>
          <w:color w:val="009483"/>
        </w:rPr>
        <w:t>business</w:t>
      </w:r>
      <w:r>
        <w:rPr>
          <w:color w:val="009483"/>
          <w:spacing w:val="-1"/>
        </w:rPr>
        <w:t> </w:t>
      </w:r>
      <w:r>
        <w:rPr>
          <w:color w:val="009483"/>
        </w:rPr>
        <w:t>conditions</w:t>
      </w:r>
    </w:p>
    <w:p>
      <w:pPr>
        <w:pStyle w:val="ListParagraph"/>
        <w:numPr>
          <w:ilvl w:val="0"/>
          <w:numId w:val="39"/>
        </w:numPr>
        <w:tabs>
          <w:tab w:pos="665" w:val="left" w:leader="none"/>
          <w:tab w:pos="666" w:val="left" w:leader="none"/>
        </w:tabs>
        <w:spacing w:line="232" w:lineRule="auto" w:before="61" w:after="0"/>
        <w:ind w:left="185" w:right="296" w:firstLine="0"/>
        <w:jc w:val="left"/>
        <w:rPr>
          <w:sz w:val="18"/>
        </w:rPr>
      </w:pPr>
      <w:r>
        <w:rPr>
          <w:color w:val="231F20"/>
          <w:sz w:val="18"/>
        </w:rPr>
        <w:t>A fairly widespread deceleration in manufacturing output had been reported, as difficult export markets and increasing </w:t>
      </w:r>
      <w:r>
        <w:rPr>
          <w:color w:val="231F20"/>
          <w:spacing w:val="-3"/>
          <w:sz w:val="18"/>
        </w:rPr>
        <w:t>import </w:t>
      </w:r>
      <w:r>
        <w:rPr>
          <w:color w:val="231F20"/>
          <w:sz w:val="18"/>
        </w:rPr>
        <w:t>competition were accompanied by weakening domestic demand growth. Less regional divergence had been reported than previously, a slowdown in manufacturing being reported across the south of England as well as elsewhere in the United Kingdom. Housing market activity had also shown signs of slowing. Retail sales growth had weakened in all regions; softer consumer demand being attributed in part to concerns about mortgage payments. But in the rest of the service sector evidence of a slowdown had been more mixed, with some sectors (notably IT) reporting strong growth.</w:t>
      </w:r>
    </w:p>
    <w:p>
      <w:pPr>
        <w:pStyle w:val="ListParagraph"/>
        <w:numPr>
          <w:ilvl w:val="0"/>
          <w:numId w:val="39"/>
        </w:numPr>
        <w:tabs>
          <w:tab w:pos="665" w:val="left" w:leader="none"/>
          <w:tab w:pos="666" w:val="left" w:leader="none"/>
        </w:tabs>
        <w:spacing w:line="232" w:lineRule="auto" w:before="170" w:after="0"/>
        <w:ind w:left="185" w:right="351" w:firstLine="0"/>
        <w:jc w:val="left"/>
        <w:rPr>
          <w:sz w:val="18"/>
        </w:rPr>
      </w:pPr>
      <w:r>
        <w:rPr>
          <w:color w:val="231F20"/>
          <w:sz w:val="18"/>
        </w:rPr>
        <w:t>No change had been reported in the scale of wage settlements or earnings growth; service sector contacts had continued to report higher settlements than those in manufacturing. Material input costs had continued to fall, reflecting the decline in world commodity prices. There had been some signs of a further weakening in manufacturing output prices and heavier retail discounting in response to subdued demand and a build-up of stocks.</w:t>
      </w:r>
    </w:p>
    <w:p>
      <w:pPr>
        <w:pStyle w:val="ListParagraph"/>
        <w:numPr>
          <w:ilvl w:val="0"/>
          <w:numId w:val="39"/>
        </w:numPr>
        <w:tabs>
          <w:tab w:pos="665" w:val="left" w:leader="none"/>
          <w:tab w:pos="666" w:val="left" w:leader="none"/>
        </w:tabs>
        <w:spacing w:line="232" w:lineRule="auto" w:before="174" w:after="0"/>
        <w:ind w:left="185" w:right="401" w:firstLine="0"/>
        <w:jc w:val="left"/>
        <w:rPr>
          <w:sz w:val="18"/>
        </w:rPr>
      </w:pPr>
      <w:r>
        <w:rPr>
          <w:color w:val="231F20"/>
          <w:sz w:val="18"/>
        </w:rPr>
        <w:t>Reports of declining employment in manufacturing had increased. In contrast, reports of skills shortages had remained widespread in the service sector, although a few signs of softening had emerged; vacancies reports had not been quite as strong in recent weeks. The number of contacts reporting deferral of investment plans had risen, but much investment still remained in the pipeline—usually targeted at productivity improvements.</w:t>
      </w:r>
    </w:p>
    <w:p>
      <w:pPr>
        <w:pStyle w:val="BodyText"/>
        <w:spacing w:before="5"/>
      </w:pPr>
    </w:p>
    <w:p>
      <w:pPr>
        <w:pStyle w:val="Heading6"/>
        <w:numPr>
          <w:ilvl w:val="0"/>
          <w:numId w:val="40"/>
        </w:numPr>
        <w:tabs>
          <w:tab w:pos="665" w:val="left" w:leader="none"/>
          <w:tab w:pos="666" w:val="left" w:leader="none"/>
        </w:tabs>
        <w:spacing w:line="240" w:lineRule="auto" w:before="0" w:after="0"/>
        <w:ind w:left="665" w:right="0" w:hanging="481"/>
        <w:jc w:val="left"/>
      </w:pPr>
      <w:r>
        <w:rPr>
          <w:color w:val="009483"/>
        </w:rPr>
        <w:t>Financial</w:t>
      </w:r>
      <w:r>
        <w:rPr>
          <w:color w:val="009483"/>
          <w:spacing w:val="-1"/>
        </w:rPr>
        <w:t> </w:t>
      </w:r>
      <w:r>
        <w:rPr>
          <w:color w:val="009483"/>
        </w:rPr>
        <w:t>markets</w:t>
      </w:r>
    </w:p>
    <w:p>
      <w:pPr>
        <w:spacing w:before="85"/>
        <w:ind w:left="185" w:right="0" w:firstLine="0"/>
        <w:jc w:val="left"/>
        <w:rPr>
          <w:i/>
          <w:sz w:val="18"/>
        </w:rPr>
      </w:pPr>
      <w:r>
        <w:rPr>
          <w:i/>
          <w:color w:val="009483"/>
          <w:sz w:val="18"/>
        </w:rPr>
        <w:t>Foreign exchange</w:t>
      </w:r>
    </w:p>
    <w:p>
      <w:pPr>
        <w:pStyle w:val="ListParagraph"/>
        <w:numPr>
          <w:ilvl w:val="0"/>
          <w:numId w:val="39"/>
        </w:numPr>
        <w:tabs>
          <w:tab w:pos="665" w:val="left" w:leader="none"/>
          <w:tab w:pos="666" w:val="left" w:leader="none"/>
        </w:tabs>
        <w:spacing w:line="232" w:lineRule="auto" w:before="98" w:after="0"/>
        <w:ind w:left="185" w:right="486" w:firstLine="0"/>
        <w:jc w:val="left"/>
        <w:rPr>
          <w:sz w:val="18"/>
        </w:rPr>
      </w:pPr>
      <w:r>
        <w:rPr>
          <w:color w:val="231F20"/>
          <w:sz w:val="18"/>
        </w:rPr>
        <w:t>July had been a quiet month for the G3 currencies on the whole. Sterling had softened against the Deutsche Mark, but </w:t>
      </w:r>
      <w:r>
        <w:rPr>
          <w:color w:val="231F20"/>
          <w:spacing w:val="-6"/>
          <w:sz w:val="18"/>
        </w:rPr>
        <w:t>had </w:t>
      </w:r>
      <w:r>
        <w:rPr>
          <w:color w:val="231F20"/>
          <w:sz w:val="18"/>
        </w:rPr>
        <w:t>barely moved over the month against the dollar.</w:t>
      </w:r>
    </w:p>
    <w:p>
      <w:pPr>
        <w:spacing w:after="0" w:line="232" w:lineRule="auto"/>
        <w:jc w:val="left"/>
        <w:rPr>
          <w:sz w:val="18"/>
        </w:rPr>
        <w:sectPr>
          <w:type w:val="continuous"/>
          <w:pgSz w:w="11900" w:h="16840"/>
          <w:pgMar w:top="1220" w:bottom="280" w:left="620" w:right="520"/>
          <w:cols w:num="2" w:equalWidth="0">
            <w:col w:w="5119" w:space="268"/>
            <w:col w:w="5373"/>
          </w:cols>
        </w:sectPr>
      </w:pPr>
    </w:p>
    <w:p>
      <w:pPr>
        <w:pStyle w:val="BodyText"/>
        <w:rPr>
          <w:sz w:val="20"/>
        </w:rPr>
      </w:pPr>
    </w:p>
    <w:p>
      <w:pPr>
        <w:spacing w:after="0"/>
        <w:rPr>
          <w:sz w:val="20"/>
        </w:rPr>
        <w:sectPr>
          <w:pgSz w:w="11900" w:h="16840"/>
          <w:pgMar w:header="566" w:footer="597" w:top="760" w:bottom="780" w:left="620" w:right="520"/>
        </w:sectPr>
      </w:pPr>
    </w:p>
    <w:p>
      <w:pPr>
        <w:pStyle w:val="BodyText"/>
        <w:spacing w:before="7"/>
        <w:rPr>
          <w:sz w:val="19"/>
        </w:rPr>
      </w:pPr>
    </w:p>
    <w:p>
      <w:pPr>
        <w:pStyle w:val="ListParagraph"/>
        <w:numPr>
          <w:ilvl w:val="0"/>
          <w:numId w:val="39"/>
        </w:numPr>
        <w:tabs>
          <w:tab w:pos="675" w:val="left" w:leader="none"/>
        </w:tabs>
        <w:spacing w:line="232" w:lineRule="auto" w:before="1" w:after="0"/>
        <w:ind w:left="194" w:right="162" w:firstLine="0"/>
        <w:jc w:val="both"/>
        <w:rPr>
          <w:sz w:val="18"/>
        </w:rPr>
      </w:pPr>
      <w:r>
        <w:rPr>
          <w:color w:val="231F20"/>
          <w:sz w:val="18"/>
        </w:rPr>
        <w:t>The yen had weakened, to 107.4 on its effective index, </w:t>
      </w:r>
      <w:r>
        <w:rPr>
          <w:color w:val="231F20"/>
          <w:spacing w:val="-5"/>
          <w:sz w:val="18"/>
        </w:rPr>
        <w:t>with </w:t>
      </w:r>
      <w:r>
        <w:rPr>
          <w:color w:val="231F20"/>
          <w:sz w:val="18"/>
        </w:rPr>
        <w:t>the main influence being the uncertain prospects for reform of the banking system and for permanent tax cuts. The yen’s fall against the Deutsche Mark in the month had been steady; its path against the dollar had been more erratic.</w:t>
      </w:r>
    </w:p>
    <w:p>
      <w:pPr>
        <w:pStyle w:val="BodyText"/>
        <w:rPr>
          <w:sz w:val="17"/>
        </w:rPr>
      </w:pPr>
    </w:p>
    <w:p>
      <w:pPr>
        <w:pStyle w:val="ListParagraph"/>
        <w:numPr>
          <w:ilvl w:val="0"/>
          <w:numId w:val="39"/>
        </w:numPr>
        <w:tabs>
          <w:tab w:pos="674" w:val="left" w:leader="none"/>
          <w:tab w:pos="675" w:val="left" w:leader="none"/>
        </w:tabs>
        <w:spacing w:line="232" w:lineRule="auto" w:before="0" w:after="0"/>
        <w:ind w:left="194" w:right="62" w:firstLine="0"/>
        <w:jc w:val="left"/>
        <w:rPr>
          <w:sz w:val="18"/>
        </w:rPr>
      </w:pPr>
      <w:r>
        <w:rPr>
          <w:color w:val="231F20"/>
          <w:sz w:val="18"/>
        </w:rPr>
        <w:t>The Deutsche Mark had strengthened against both the yen and the dollar, to around Yen 81</w:t>
      </w:r>
      <w:r>
        <w:rPr>
          <w:color w:val="231F20"/>
          <w:position w:val="6"/>
          <w:sz w:val="9"/>
        </w:rPr>
        <w:t>1</w:t>
      </w:r>
      <w:r>
        <w:rPr>
          <w:color w:val="231F20"/>
          <w:sz w:val="18"/>
        </w:rPr>
        <w:t>/</w:t>
      </w:r>
      <w:r>
        <w:rPr>
          <w:color w:val="231F20"/>
          <w:sz w:val="9"/>
        </w:rPr>
        <w:t>2 </w:t>
      </w:r>
      <w:r>
        <w:rPr>
          <w:color w:val="231F20"/>
          <w:sz w:val="18"/>
        </w:rPr>
        <w:t>and DM 1.77 respectively. </w:t>
      </w:r>
      <w:r>
        <w:rPr>
          <w:color w:val="231F20"/>
          <w:spacing w:val="-5"/>
          <w:sz w:val="18"/>
        </w:rPr>
        <w:t>With </w:t>
      </w:r>
      <w:r>
        <w:rPr>
          <w:color w:val="231F20"/>
          <w:sz w:val="18"/>
        </w:rPr>
        <w:t>little change in European interest rates, the main factor behind the Deutsche Mark’s strength appeared to have been the more stable position in Russia, reducing concerns about the impact on the German banking system. When the IMF package was initially announced on 13 July, the dollar fell by almost 2 pfennigs against the mark. Since then the dollar had trended lower and was close to the bottom of its recent trading range.</w:t>
      </w:r>
    </w:p>
    <w:p>
      <w:pPr>
        <w:pStyle w:val="BodyText"/>
        <w:spacing w:before="6"/>
      </w:pPr>
    </w:p>
    <w:p>
      <w:pPr>
        <w:pStyle w:val="ListParagraph"/>
        <w:numPr>
          <w:ilvl w:val="0"/>
          <w:numId w:val="39"/>
        </w:numPr>
        <w:tabs>
          <w:tab w:pos="674" w:val="left" w:leader="none"/>
          <w:tab w:pos="675" w:val="left" w:leader="none"/>
        </w:tabs>
        <w:spacing w:line="232" w:lineRule="auto" w:before="0" w:after="0"/>
        <w:ind w:left="194" w:right="42" w:firstLine="0"/>
        <w:jc w:val="left"/>
        <w:rPr>
          <w:sz w:val="18"/>
        </w:rPr>
      </w:pPr>
      <w:r>
        <w:rPr>
          <w:color w:val="231F20"/>
          <w:sz w:val="18"/>
        </w:rPr>
        <w:t>The sterling ERI had fallen by 1.6% to 104.0 over the </w:t>
      </w:r>
      <w:r>
        <w:rPr>
          <w:color w:val="231F20"/>
          <w:spacing w:val="-3"/>
          <w:sz w:val="18"/>
        </w:rPr>
        <w:t>month. </w:t>
      </w:r>
      <w:r>
        <w:rPr>
          <w:color w:val="231F20"/>
          <w:sz w:val="18"/>
        </w:rPr>
        <w:t>It fell by around 1% in the first half of the month, then recovered, before falling further after the CBI Quarterly Trends survey released on 28 July. Sterling had fallen by about 2</w:t>
      </w:r>
      <w:r>
        <w:rPr>
          <w:color w:val="231F20"/>
          <w:position w:val="6"/>
          <w:sz w:val="9"/>
        </w:rPr>
        <w:t>1</w:t>
      </w:r>
      <w:r>
        <w:rPr>
          <w:color w:val="231F20"/>
          <w:sz w:val="18"/>
        </w:rPr>
        <w:t>/</w:t>
      </w:r>
      <w:r>
        <w:rPr>
          <w:color w:val="231F20"/>
          <w:sz w:val="9"/>
        </w:rPr>
        <w:t>2</w:t>
      </w:r>
      <w:r>
        <w:rPr>
          <w:color w:val="231F20"/>
          <w:sz w:val="18"/>
        </w:rPr>
        <w:t>% against the Deutsche Mark to DM 2.90, but remained almost unchanged against the dollar (trading just under $1.64). Some of the factors which had caused the Deutsche Mark to appreciate against the dollar—namely the unwinding of safe haven flows related to </w:t>
      </w:r>
      <w:r>
        <w:rPr>
          <w:color w:val="231F20"/>
          <w:spacing w:val="-3"/>
          <w:sz w:val="18"/>
        </w:rPr>
        <w:t>Russia</w:t>
      </w:r>
    </w:p>
    <w:p>
      <w:pPr>
        <w:pStyle w:val="BodyText"/>
        <w:spacing w:line="232" w:lineRule="auto"/>
        <w:ind w:left="194" w:right="25"/>
      </w:pPr>
      <w:r>
        <w:rPr>
          <w:color w:val="231F20"/>
        </w:rPr>
        <w:t>—had affected the pound as well. Three pieces of domestic news had also affected the pound: the RPIX data (sterling fell); the average earnings data (sterling rose); and the CBI survey (sterling fell).</w:t>
      </w:r>
    </w:p>
    <w:p>
      <w:pPr>
        <w:pStyle w:val="BodyText"/>
        <w:spacing w:before="1"/>
        <w:rPr>
          <w:sz w:val="20"/>
        </w:rPr>
      </w:pPr>
    </w:p>
    <w:p>
      <w:pPr>
        <w:pStyle w:val="ListParagraph"/>
        <w:numPr>
          <w:ilvl w:val="0"/>
          <w:numId w:val="39"/>
        </w:numPr>
        <w:tabs>
          <w:tab w:pos="674" w:val="left" w:leader="none"/>
          <w:tab w:pos="675" w:val="left" w:leader="none"/>
        </w:tabs>
        <w:spacing w:line="232" w:lineRule="auto" w:before="0" w:after="0"/>
        <w:ind w:left="194" w:right="337" w:firstLine="0"/>
        <w:jc w:val="left"/>
        <w:rPr>
          <w:sz w:val="18"/>
        </w:rPr>
      </w:pPr>
      <w:r>
        <w:rPr>
          <w:color w:val="231F20"/>
          <w:sz w:val="18"/>
        </w:rPr>
        <w:t>Overall, the foreign exchange market was now more convinced than a month ago that the UK economy was</w:t>
      </w:r>
      <w:r>
        <w:rPr>
          <w:color w:val="231F20"/>
          <w:spacing w:val="6"/>
          <w:sz w:val="18"/>
        </w:rPr>
        <w:t> </w:t>
      </w:r>
      <w:r>
        <w:rPr>
          <w:color w:val="231F20"/>
          <w:spacing w:val="-3"/>
          <w:sz w:val="18"/>
        </w:rPr>
        <w:t>slowing;</w:t>
      </w:r>
    </w:p>
    <w:p>
      <w:pPr>
        <w:pStyle w:val="BodyText"/>
        <w:spacing w:line="232" w:lineRule="auto"/>
        <w:ind w:left="194" w:right="25"/>
      </w:pPr>
      <w:r>
        <w:rPr>
          <w:color w:val="231F20"/>
        </w:rPr>
        <w:t>the market was also probably a little less pessimistic about events in Asia and Russia. Both of these factors had proved negative for sterling.</w:t>
      </w:r>
    </w:p>
    <w:p>
      <w:pPr>
        <w:pStyle w:val="BodyText"/>
        <w:spacing w:before="1"/>
        <w:rPr>
          <w:sz w:val="20"/>
        </w:rPr>
      </w:pPr>
    </w:p>
    <w:p>
      <w:pPr>
        <w:spacing w:before="0"/>
        <w:ind w:left="194" w:right="0" w:firstLine="0"/>
        <w:jc w:val="left"/>
        <w:rPr>
          <w:i/>
          <w:sz w:val="18"/>
        </w:rPr>
      </w:pPr>
      <w:r>
        <w:rPr>
          <w:i/>
          <w:color w:val="009483"/>
          <w:sz w:val="18"/>
        </w:rPr>
        <w:t>Bond and money markets</w:t>
      </w:r>
    </w:p>
    <w:p>
      <w:pPr>
        <w:pStyle w:val="ListParagraph"/>
        <w:numPr>
          <w:ilvl w:val="0"/>
          <w:numId w:val="39"/>
        </w:numPr>
        <w:tabs>
          <w:tab w:pos="674" w:val="left" w:leader="none"/>
          <w:tab w:pos="675" w:val="left" w:leader="none"/>
        </w:tabs>
        <w:spacing w:line="232" w:lineRule="auto" w:before="118" w:after="0"/>
        <w:ind w:left="194" w:right="107" w:firstLine="0"/>
        <w:jc w:val="left"/>
        <w:rPr>
          <w:sz w:val="18"/>
        </w:rPr>
      </w:pPr>
      <w:r>
        <w:rPr>
          <w:color w:val="231F20"/>
          <w:sz w:val="18"/>
        </w:rPr>
        <w:t>Overall, July had been a quieter month for domestic </w:t>
      </w:r>
      <w:r>
        <w:rPr>
          <w:color w:val="231F20"/>
          <w:spacing w:val="-3"/>
          <w:sz w:val="18"/>
        </w:rPr>
        <w:t>markets </w:t>
      </w:r>
      <w:r>
        <w:rPr>
          <w:color w:val="231F20"/>
          <w:sz w:val="18"/>
        </w:rPr>
        <w:t>after the unusually sharp movements during June.</w:t>
      </w:r>
    </w:p>
    <w:p>
      <w:pPr>
        <w:pStyle w:val="BodyText"/>
        <w:spacing w:before="8"/>
        <w:rPr>
          <w:sz w:val="20"/>
        </w:rPr>
      </w:pPr>
    </w:p>
    <w:p>
      <w:pPr>
        <w:pStyle w:val="ListParagraph"/>
        <w:numPr>
          <w:ilvl w:val="0"/>
          <w:numId w:val="39"/>
        </w:numPr>
        <w:tabs>
          <w:tab w:pos="674" w:val="left" w:leader="none"/>
          <w:tab w:pos="675" w:val="left" w:leader="none"/>
        </w:tabs>
        <w:spacing w:line="232" w:lineRule="auto" w:before="1" w:after="0"/>
        <w:ind w:left="194" w:right="38" w:firstLine="0"/>
        <w:jc w:val="left"/>
        <w:rPr>
          <w:sz w:val="18"/>
        </w:rPr>
      </w:pPr>
      <w:r>
        <w:rPr>
          <w:color w:val="231F20"/>
          <w:sz w:val="18"/>
        </w:rPr>
        <w:t>The short sterling futures market seemed to have experienced four surprises since the July MPC meeting: the MPC’s decision not to raise rates, the RPI data, the average earnings data, and the CBI survey. Larger than normal turnover of short sterling contracts on those days corroborated the view that those days were characterised by significant market repositioning, though it was difficult to draw firm forward-looking conclusions from the flow data.</w:t>
      </w:r>
    </w:p>
    <w:p>
      <w:pPr>
        <w:pStyle w:val="BodyText"/>
        <w:spacing w:before="1"/>
        <w:rPr>
          <w:sz w:val="22"/>
        </w:rPr>
      </w:pPr>
    </w:p>
    <w:p>
      <w:pPr>
        <w:pStyle w:val="ListParagraph"/>
        <w:numPr>
          <w:ilvl w:val="0"/>
          <w:numId w:val="39"/>
        </w:numPr>
        <w:tabs>
          <w:tab w:pos="674" w:val="left" w:leader="none"/>
          <w:tab w:pos="675" w:val="left" w:leader="none"/>
        </w:tabs>
        <w:spacing w:line="232" w:lineRule="auto" w:before="0" w:after="0"/>
        <w:ind w:left="194" w:right="252" w:firstLine="0"/>
        <w:jc w:val="left"/>
        <w:rPr>
          <w:sz w:val="18"/>
        </w:rPr>
      </w:pPr>
      <w:r>
        <w:rPr>
          <w:color w:val="231F20"/>
          <w:sz w:val="18"/>
        </w:rPr>
        <w:t>Looking at the market’s short-term views ahead of the August MPC, very few contacts thought that rates would </w:t>
      </w:r>
      <w:r>
        <w:rPr>
          <w:color w:val="231F20"/>
          <w:spacing w:val="-3"/>
          <w:sz w:val="18"/>
        </w:rPr>
        <w:t>change. </w:t>
      </w:r>
      <w:r>
        <w:rPr>
          <w:color w:val="231F20"/>
          <w:sz w:val="18"/>
        </w:rPr>
        <w:t>Anecdote suggested that the market was clearly still nervous, though implied volatility, derived from the L</w:t>
      </w:r>
      <w:r>
        <w:rPr>
          <w:color w:val="231F20"/>
          <w:sz w:val="14"/>
        </w:rPr>
        <w:t>IFFE </w:t>
      </w:r>
      <w:r>
        <w:rPr>
          <w:color w:val="231F20"/>
          <w:sz w:val="18"/>
        </w:rPr>
        <w:t>option</w:t>
      </w:r>
      <w:r>
        <w:rPr>
          <w:color w:val="231F20"/>
          <w:spacing w:val="9"/>
          <w:sz w:val="18"/>
        </w:rPr>
        <w:t> </w:t>
      </w:r>
      <w:r>
        <w:rPr>
          <w:color w:val="231F20"/>
          <w:sz w:val="18"/>
        </w:rPr>
        <w:t>on</w:t>
      </w:r>
    </w:p>
    <w:p>
      <w:pPr>
        <w:pStyle w:val="BodyText"/>
        <w:spacing w:line="232" w:lineRule="auto"/>
        <w:ind w:left="194" w:right="335"/>
      </w:pPr>
      <w:r>
        <w:rPr>
          <w:color w:val="231F20"/>
        </w:rPr>
        <w:t>short sterling futures contracts, had fallen after publication of the CBI survey. The two-week forward general collateral repo</w:t>
      </w:r>
    </w:p>
    <w:p>
      <w:pPr>
        <w:pStyle w:val="BodyText"/>
        <w:spacing w:before="7"/>
        <w:rPr>
          <w:sz w:val="19"/>
        </w:rPr>
      </w:pPr>
      <w:r>
        <w:rPr/>
        <w:br w:type="column"/>
      </w:r>
      <w:r>
        <w:rPr>
          <w:sz w:val="19"/>
        </w:rPr>
      </w:r>
    </w:p>
    <w:p>
      <w:pPr>
        <w:pStyle w:val="BodyText"/>
        <w:spacing w:line="232" w:lineRule="auto" w:before="1"/>
        <w:ind w:left="194" w:right="797"/>
      </w:pPr>
      <w:r>
        <w:rPr>
          <w:color w:val="231F20"/>
        </w:rPr>
        <w:t>curve indicated that little change in the Bank’s repo rate was expected.</w:t>
      </w:r>
    </w:p>
    <w:p>
      <w:pPr>
        <w:pStyle w:val="BodyText"/>
        <w:spacing w:before="9"/>
        <w:rPr>
          <w:sz w:val="16"/>
        </w:rPr>
      </w:pPr>
    </w:p>
    <w:p>
      <w:pPr>
        <w:pStyle w:val="ListParagraph"/>
        <w:numPr>
          <w:ilvl w:val="0"/>
          <w:numId w:val="39"/>
        </w:numPr>
        <w:tabs>
          <w:tab w:pos="674" w:val="left" w:leader="none"/>
          <w:tab w:pos="675" w:val="left" w:leader="none"/>
        </w:tabs>
        <w:spacing w:line="203" w:lineRule="exact" w:before="0" w:after="0"/>
        <w:ind w:left="674" w:right="0" w:hanging="481"/>
        <w:jc w:val="left"/>
        <w:rPr>
          <w:sz w:val="18"/>
        </w:rPr>
      </w:pPr>
      <w:r>
        <w:rPr>
          <w:color w:val="231F20"/>
          <w:sz w:val="18"/>
        </w:rPr>
        <w:t>Over the month, gilt yields had moved down, by about</w:t>
      </w:r>
    </w:p>
    <w:p>
      <w:pPr>
        <w:pStyle w:val="BodyText"/>
        <w:spacing w:line="232" w:lineRule="auto" w:before="2"/>
        <w:ind w:left="194" w:right="321"/>
      </w:pPr>
      <w:r>
        <w:rPr>
          <w:color w:val="231F20"/>
        </w:rPr>
        <w:t>15 basis points at 10 years, and by rather more than US Treasuries and German Bunds. The government’s spending announcements had had little initial impact on the gilt market, though subsequently some contacts had worried about the potential implications for gilt supply if the economy were to slow sharply.</w:t>
      </w:r>
    </w:p>
    <w:p>
      <w:pPr>
        <w:pStyle w:val="BodyText"/>
        <w:spacing w:before="6"/>
        <w:rPr>
          <w:sz w:val="16"/>
        </w:rPr>
      </w:pPr>
    </w:p>
    <w:p>
      <w:pPr>
        <w:spacing w:before="1"/>
        <w:ind w:left="194" w:right="0" w:firstLine="0"/>
        <w:jc w:val="left"/>
        <w:rPr>
          <w:i/>
          <w:sz w:val="18"/>
        </w:rPr>
      </w:pPr>
      <w:r>
        <w:rPr>
          <w:i/>
          <w:color w:val="009483"/>
          <w:sz w:val="18"/>
        </w:rPr>
        <w:t>Equity markets</w:t>
      </w:r>
    </w:p>
    <w:p>
      <w:pPr>
        <w:pStyle w:val="ListParagraph"/>
        <w:numPr>
          <w:ilvl w:val="0"/>
          <w:numId w:val="41"/>
        </w:numPr>
        <w:tabs>
          <w:tab w:pos="674" w:val="left" w:leader="none"/>
          <w:tab w:pos="675" w:val="left" w:leader="none"/>
        </w:tabs>
        <w:spacing w:line="232" w:lineRule="auto" w:before="118" w:after="0"/>
        <w:ind w:left="194" w:right="264" w:hanging="1"/>
        <w:jc w:val="left"/>
        <w:rPr>
          <w:sz w:val="18"/>
        </w:rPr>
      </w:pPr>
      <w:r>
        <w:rPr>
          <w:color w:val="231F20"/>
          <w:sz w:val="18"/>
        </w:rPr>
        <w:t>Overall the F</w:t>
      </w:r>
      <w:r>
        <w:rPr>
          <w:color w:val="231F20"/>
          <w:sz w:val="14"/>
        </w:rPr>
        <w:t>T-SE </w:t>
      </w:r>
      <w:r>
        <w:rPr>
          <w:color w:val="231F20"/>
          <w:sz w:val="18"/>
        </w:rPr>
        <w:t>All-Share index had fallen by 6%, to </w:t>
      </w:r>
      <w:r>
        <w:rPr>
          <w:color w:val="231F20"/>
          <w:spacing w:val="-3"/>
          <w:sz w:val="18"/>
        </w:rPr>
        <w:t>2,643, </w:t>
      </w:r>
      <w:r>
        <w:rPr>
          <w:color w:val="231F20"/>
          <w:sz w:val="18"/>
        </w:rPr>
        <w:t>since the July MPC. Major markets fell sharply after Chairman Greenspan’s Humphrey-Hawkins testimony on 21–22 July. There had been a small fall in long-term real yields during the month, so the change in equity prices probably reflected either a fall in profit expectations or a rise in the equity risk premium.</w:t>
      </w:r>
    </w:p>
    <w:p>
      <w:pPr>
        <w:pStyle w:val="BodyText"/>
        <w:spacing w:before="11"/>
        <w:rPr>
          <w:sz w:val="16"/>
        </w:rPr>
      </w:pPr>
    </w:p>
    <w:p>
      <w:pPr>
        <w:pStyle w:val="ListParagraph"/>
        <w:numPr>
          <w:ilvl w:val="0"/>
          <w:numId w:val="41"/>
        </w:numPr>
        <w:tabs>
          <w:tab w:pos="674" w:val="left" w:leader="none"/>
          <w:tab w:pos="675" w:val="left" w:leader="none"/>
        </w:tabs>
        <w:spacing w:line="232" w:lineRule="auto" w:before="0" w:after="0"/>
        <w:ind w:left="194" w:right="384" w:firstLine="0"/>
        <w:jc w:val="left"/>
        <w:rPr>
          <w:sz w:val="18"/>
        </w:rPr>
      </w:pPr>
      <w:r>
        <w:rPr>
          <w:color w:val="231F20"/>
          <w:sz w:val="18"/>
        </w:rPr>
        <w:t>Looking at sectors of the UK equity market showed that </w:t>
      </w:r>
      <w:r>
        <w:rPr>
          <w:color w:val="231F20"/>
          <w:spacing w:val="-6"/>
          <w:sz w:val="18"/>
        </w:rPr>
        <w:t>the </w:t>
      </w:r>
      <w:r>
        <w:rPr>
          <w:i/>
          <w:color w:val="231F20"/>
          <w:sz w:val="18"/>
        </w:rPr>
        <w:t>general industrials </w:t>
      </w:r>
      <w:r>
        <w:rPr>
          <w:color w:val="231F20"/>
          <w:sz w:val="18"/>
        </w:rPr>
        <w:t>sector had fallen by 11.5% since the last </w:t>
      </w:r>
      <w:r>
        <w:rPr>
          <w:color w:val="231F20"/>
          <w:spacing w:val="-3"/>
          <w:sz w:val="18"/>
        </w:rPr>
        <w:t>MPC; </w:t>
      </w:r>
      <w:r>
        <w:rPr>
          <w:color w:val="231F20"/>
          <w:sz w:val="18"/>
        </w:rPr>
        <w:t>within this, </w:t>
      </w:r>
      <w:r>
        <w:rPr>
          <w:i/>
          <w:color w:val="231F20"/>
          <w:sz w:val="18"/>
        </w:rPr>
        <w:t>chemicals </w:t>
      </w:r>
      <w:r>
        <w:rPr>
          <w:color w:val="231F20"/>
          <w:sz w:val="18"/>
        </w:rPr>
        <w:t>fell by 15.0%, linked to the ICI profit warnings. Taking a longer perspective, the </w:t>
      </w:r>
      <w:r>
        <w:rPr>
          <w:i/>
          <w:color w:val="231F20"/>
          <w:sz w:val="18"/>
        </w:rPr>
        <w:t>chemicals </w:t>
      </w:r>
      <w:r>
        <w:rPr>
          <w:color w:val="231F20"/>
          <w:sz w:val="18"/>
        </w:rPr>
        <w:t>sector had underperformed relative to the All-Share since the start of 1996. Looking at revisions to analysts’ forecasts for profits over the past three months showed that the recent underperformance in the </w:t>
      </w:r>
      <w:r>
        <w:rPr>
          <w:i/>
          <w:color w:val="231F20"/>
          <w:sz w:val="18"/>
        </w:rPr>
        <w:t>chemicals </w:t>
      </w:r>
      <w:r>
        <w:rPr>
          <w:color w:val="231F20"/>
          <w:sz w:val="18"/>
        </w:rPr>
        <w:t>sector was associated with a downward shift in profit expectations for 1998 and 1999.</w:t>
      </w:r>
    </w:p>
    <w:p>
      <w:pPr>
        <w:pStyle w:val="BodyText"/>
        <w:spacing w:before="9"/>
        <w:rPr>
          <w:sz w:val="16"/>
        </w:rPr>
      </w:pPr>
    </w:p>
    <w:p>
      <w:pPr>
        <w:pStyle w:val="ListParagraph"/>
        <w:numPr>
          <w:ilvl w:val="0"/>
          <w:numId w:val="41"/>
        </w:numPr>
        <w:tabs>
          <w:tab w:pos="674" w:val="left" w:leader="none"/>
          <w:tab w:pos="675" w:val="left" w:leader="none"/>
        </w:tabs>
        <w:spacing w:line="232" w:lineRule="auto" w:before="0" w:after="0"/>
        <w:ind w:left="194" w:right="275" w:firstLine="0"/>
        <w:jc w:val="left"/>
        <w:rPr>
          <w:sz w:val="18"/>
        </w:rPr>
      </w:pPr>
      <w:r>
        <w:rPr>
          <w:color w:val="231F20"/>
          <w:sz w:val="18"/>
        </w:rPr>
        <w:t>The </w:t>
      </w:r>
      <w:r>
        <w:rPr>
          <w:i/>
          <w:color w:val="231F20"/>
          <w:sz w:val="18"/>
        </w:rPr>
        <w:t>general retailers </w:t>
      </w:r>
      <w:r>
        <w:rPr>
          <w:color w:val="231F20"/>
          <w:sz w:val="18"/>
        </w:rPr>
        <w:t>index had increasingly underperformed the FT All-Share since the autumn of 1997. Analysts’ earnings forecasts for this sector had been revised down for 1998 (but not </w:t>
      </w:r>
      <w:r>
        <w:rPr>
          <w:color w:val="231F20"/>
          <w:spacing w:val="-6"/>
          <w:sz w:val="18"/>
        </w:rPr>
        <w:t>for </w:t>
      </w:r>
      <w:r>
        <w:rPr>
          <w:color w:val="231F20"/>
          <w:sz w:val="18"/>
        </w:rPr>
        <w:t>1999) over the past three months.</w:t>
      </w:r>
    </w:p>
    <w:p>
      <w:pPr>
        <w:pStyle w:val="BodyText"/>
        <w:spacing w:before="8"/>
        <w:rPr>
          <w:sz w:val="16"/>
        </w:rPr>
      </w:pPr>
    </w:p>
    <w:p>
      <w:pPr>
        <w:pStyle w:val="ListParagraph"/>
        <w:numPr>
          <w:ilvl w:val="0"/>
          <w:numId w:val="41"/>
        </w:numPr>
        <w:tabs>
          <w:tab w:pos="674" w:val="left" w:leader="none"/>
          <w:tab w:pos="675" w:val="left" w:leader="none"/>
        </w:tabs>
        <w:spacing w:line="203" w:lineRule="exact" w:before="0" w:after="0"/>
        <w:ind w:left="674" w:right="0" w:hanging="481"/>
        <w:jc w:val="left"/>
        <w:rPr>
          <w:sz w:val="18"/>
        </w:rPr>
      </w:pPr>
      <w:r>
        <w:rPr>
          <w:color w:val="231F20"/>
          <w:sz w:val="18"/>
        </w:rPr>
        <w:t>Analysis of profit warnings showed more warnings in</w:t>
      </w:r>
    </w:p>
    <w:p>
      <w:pPr>
        <w:pStyle w:val="BodyText"/>
        <w:spacing w:line="232" w:lineRule="auto" w:before="2"/>
        <w:ind w:left="194" w:right="270"/>
      </w:pPr>
      <w:r>
        <w:rPr>
          <w:color w:val="231F20"/>
        </w:rPr>
        <w:t>July 1998 compared with July 1997. These were predominantly in the </w:t>
      </w:r>
      <w:r>
        <w:rPr>
          <w:i/>
          <w:color w:val="231F20"/>
        </w:rPr>
        <w:t>general industrials </w:t>
      </w:r>
      <w:r>
        <w:rPr>
          <w:color w:val="231F20"/>
        </w:rPr>
        <w:t>and </w:t>
      </w:r>
      <w:r>
        <w:rPr>
          <w:i/>
          <w:color w:val="231F20"/>
        </w:rPr>
        <w:t>general retailers </w:t>
      </w:r>
      <w:r>
        <w:rPr>
          <w:color w:val="231F20"/>
        </w:rPr>
        <w:t>sectors. (A profit warning had to be issued where a quoted company’s directors became aware of information about their company’s performance which was likely to lead to a substantial movement in its share price. Profit warnings were therefore an indication of genuine news about a company’s prospects, and possibly about the sectors in which the company operated.)</w:t>
      </w:r>
    </w:p>
    <w:p>
      <w:pPr>
        <w:pStyle w:val="BodyText"/>
        <w:spacing w:before="9"/>
        <w:rPr>
          <w:sz w:val="16"/>
        </w:rPr>
      </w:pPr>
    </w:p>
    <w:p>
      <w:pPr>
        <w:pStyle w:val="ListParagraph"/>
        <w:numPr>
          <w:ilvl w:val="0"/>
          <w:numId w:val="41"/>
        </w:numPr>
        <w:tabs>
          <w:tab w:pos="674" w:val="left" w:leader="none"/>
          <w:tab w:pos="675" w:val="left" w:leader="none"/>
        </w:tabs>
        <w:spacing w:line="232" w:lineRule="auto" w:before="0" w:after="0"/>
        <w:ind w:left="194" w:right="265" w:firstLine="0"/>
        <w:jc w:val="left"/>
        <w:rPr>
          <w:sz w:val="18"/>
        </w:rPr>
      </w:pPr>
      <w:r>
        <w:rPr>
          <w:color w:val="231F20"/>
          <w:sz w:val="18"/>
        </w:rPr>
        <w:t>Separately, Bank staff had looked at the effect of news on </w:t>
      </w:r>
      <w:r>
        <w:rPr>
          <w:color w:val="231F20"/>
          <w:spacing w:val="-6"/>
          <w:sz w:val="18"/>
        </w:rPr>
        <w:t>the </w:t>
      </w:r>
      <w:r>
        <w:rPr>
          <w:color w:val="231F20"/>
          <w:sz w:val="18"/>
        </w:rPr>
        <w:t>minimum wage on the share prices of listed (ie relatively large) firms. Five sub-sectors of the F</w:t>
      </w:r>
      <w:r>
        <w:rPr>
          <w:color w:val="231F20"/>
          <w:sz w:val="14"/>
        </w:rPr>
        <w:t>T-SE </w:t>
      </w:r>
      <w:r>
        <w:rPr>
          <w:color w:val="231F20"/>
          <w:sz w:val="18"/>
        </w:rPr>
        <w:t>All-Share index had been selected which corresponded to the industries identified by the Low Pay Commission as having a high proportion of low paid workers; </w:t>
      </w:r>
      <w:r>
        <w:rPr>
          <w:i/>
          <w:color w:val="231F20"/>
          <w:sz w:val="18"/>
        </w:rPr>
        <w:t>household goods and textiles</w:t>
      </w:r>
      <w:r>
        <w:rPr>
          <w:color w:val="231F20"/>
          <w:sz w:val="18"/>
        </w:rPr>
        <w:t>, </w:t>
      </w:r>
      <w:r>
        <w:rPr>
          <w:i/>
          <w:color w:val="231F20"/>
          <w:sz w:val="18"/>
        </w:rPr>
        <w:t>retailers (food)</w:t>
      </w:r>
      <w:r>
        <w:rPr>
          <w:color w:val="231F20"/>
          <w:sz w:val="18"/>
        </w:rPr>
        <w:t>, </w:t>
      </w:r>
      <w:r>
        <w:rPr>
          <w:i/>
          <w:color w:val="231F20"/>
          <w:sz w:val="18"/>
        </w:rPr>
        <w:t>retailers (general), </w:t>
      </w:r>
      <w:r>
        <w:rPr>
          <w:i/>
          <w:color w:val="231F20"/>
          <w:sz w:val="18"/>
        </w:rPr>
        <w:t>leisure and hotels</w:t>
      </w:r>
      <w:r>
        <w:rPr>
          <w:color w:val="231F20"/>
          <w:sz w:val="18"/>
        </w:rPr>
        <w:t>, </w:t>
      </w:r>
      <w:r>
        <w:rPr>
          <w:i/>
          <w:color w:val="231F20"/>
          <w:sz w:val="18"/>
        </w:rPr>
        <w:t>and breweries, pubs and restaurants</w:t>
      </w:r>
      <w:r>
        <w:rPr>
          <w:color w:val="231F20"/>
          <w:sz w:val="18"/>
        </w:rPr>
        <w:t>. The analysis showed that these sub-sectors had not responded significantly to news items about the minimum wage over the past three years. However, the analysis did not necessarily carry over to small firms.</w:t>
      </w:r>
    </w:p>
    <w:p>
      <w:pPr>
        <w:spacing w:after="0" w:line="232" w:lineRule="auto"/>
        <w:jc w:val="left"/>
        <w:rPr>
          <w:sz w:val="18"/>
        </w:rPr>
        <w:sectPr>
          <w:type w:val="continuous"/>
          <w:pgSz w:w="11900" w:h="16840"/>
          <w:pgMar w:top="1220" w:bottom="280" w:left="620" w:right="520"/>
          <w:cols w:num="2" w:equalWidth="0">
            <w:col w:w="5143" w:space="247"/>
            <w:col w:w="5370"/>
          </w:cols>
        </w:sectPr>
      </w:pPr>
    </w:p>
    <w:p>
      <w:pPr>
        <w:pStyle w:val="BodyText"/>
        <w:rPr>
          <w:sz w:val="20"/>
        </w:rPr>
      </w:pPr>
    </w:p>
    <w:p>
      <w:pPr>
        <w:pStyle w:val="BodyText"/>
        <w:rPr>
          <w:sz w:val="20"/>
        </w:rPr>
      </w:pPr>
    </w:p>
    <w:p>
      <w:pPr>
        <w:pStyle w:val="BodyText"/>
        <w:rPr>
          <w:sz w:val="21"/>
        </w:rPr>
      </w:pPr>
    </w:p>
    <w:p>
      <w:pPr>
        <w:pStyle w:val="Heading1"/>
        <w:spacing w:before="87"/>
        <w:ind w:left="175"/>
      </w:pPr>
      <w:bookmarkStart w:name="September minutes" w:id="89"/>
      <w:bookmarkEnd w:id="89"/>
      <w:r>
        <w:rPr>
          <w:b w:val="0"/>
        </w:rPr>
      </w:r>
      <w:bookmarkStart w:name="_bookmark33" w:id="90"/>
      <w:bookmarkEnd w:id="90"/>
      <w:r>
        <w:rPr>
          <w:b w:val="0"/>
        </w:rPr>
      </w:r>
      <w:r>
        <w:rPr>
          <w:color w:val="009483"/>
        </w:rPr>
        <w:t>Minutes of the Monetary Policy Committee meeting on 9–10 September 1998</w:t>
      </w:r>
    </w:p>
    <w:p>
      <w:pPr>
        <w:pStyle w:val="BodyText"/>
        <w:spacing w:before="9"/>
        <w:rPr>
          <w:b/>
          <w:sz w:val="29"/>
        </w:rPr>
      </w:pPr>
    </w:p>
    <w:p>
      <w:pPr>
        <w:spacing w:after="0"/>
        <w:rPr>
          <w:sz w:val="29"/>
        </w:rPr>
        <w:sectPr>
          <w:pgSz w:w="11900" w:h="16840"/>
          <w:pgMar w:header="566" w:footer="597" w:top="760" w:bottom="780" w:left="620" w:right="520"/>
        </w:sectPr>
      </w:pPr>
    </w:p>
    <w:p>
      <w:pPr>
        <w:pStyle w:val="ListParagraph"/>
        <w:numPr>
          <w:ilvl w:val="0"/>
          <w:numId w:val="42"/>
        </w:numPr>
        <w:tabs>
          <w:tab w:pos="659" w:val="left" w:leader="none"/>
          <w:tab w:pos="661" w:val="left" w:leader="none"/>
        </w:tabs>
        <w:spacing w:line="232" w:lineRule="auto" w:before="97" w:after="0"/>
        <w:ind w:left="180" w:right="42" w:firstLine="0"/>
        <w:jc w:val="left"/>
        <w:rPr>
          <w:sz w:val="18"/>
        </w:rPr>
      </w:pPr>
      <w:r>
        <w:rPr>
          <w:color w:val="231F20"/>
          <w:sz w:val="18"/>
        </w:rPr>
        <w:t>The Committee began by discussing recent world developments, particularly the problems in emerging market economies and the increasing weakness in Japan. On the domestic economy, the Committee contrasted the official output data with </w:t>
      </w:r>
      <w:r>
        <w:rPr>
          <w:color w:val="231F20"/>
          <w:spacing w:val="-6"/>
          <w:sz w:val="18"/>
        </w:rPr>
        <w:t>the </w:t>
      </w:r>
      <w:r>
        <w:rPr>
          <w:color w:val="231F20"/>
          <w:sz w:val="18"/>
        </w:rPr>
        <w:t>picture presented by business surveys, and discussed the possible news in the latest data for earnings and monetary growth. Taking the external and domestic news together, the Committee considered the implications for its own inflation and output projections before turning to the immediate policy decision.</w:t>
      </w:r>
    </w:p>
    <w:p>
      <w:pPr>
        <w:pStyle w:val="BodyText"/>
        <w:spacing w:before="4"/>
      </w:pPr>
    </w:p>
    <w:p>
      <w:pPr>
        <w:pStyle w:val="Heading6"/>
        <w:ind w:left="180"/>
      </w:pPr>
      <w:r>
        <w:rPr>
          <w:color w:val="009483"/>
        </w:rPr>
        <w:t>The world economy</w:t>
      </w:r>
    </w:p>
    <w:p>
      <w:pPr>
        <w:pStyle w:val="ListParagraph"/>
        <w:numPr>
          <w:ilvl w:val="0"/>
          <w:numId w:val="42"/>
        </w:numPr>
        <w:tabs>
          <w:tab w:pos="659" w:val="left" w:leader="none"/>
          <w:tab w:pos="661" w:val="left" w:leader="none"/>
        </w:tabs>
        <w:spacing w:line="232" w:lineRule="auto" w:before="89" w:after="0"/>
        <w:ind w:left="180" w:right="132" w:firstLine="0"/>
        <w:jc w:val="left"/>
        <w:rPr>
          <w:sz w:val="18"/>
        </w:rPr>
      </w:pPr>
      <w:r>
        <w:rPr>
          <w:color w:val="231F20"/>
          <w:sz w:val="18"/>
        </w:rPr>
        <w:t>The main developments in the world economy since the previous meeting had been the financial and political crisis in Russia and the continued deterioration of the outlook for growth </w:t>
      </w:r>
      <w:r>
        <w:rPr>
          <w:color w:val="231F20"/>
          <w:spacing w:val="-9"/>
          <w:sz w:val="18"/>
        </w:rPr>
        <w:t>in </w:t>
      </w:r>
      <w:r>
        <w:rPr>
          <w:color w:val="231F20"/>
          <w:sz w:val="18"/>
        </w:rPr>
        <w:t>Japan. The Committee considered the direct trade linkages with Russia, the implications of changes in capital flows, the reaction </w:t>
      </w:r>
      <w:r>
        <w:rPr>
          <w:color w:val="231F20"/>
          <w:spacing w:val="-9"/>
          <w:sz w:val="18"/>
        </w:rPr>
        <w:t>in </w:t>
      </w:r>
      <w:r>
        <w:rPr>
          <w:color w:val="231F20"/>
          <w:sz w:val="18"/>
        </w:rPr>
        <w:t>world equity, bond and money markets, the likely impact of weak commodity prices—especially for oil—and the outlook for world growth.</w:t>
      </w:r>
    </w:p>
    <w:p>
      <w:pPr>
        <w:pStyle w:val="ListParagraph"/>
        <w:numPr>
          <w:ilvl w:val="0"/>
          <w:numId w:val="42"/>
        </w:numPr>
        <w:tabs>
          <w:tab w:pos="659" w:val="left" w:leader="none"/>
          <w:tab w:pos="661" w:val="left" w:leader="none"/>
        </w:tabs>
        <w:spacing w:line="232" w:lineRule="auto" w:before="174" w:after="0"/>
        <w:ind w:left="180" w:right="107" w:firstLine="0"/>
        <w:jc w:val="left"/>
        <w:rPr>
          <w:sz w:val="18"/>
        </w:rPr>
      </w:pPr>
      <w:r>
        <w:rPr>
          <w:color w:val="231F20"/>
          <w:sz w:val="18"/>
        </w:rPr>
        <w:t>Looking at the direct effects on trade it was clear that </w:t>
      </w:r>
      <w:r>
        <w:rPr>
          <w:color w:val="231F20"/>
          <w:spacing w:val="-3"/>
          <w:sz w:val="18"/>
        </w:rPr>
        <w:t>Russia </w:t>
      </w:r>
      <w:r>
        <w:rPr>
          <w:color w:val="231F20"/>
          <w:sz w:val="18"/>
        </w:rPr>
        <w:t>on its own would have a relatively small impact via trade linkages, accounting for just 0.7% of UK exports compared with 1.2% </w:t>
      </w:r>
      <w:r>
        <w:rPr>
          <w:color w:val="231F20"/>
          <w:spacing w:val="-3"/>
          <w:sz w:val="18"/>
        </w:rPr>
        <w:t>going </w:t>
      </w:r>
      <w:r>
        <w:rPr>
          <w:color w:val="231F20"/>
          <w:sz w:val="18"/>
        </w:rPr>
        <w:t>to Latin America and 7.8% to Asia (excluding Japan). Following the unilateral restructuring of Russian debt there had been a sharp reaction in world financial markets. In particular there had been a global widening of spreads on corporate debt over risk-free assets, including for industrialised world companies exposed to the emerging market economies, which had raised the cost of capital.</w:t>
      </w:r>
    </w:p>
    <w:p>
      <w:pPr>
        <w:pStyle w:val="BodyText"/>
        <w:spacing w:line="191" w:lineRule="exact"/>
        <w:ind w:left="180"/>
      </w:pPr>
      <w:r>
        <w:rPr>
          <w:color w:val="231F20"/>
        </w:rPr>
        <w:t>There had also been a large increase in bond yields for</w:t>
      </w:r>
    </w:p>
    <w:p>
      <w:pPr>
        <w:pStyle w:val="BodyText"/>
        <w:spacing w:line="232" w:lineRule="auto" w:before="2"/>
        <w:ind w:left="180" w:right="25"/>
      </w:pPr>
      <w:r>
        <w:rPr>
          <w:color w:val="231F20"/>
        </w:rPr>
        <w:t>emerging-market sovereign debt. This would make it more difficult for those countries to finance external deficits and to refinance maturing debt. To ward off the threat of contagion, the policy response in a number of these countries had been to tighten monetary and fiscal policy, with deflationary implications for the world economy.</w:t>
      </w:r>
    </w:p>
    <w:p>
      <w:pPr>
        <w:pStyle w:val="ListParagraph"/>
        <w:numPr>
          <w:ilvl w:val="0"/>
          <w:numId w:val="42"/>
        </w:numPr>
        <w:tabs>
          <w:tab w:pos="659" w:val="left" w:leader="none"/>
          <w:tab w:pos="661" w:val="left" w:leader="none"/>
        </w:tabs>
        <w:spacing w:line="232" w:lineRule="auto" w:before="175" w:after="0"/>
        <w:ind w:left="180" w:right="38" w:firstLine="0"/>
        <w:jc w:val="left"/>
        <w:rPr>
          <w:sz w:val="18"/>
        </w:rPr>
      </w:pPr>
      <w:r>
        <w:rPr>
          <w:color w:val="231F20"/>
          <w:sz w:val="18"/>
        </w:rPr>
        <w:t>Capital flows to the emerging market economies were thought to have largely come to a halt. In the short-run the Committee thought that this could put pressure on the exchange </w:t>
      </w:r>
      <w:r>
        <w:rPr>
          <w:color w:val="231F20"/>
          <w:spacing w:val="-4"/>
          <w:sz w:val="18"/>
        </w:rPr>
        <w:t>rate </w:t>
      </w:r>
      <w:r>
        <w:rPr>
          <w:color w:val="231F20"/>
          <w:sz w:val="18"/>
        </w:rPr>
        <w:t>pegs of a number of countries, causing further financial instability. Assuming that the change in capital flows persisted, there would have to be a corresponding re-balancing of trade flows, with </w:t>
      </w:r>
      <w:r>
        <w:rPr>
          <w:color w:val="231F20"/>
          <w:spacing w:val="-3"/>
          <w:sz w:val="18"/>
        </w:rPr>
        <w:t>smaller </w:t>
      </w:r>
      <w:r>
        <w:rPr>
          <w:color w:val="231F20"/>
          <w:sz w:val="18"/>
        </w:rPr>
        <w:t>deficits/larger surpluses in emerging market economies and bigger deficits/smaller surpluses in the industrialised world. This in turn would require a higher real exchange rate relative to the currencies of the emerging market economies.</w:t>
      </w:r>
    </w:p>
    <w:p>
      <w:pPr>
        <w:pStyle w:val="ListParagraph"/>
        <w:numPr>
          <w:ilvl w:val="0"/>
          <w:numId w:val="42"/>
        </w:numPr>
        <w:tabs>
          <w:tab w:pos="659" w:val="left" w:leader="none"/>
          <w:tab w:pos="661" w:val="left" w:leader="none"/>
        </w:tabs>
        <w:spacing w:line="232" w:lineRule="auto" w:before="172" w:after="0"/>
        <w:ind w:left="180" w:right="62" w:firstLine="0"/>
        <w:jc w:val="left"/>
        <w:rPr>
          <w:sz w:val="18"/>
        </w:rPr>
      </w:pPr>
      <w:r>
        <w:rPr>
          <w:color w:val="231F20"/>
          <w:sz w:val="18"/>
        </w:rPr>
        <w:t>The Committee noted that, unfortunately, the industrialised countries were not well placed to expand demand appropriately. Ideally the largest increases in demand would come in Japan and then continental Europe, with less change in the United States and the United Kingdom which were already experiencing strong domestic demand and increasing trade deficits. In Japan—which had cut interest rates on the first day of the meeting (9 September), guiding call money rates down by 25 basis points to just 0.25%— little progress had as yet been made in restructuring the financial system and achieving sustained growth in domestic demand. In continental Europe, attention was focused on the introduction of </w:t>
      </w:r>
      <w:r>
        <w:rPr>
          <w:color w:val="231F20"/>
          <w:spacing w:val="-6"/>
          <w:sz w:val="18"/>
        </w:rPr>
        <w:t>the </w:t>
      </w:r>
      <w:r>
        <w:rPr>
          <w:color w:val="231F20"/>
          <w:sz w:val="18"/>
        </w:rPr>
        <w:t>single currency. National fiscal policy would be constrained by the Stability and Growth Pact, which might make any immediate expansionary policy response problematic.</w:t>
      </w:r>
    </w:p>
    <w:p>
      <w:pPr>
        <w:pStyle w:val="ListParagraph"/>
        <w:numPr>
          <w:ilvl w:val="0"/>
          <w:numId w:val="42"/>
        </w:numPr>
        <w:tabs>
          <w:tab w:pos="659" w:val="left" w:leader="none"/>
          <w:tab w:pos="661" w:val="left" w:leader="none"/>
        </w:tabs>
        <w:spacing w:line="232" w:lineRule="auto" w:before="169" w:after="0"/>
        <w:ind w:left="180" w:right="58" w:firstLine="0"/>
        <w:jc w:val="left"/>
        <w:rPr>
          <w:sz w:val="18"/>
        </w:rPr>
      </w:pPr>
      <w:r>
        <w:rPr>
          <w:color w:val="231F20"/>
          <w:sz w:val="18"/>
        </w:rPr>
        <w:t>In consequence, the Committee thought it was likely that the US and UK trade deficits would have to bear a large share of the burden, and that this could have exchange rate consequences. If </w:t>
      </w:r>
      <w:r>
        <w:rPr>
          <w:color w:val="231F20"/>
          <w:spacing w:val="-6"/>
          <w:sz w:val="18"/>
        </w:rPr>
        <w:t>the</w:t>
      </w:r>
    </w:p>
    <w:p>
      <w:pPr>
        <w:pStyle w:val="BodyText"/>
        <w:spacing w:line="232" w:lineRule="auto" w:before="97"/>
        <w:ind w:left="180" w:right="281"/>
      </w:pPr>
      <w:r>
        <w:rPr/>
        <w:br w:type="column"/>
      </w:r>
      <w:r>
        <w:rPr>
          <w:color w:val="231F20"/>
        </w:rPr>
        <w:t>US and UK trade deficits continued to get larger, then the dollar and sterling effective rates could come under pressure, despite appreciating against the currencies of emerging market economies. The dollar had already weakened significantly. The sterling effective exchange rate had appreciated sharply immediately following the Russian crisis, to reach a peak of 106.9, but had </w:t>
      </w:r>
      <w:r>
        <w:rPr>
          <w:color w:val="231F20"/>
          <w:spacing w:val="-3"/>
        </w:rPr>
        <w:t>fallen </w:t>
      </w:r>
      <w:r>
        <w:rPr>
          <w:color w:val="231F20"/>
        </w:rPr>
        <w:t>back to 103.5 by the start of the Committee’s meeting.</w:t>
      </w:r>
    </w:p>
    <w:p>
      <w:pPr>
        <w:pStyle w:val="ListParagraph"/>
        <w:numPr>
          <w:ilvl w:val="0"/>
          <w:numId w:val="42"/>
        </w:numPr>
        <w:tabs>
          <w:tab w:pos="659" w:val="left" w:leader="none"/>
          <w:tab w:pos="661" w:val="left" w:leader="none"/>
        </w:tabs>
        <w:spacing w:line="232" w:lineRule="auto" w:before="175" w:after="0"/>
        <w:ind w:left="180" w:right="286" w:firstLine="0"/>
        <w:jc w:val="left"/>
        <w:rPr>
          <w:sz w:val="18"/>
        </w:rPr>
      </w:pPr>
      <w:r>
        <w:rPr>
          <w:color w:val="231F20"/>
          <w:sz w:val="18"/>
        </w:rPr>
        <w:t>The financial market reaction had included a fall in the </w:t>
      </w:r>
      <w:r>
        <w:rPr>
          <w:color w:val="231F20"/>
          <w:spacing w:val="-4"/>
          <w:sz w:val="18"/>
        </w:rPr>
        <w:t>major </w:t>
      </w:r>
      <w:r>
        <w:rPr>
          <w:color w:val="231F20"/>
          <w:sz w:val="18"/>
        </w:rPr>
        <w:t>world equity markets of 5%–10%, and the F</w:t>
      </w:r>
      <w:r>
        <w:rPr>
          <w:color w:val="231F20"/>
          <w:sz w:val="14"/>
        </w:rPr>
        <w:t>T-SE </w:t>
      </w:r>
      <w:r>
        <w:rPr>
          <w:color w:val="231F20"/>
          <w:sz w:val="18"/>
        </w:rPr>
        <w:t>100 index had fallen by around 10%. Committee members suggested that, in the aftermath of such events, it could be difficult for markets to establish new equilibrium prices, either for equities or for currencies. Consistent with this, there had been a marked increase in the volatility of asset prices. The Committee also considered </w:t>
      </w:r>
      <w:r>
        <w:rPr>
          <w:color w:val="231F20"/>
          <w:spacing w:val="-5"/>
          <w:sz w:val="18"/>
        </w:rPr>
        <w:t>that </w:t>
      </w:r>
      <w:r>
        <w:rPr>
          <w:color w:val="231F20"/>
          <w:sz w:val="18"/>
        </w:rPr>
        <w:t>there might yet be further adjustment downwards in world equity markets, especially since price-to-earnings ratios remained high.</w:t>
      </w:r>
    </w:p>
    <w:p>
      <w:pPr>
        <w:pStyle w:val="ListParagraph"/>
        <w:numPr>
          <w:ilvl w:val="0"/>
          <w:numId w:val="42"/>
        </w:numPr>
        <w:tabs>
          <w:tab w:pos="659" w:val="left" w:leader="none"/>
          <w:tab w:pos="661" w:val="left" w:leader="none"/>
        </w:tabs>
        <w:spacing w:line="232" w:lineRule="auto" w:before="173" w:after="0"/>
        <w:ind w:left="180" w:right="352" w:firstLine="0"/>
        <w:jc w:val="left"/>
        <w:rPr>
          <w:sz w:val="18"/>
        </w:rPr>
      </w:pPr>
      <w:r>
        <w:rPr>
          <w:color w:val="231F20"/>
          <w:sz w:val="18"/>
        </w:rPr>
        <w:t>Market interest rates in the industrialised countries had fallen, consistent with a fall in expected future rates. This might indicate a degree of monetary easing. The expected starting level of official rates in the Euro-area, implied by future rates, had </w:t>
      </w:r>
      <w:r>
        <w:rPr>
          <w:color w:val="231F20"/>
          <w:spacing w:val="-3"/>
          <w:sz w:val="18"/>
        </w:rPr>
        <w:t>fallen </w:t>
      </w:r>
      <w:r>
        <w:rPr>
          <w:color w:val="231F20"/>
          <w:sz w:val="18"/>
        </w:rPr>
        <w:t>from around 3</w:t>
      </w:r>
      <w:r>
        <w:rPr>
          <w:color w:val="231F20"/>
          <w:position w:val="6"/>
          <w:sz w:val="9"/>
        </w:rPr>
        <w:t>3</w:t>
      </w:r>
      <w:r>
        <w:rPr>
          <w:color w:val="231F20"/>
          <w:sz w:val="18"/>
        </w:rPr>
        <w:t>/</w:t>
      </w:r>
      <w:r>
        <w:rPr>
          <w:color w:val="231F20"/>
          <w:sz w:val="9"/>
        </w:rPr>
        <w:t>4</w:t>
      </w:r>
      <w:r>
        <w:rPr>
          <w:color w:val="231F20"/>
          <w:sz w:val="18"/>
        </w:rPr>
        <w:t>% to 3.3% (the current level of official rates in France and Germany). In the United Kingdom, actual money market rates had fallen by one eighth of a percentage point for</w:t>
      </w:r>
    </w:p>
    <w:p>
      <w:pPr>
        <w:pStyle w:val="BodyText"/>
        <w:spacing w:line="232" w:lineRule="auto"/>
        <w:ind w:left="180" w:right="357"/>
      </w:pPr>
      <w:r>
        <w:rPr>
          <w:color w:val="231F20"/>
        </w:rPr>
        <w:t>one-month London inter-bank rates, by one quarter of a percentage point on three-month rates and by half of one percentage point on twelve-month rates. Bond yields over one year had also fallen by up to half a percentage point.</w:t>
      </w:r>
    </w:p>
    <w:p>
      <w:pPr>
        <w:pStyle w:val="ListParagraph"/>
        <w:numPr>
          <w:ilvl w:val="0"/>
          <w:numId w:val="42"/>
        </w:numPr>
        <w:tabs>
          <w:tab w:pos="659" w:val="left" w:leader="none"/>
          <w:tab w:pos="661" w:val="left" w:leader="none"/>
        </w:tabs>
        <w:spacing w:line="232" w:lineRule="auto" w:before="171" w:after="0"/>
        <w:ind w:left="180" w:right="281" w:firstLine="0"/>
        <w:jc w:val="left"/>
        <w:rPr>
          <w:sz w:val="18"/>
        </w:rPr>
      </w:pPr>
      <w:r>
        <w:rPr>
          <w:color w:val="231F20"/>
          <w:sz w:val="18"/>
        </w:rPr>
        <w:t>One particular consequence of recent events was that world commodity prices were likely to remain weak, especially for oil. This in turn would put financial pressure on oil-producing countries at a time when O</w:t>
      </w:r>
      <w:r>
        <w:rPr>
          <w:color w:val="231F20"/>
          <w:sz w:val="14"/>
        </w:rPr>
        <w:t>PEC </w:t>
      </w:r>
      <w:r>
        <w:rPr>
          <w:color w:val="231F20"/>
          <w:sz w:val="18"/>
        </w:rPr>
        <w:t>was already struggling to agree reduced production levels. A reduction in oil and other commodity prices would constitute a change in the terms of trade, redistributing demand to the importers. It would also have favourable supply-side effects on employment and capital formation. In the medium-run this would be beneficial to world growth. However, based on what had happened when oil prices fell in 1986, the initial effect could </w:t>
      </w:r>
      <w:r>
        <w:rPr>
          <w:color w:val="231F20"/>
          <w:spacing w:val="-9"/>
          <w:sz w:val="18"/>
        </w:rPr>
        <w:t>be </w:t>
      </w:r>
      <w:r>
        <w:rPr>
          <w:color w:val="231F20"/>
          <w:sz w:val="18"/>
        </w:rPr>
        <w:t>to weaken world growth if, as then, demand fell faster in the oil exporting countries than it rose in the importing countries.</w:t>
      </w:r>
    </w:p>
    <w:p>
      <w:pPr>
        <w:pStyle w:val="ListParagraph"/>
        <w:numPr>
          <w:ilvl w:val="0"/>
          <w:numId w:val="42"/>
        </w:numPr>
        <w:tabs>
          <w:tab w:pos="659" w:val="left" w:leader="none"/>
          <w:tab w:pos="661" w:val="left" w:leader="none"/>
        </w:tabs>
        <w:spacing w:line="232" w:lineRule="auto" w:before="171" w:after="0"/>
        <w:ind w:left="180" w:right="321" w:firstLine="0"/>
        <w:jc w:val="left"/>
        <w:rPr>
          <w:sz w:val="18"/>
        </w:rPr>
      </w:pPr>
      <w:r>
        <w:rPr>
          <w:color w:val="231F20"/>
          <w:sz w:val="18"/>
        </w:rPr>
        <w:t>The Committee considered the impact of all these developments on the outlook for world output and prices. Within the last month forecasts for Japanese output growth in 1998 and 1999 had been revised down substantially and forecasts for other G7 economies were also being revised down for 1999. The Committee agreed that weaker world demand growth would result in excess capacity. These conditions of excess supply should </w:t>
      </w:r>
      <w:r>
        <w:rPr>
          <w:color w:val="231F20"/>
          <w:spacing w:val="-3"/>
          <w:sz w:val="18"/>
        </w:rPr>
        <w:t>result </w:t>
      </w:r>
      <w:r>
        <w:rPr>
          <w:color w:val="231F20"/>
          <w:sz w:val="18"/>
        </w:rPr>
        <w:t>in lower world inflation.</w:t>
      </w:r>
    </w:p>
    <w:p>
      <w:pPr>
        <w:pStyle w:val="BodyText"/>
        <w:spacing w:before="4"/>
      </w:pPr>
    </w:p>
    <w:p>
      <w:pPr>
        <w:pStyle w:val="Heading6"/>
        <w:spacing w:before="1"/>
        <w:ind w:left="180"/>
      </w:pPr>
      <w:r>
        <w:rPr>
          <w:color w:val="009483"/>
        </w:rPr>
        <w:t>The policy implication of external developments</w:t>
      </w:r>
    </w:p>
    <w:p>
      <w:pPr>
        <w:pStyle w:val="ListParagraph"/>
        <w:numPr>
          <w:ilvl w:val="0"/>
          <w:numId w:val="42"/>
        </w:numPr>
        <w:tabs>
          <w:tab w:pos="659" w:val="left" w:leader="none"/>
          <w:tab w:pos="661" w:val="left" w:leader="none"/>
        </w:tabs>
        <w:spacing w:line="232" w:lineRule="auto" w:before="89" w:after="0"/>
        <w:ind w:left="180" w:right="426" w:firstLine="0"/>
        <w:jc w:val="left"/>
        <w:rPr>
          <w:sz w:val="18"/>
        </w:rPr>
      </w:pPr>
      <w:r>
        <w:rPr>
          <w:color w:val="231F20"/>
          <w:sz w:val="18"/>
        </w:rPr>
        <w:t>The Committee discussed its reaction to an internationally co-ordinated monetary policy response, should such a proposal emerge. The Committee would consider changing interest rates </w:t>
      </w:r>
      <w:r>
        <w:rPr>
          <w:color w:val="231F20"/>
          <w:spacing w:val="-9"/>
          <w:sz w:val="18"/>
        </w:rPr>
        <w:t>if </w:t>
      </w:r>
      <w:r>
        <w:rPr>
          <w:color w:val="231F20"/>
          <w:sz w:val="18"/>
        </w:rPr>
        <w:t>that were consistent with pursuit of the domestic inflation target.</w:t>
      </w:r>
    </w:p>
    <w:p>
      <w:pPr>
        <w:pStyle w:val="BodyText"/>
        <w:spacing w:before="1"/>
        <w:rPr>
          <w:sz w:val="17"/>
        </w:rPr>
      </w:pPr>
    </w:p>
    <w:p>
      <w:pPr>
        <w:pStyle w:val="ListParagraph"/>
        <w:numPr>
          <w:ilvl w:val="0"/>
          <w:numId w:val="42"/>
        </w:numPr>
        <w:tabs>
          <w:tab w:pos="659" w:val="left" w:leader="none"/>
          <w:tab w:pos="661" w:val="left" w:leader="none"/>
        </w:tabs>
        <w:spacing w:line="232" w:lineRule="auto" w:before="0" w:after="0"/>
        <w:ind w:left="180" w:right="281" w:firstLine="0"/>
        <w:jc w:val="left"/>
        <w:rPr>
          <w:sz w:val="18"/>
        </w:rPr>
      </w:pPr>
      <w:r>
        <w:rPr>
          <w:color w:val="231F20"/>
          <w:sz w:val="18"/>
        </w:rPr>
        <w:t>It was not clear, however, that a co-ordinated monetary easing was the appropriate policy response in current circumstances.  On one possible view, the current crises in emerging market economies reflected problems originating within those economies and were not caused by excessively tight </w:t>
      </w:r>
      <w:r>
        <w:rPr>
          <w:color w:val="231F20"/>
          <w:spacing w:val="-3"/>
          <w:sz w:val="18"/>
        </w:rPr>
        <w:t>monetary </w:t>
      </w:r>
      <w:r>
        <w:rPr>
          <w:color w:val="231F20"/>
          <w:sz w:val="18"/>
        </w:rPr>
        <w:t>polices in the industrialised economies. Although faster demand growth in, say, the O</w:t>
      </w:r>
      <w:r>
        <w:rPr>
          <w:color w:val="231F20"/>
          <w:sz w:val="14"/>
        </w:rPr>
        <w:t>ECD </w:t>
      </w:r>
      <w:r>
        <w:rPr>
          <w:color w:val="231F20"/>
          <w:sz w:val="18"/>
        </w:rPr>
        <w:t>countries might help alleviate some of the symptoms, it would not solve the fundamental problems in Russia.</w:t>
      </w:r>
    </w:p>
    <w:p>
      <w:pPr>
        <w:spacing w:after="0" w:line="232" w:lineRule="auto"/>
        <w:jc w:val="left"/>
        <w:rPr>
          <w:sz w:val="18"/>
        </w:rPr>
        <w:sectPr>
          <w:type w:val="continuous"/>
          <w:pgSz w:w="11900" w:h="16840"/>
          <w:pgMar w:top="1220" w:bottom="280" w:left="620" w:right="520"/>
          <w:cols w:num="2" w:equalWidth="0">
            <w:col w:w="5134" w:space="259"/>
            <w:col w:w="5367"/>
          </w:cols>
        </w:sectPr>
      </w:pPr>
    </w:p>
    <w:p>
      <w:pPr>
        <w:pStyle w:val="BodyText"/>
        <w:rPr>
          <w:sz w:val="20"/>
        </w:rPr>
      </w:pPr>
    </w:p>
    <w:p>
      <w:pPr>
        <w:spacing w:after="0"/>
        <w:rPr>
          <w:sz w:val="20"/>
        </w:rPr>
        <w:sectPr>
          <w:pgSz w:w="11900" w:h="16840"/>
          <w:pgMar w:header="566" w:footer="597" w:top="760" w:bottom="780" w:left="620" w:right="520"/>
        </w:sectPr>
      </w:pPr>
    </w:p>
    <w:p>
      <w:pPr>
        <w:pStyle w:val="BodyText"/>
        <w:spacing w:before="4"/>
        <w:rPr>
          <w:sz w:val="21"/>
        </w:rPr>
      </w:pPr>
    </w:p>
    <w:p>
      <w:pPr>
        <w:pStyle w:val="BodyText"/>
        <w:spacing w:line="232" w:lineRule="auto" w:before="1"/>
        <w:ind w:left="200" w:right="186"/>
      </w:pPr>
      <w:r>
        <w:rPr>
          <w:color w:val="231F20"/>
        </w:rPr>
        <w:t>And any plausible changes in policy rates would be small relative to the rise in spreads engendered by the crisis. Another possible view held that the magnitude of the spreads might not be independent of the level of interest rates in the main industrial countries. A monetary relaxation could then be rather more effective.</w:t>
      </w:r>
    </w:p>
    <w:p>
      <w:pPr>
        <w:pStyle w:val="BodyText"/>
        <w:spacing w:before="11"/>
        <w:rPr>
          <w:sz w:val="16"/>
        </w:rPr>
      </w:pPr>
    </w:p>
    <w:p>
      <w:pPr>
        <w:pStyle w:val="ListParagraph"/>
        <w:numPr>
          <w:ilvl w:val="0"/>
          <w:numId w:val="42"/>
        </w:numPr>
        <w:tabs>
          <w:tab w:pos="679" w:val="left" w:leader="none"/>
          <w:tab w:pos="681" w:val="left" w:leader="none"/>
        </w:tabs>
        <w:spacing w:line="232" w:lineRule="auto" w:before="0" w:after="0"/>
        <w:ind w:left="200" w:right="103" w:firstLine="0"/>
        <w:jc w:val="left"/>
        <w:rPr>
          <w:sz w:val="18"/>
        </w:rPr>
      </w:pPr>
      <w:r>
        <w:rPr>
          <w:color w:val="231F20"/>
          <w:sz w:val="18"/>
        </w:rPr>
        <w:t>The Committee noted that the different cyclical and structural situations in Japan, continental Europe, the United </w:t>
      </w:r>
      <w:r>
        <w:rPr>
          <w:color w:val="231F20"/>
          <w:spacing w:val="-3"/>
          <w:sz w:val="18"/>
        </w:rPr>
        <w:t>States </w:t>
      </w:r>
      <w:r>
        <w:rPr>
          <w:color w:val="231F20"/>
          <w:sz w:val="18"/>
        </w:rPr>
        <w:t>and the United Kingdom would make a differentiated response more appropriate. For some countries an appropriate monetary easing might be to increase rates by less than previously thought likely, whereas for others it might be more appropriate to cut.</w:t>
      </w:r>
    </w:p>
    <w:p>
      <w:pPr>
        <w:pStyle w:val="BodyText"/>
        <w:spacing w:before="3"/>
        <w:rPr>
          <w:sz w:val="20"/>
        </w:rPr>
      </w:pPr>
    </w:p>
    <w:p>
      <w:pPr>
        <w:pStyle w:val="Heading6"/>
      </w:pPr>
      <w:r>
        <w:rPr>
          <w:color w:val="009483"/>
        </w:rPr>
        <w:t>Domestic output and business surveys</w:t>
      </w:r>
    </w:p>
    <w:p>
      <w:pPr>
        <w:pStyle w:val="ListParagraph"/>
        <w:numPr>
          <w:ilvl w:val="0"/>
          <w:numId w:val="42"/>
        </w:numPr>
        <w:tabs>
          <w:tab w:pos="679" w:val="left" w:leader="none"/>
          <w:tab w:pos="681" w:val="left" w:leader="none"/>
        </w:tabs>
        <w:spacing w:line="232" w:lineRule="auto" w:before="109" w:after="0"/>
        <w:ind w:left="200" w:right="58" w:firstLine="0"/>
        <w:jc w:val="left"/>
        <w:rPr>
          <w:sz w:val="18"/>
        </w:rPr>
      </w:pPr>
      <w:r>
        <w:rPr>
          <w:color w:val="231F20"/>
          <w:sz w:val="18"/>
        </w:rPr>
        <w:t>The official GDP data for the second quarter and industrial production data for July were broadly in line with the central projection for output growth in the August </w:t>
      </w:r>
      <w:r>
        <w:rPr>
          <w:i/>
          <w:color w:val="231F20"/>
          <w:sz w:val="18"/>
        </w:rPr>
        <w:t>Inflation Report</w:t>
      </w:r>
      <w:r>
        <w:rPr>
          <w:color w:val="231F20"/>
          <w:sz w:val="18"/>
        </w:rPr>
        <w:t>.  But the Committee noted that business surveys, particularly of manufacturing, had been weak for the second month running. </w:t>
      </w:r>
      <w:r>
        <w:rPr>
          <w:color w:val="231F20"/>
          <w:spacing w:val="-3"/>
          <w:sz w:val="18"/>
        </w:rPr>
        <w:t>Staff </w:t>
      </w:r>
      <w:r>
        <w:rPr>
          <w:color w:val="231F20"/>
          <w:sz w:val="18"/>
        </w:rPr>
        <w:t>analysis of the surveys—matching the balances to actual growth rates—gave a mixed picture. Some survey data—such as expectations reported in the British Chambers of Commerce survey carried out in Q2—had been broadly consistent with continuing </w:t>
      </w:r>
      <w:r>
        <w:rPr>
          <w:color w:val="231F20"/>
          <w:spacing w:val="-5"/>
          <w:sz w:val="18"/>
        </w:rPr>
        <w:t>flat </w:t>
      </w:r>
      <w:r>
        <w:rPr>
          <w:color w:val="231F20"/>
          <w:sz w:val="18"/>
        </w:rPr>
        <w:t>manufacturing output growth in Q3 and with services growth declining from strong rates, but still positive. In contrast some survey data—notably the CBI industrial trends survey and the C</w:t>
      </w:r>
      <w:r>
        <w:rPr>
          <w:color w:val="231F20"/>
          <w:sz w:val="14"/>
        </w:rPr>
        <w:t>IPS </w:t>
      </w:r>
      <w:r>
        <w:rPr>
          <w:color w:val="231F20"/>
          <w:sz w:val="18"/>
        </w:rPr>
        <w:t>(Chartered Institute of Purchasing and Supply) survey of manufacturing—clearly indicated negative manufacturing growth in the third quarter. In this context the July figures for manufacturing output—showing growth of 0.1% on the month— supported a somewhat firmer picture.</w:t>
      </w:r>
    </w:p>
    <w:p>
      <w:pPr>
        <w:pStyle w:val="BodyText"/>
        <w:spacing w:before="3"/>
        <w:rPr>
          <w:sz w:val="16"/>
        </w:rPr>
      </w:pPr>
    </w:p>
    <w:p>
      <w:pPr>
        <w:pStyle w:val="ListParagraph"/>
        <w:numPr>
          <w:ilvl w:val="0"/>
          <w:numId w:val="42"/>
        </w:numPr>
        <w:tabs>
          <w:tab w:pos="679" w:val="left" w:leader="none"/>
          <w:tab w:pos="681" w:val="left" w:leader="none"/>
        </w:tabs>
        <w:spacing w:line="232" w:lineRule="auto" w:before="0" w:after="0"/>
        <w:ind w:left="200" w:right="108" w:firstLine="0"/>
        <w:jc w:val="left"/>
        <w:rPr>
          <w:sz w:val="18"/>
        </w:rPr>
      </w:pPr>
      <w:r>
        <w:rPr>
          <w:color w:val="231F20"/>
          <w:sz w:val="18"/>
        </w:rPr>
        <w:t>The Committee felt that the evidence was consistent with </w:t>
      </w:r>
      <w:r>
        <w:rPr>
          <w:color w:val="231F20"/>
          <w:spacing w:val="-6"/>
          <w:sz w:val="18"/>
        </w:rPr>
        <w:t>its </w:t>
      </w:r>
      <w:r>
        <w:rPr>
          <w:color w:val="231F20"/>
          <w:sz w:val="18"/>
        </w:rPr>
        <w:t>central expectation of a further modest slowdown in output growth in the third quarter, with growth overall likely to remain positive. However, the Committee noted the weaker CBI evidence and also recalled the experience of 1990 when the official data released up to the Autumn gave little indication of the imminent sharp fall in output. The balance of risks to the short-run outlook for output remained on the downside.</w:t>
      </w:r>
    </w:p>
    <w:p>
      <w:pPr>
        <w:pStyle w:val="BodyText"/>
        <w:spacing w:before="10"/>
        <w:rPr>
          <w:sz w:val="16"/>
        </w:rPr>
      </w:pPr>
    </w:p>
    <w:p>
      <w:pPr>
        <w:pStyle w:val="ListParagraph"/>
        <w:numPr>
          <w:ilvl w:val="0"/>
          <w:numId w:val="42"/>
        </w:numPr>
        <w:tabs>
          <w:tab w:pos="679" w:val="left" w:leader="none"/>
          <w:tab w:pos="681" w:val="left" w:leader="none"/>
        </w:tabs>
        <w:spacing w:line="232" w:lineRule="auto" w:before="0" w:after="0"/>
        <w:ind w:left="200" w:right="79" w:firstLine="0"/>
        <w:jc w:val="left"/>
        <w:rPr>
          <w:sz w:val="18"/>
        </w:rPr>
      </w:pPr>
      <w:r>
        <w:rPr>
          <w:color w:val="231F20"/>
          <w:sz w:val="18"/>
        </w:rPr>
        <w:t>The weaker surveys and the official data could be reconciled if it were the case that there was an unplanned build-up in stocks, delaying the reduction in actual output. The Committee noted that stockbuilding had made a third successive positive contribution to growth in the second quarter. The Committee decided to ask the Agents to investigate further what was happening to stock levels.</w:t>
      </w:r>
    </w:p>
    <w:p>
      <w:pPr>
        <w:pStyle w:val="BodyText"/>
        <w:rPr>
          <w:sz w:val="17"/>
        </w:rPr>
      </w:pPr>
    </w:p>
    <w:p>
      <w:pPr>
        <w:pStyle w:val="ListParagraph"/>
        <w:numPr>
          <w:ilvl w:val="0"/>
          <w:numId w:val="42"/>
        </w:numPr>
        <w:tabs>
          <w:tab w:pos="679" w:val="left" w:leader="none"/>
          <w:tab w:pos="681" w:val="left" w:leader="none"/>
        </w:tabs>
        <w:spacing w:line="232" w:lineRule="auto" w:before="0" w:after="0"/>
        <w:ind w:left="200" w:right="63" w:firstLine="0"/>
        <w:jc w:val="left"/>
        <w:rPr>
          <w:sz w:val="18"/>
        </w:rPr>
      </w:pPr>
      <w:r>
        <w:rPr>
          <w:color w:val="231F20"/>
          <w:sz w:val="18"/>
        </w:rPr>
        <w:t>The Committee considered the growing evidence that the projected slowdown in demand growth was also materialising. </w:t>
      </w:r>
      <w:r>
        <w:rPr>
          <w:color w:val="231F20"/>
          <w:spacing w:val="-6"/>
          <w:sz w:val="18"/>
        </w:rPr>
        <w:t>The </w:t>
      </w:r>
      <w:r>
        <w:rPr>
          <w:color w:val="231F20"/>
          <w:sz w:val="18"/>
        </w:rPr>
        <w:t>Q2 data suggested that domestic demand was slightly stronger than projected in the August </w:t>
      </w:r>
      <w:r>
        <w:rPr>
          <w:i/>
          <w:color w:val="231F20"/>
          <w:sz w:val="18"/>
        </w:rPr>
        <w:t>Inflation Report</w:t>
      </w:r>
      <w:r>
        <w:rPr>
          <w:color w:val="231F20"/>
          <w:sz w:val="18"/>
        </w:rPr>
        <w:t>, but this was entirely accounted for by stockbuilding. For Q3 the main indicators of demand were for retail sales, cars, consumer confidence and the housing market.</w:t>
      </w:r>
    </w:p>
    <w:p>
      <w:pPr>
        <w:pStyle w:val="BodyText"/>
        <w:spacing w:before="10"/>
        <w:rPr>
          <w:sz w:val="16"/>
        </w:rPr>
      </w:pPr>
    </w:p>
    <w:p>
      <w:pPr>
        <w:pStyle w:val="ListParagraph"/>
        <w:numPr>
          <w:ilvl w:val="0"/>
          <w:numId w:val="42"/>
        </w:numPr>
        <w:tabs>
          <w:tab w:pos="679" w:val="left" w:leader="none"/>
          <w:tab w:pos="681" w:val="left" w:leader="none"/>
        </w:tabs>
        <w:spacing w:line="232" w:lineRule="auto" w:before="1" w:after="0"/>
        <w:ind w:left="200" w:right="38" w:firstLine="0"/>
        <w:jc w:val="left"/>
        <w:rPr>
          <w:sz w:val="18"/>
        </w:rPr>
      </w:pPr>
      <w:r>
        <w:rPr>
          <w:color w:val="231F20"/>
          <w:sz w:val="18"/>
        </w:rPr>
        <w:t>The British Retail Consortium data for August had indicated a continuing slowdown in annual retail sales growth, although quarterly changes in retail sales might be erratically strong after a weak second quarter. The CBI Distributive Trades survey for August was consistent with a slowing growth rate in retail sales. Some members of the Committee thought that the survey was not quite as weak as it might have been, given the weak expectations for August recorded in the July survey. Car registrations had been erratically weak in Q2 and the staff had indicated that there was likely to be some rebound in growth in Q3, but the CBI </w:t>
      </w:r>
      <w:r>
        <w:rPr>
          <w:color w:val="231F20"/>
          <w:spacing w:val="-2"/>
          <w:sz w:val="18"/>
        </w:rPr>
        <w:t>Distributive </w:t>
      </w:r>
      <w:r>
        <w:rPr>
          <w:color w:val="231F20"/>
          <w:sz w:val="18"/>
        </w:rPr>
        <w:t>Trades survey indicated a weak August for the motor trades.</w:t>
      </w:r>
    </w:p>
    <w:p>
      <w:pPr>
        <w:pStyle w:val="BodyText"/>
        <w:spacing w:before="7"/>
        <w:rPr>
          <w:sz w:val="16"/>
        </w:rPr>
      </w:pPr>
    </w:p>
    <w:p>
      <w:pPr>
        <w:pStyle w:val="ListParagraph"/>
        <w:numPr>
          <w:ilvl w:val="0"/>
          <w:numId w:val="42"/>
        </w:numPr>
        <w:tabs>
          <w:tab w:pos="679" w:val="left" w:leader="none"/>
          <w:tab w:pos="681" w:val="left" w:leader="none"/>
        </w:tabs>
        <w:spacing w:line="232" w:lineRule="auto" w:before="0" w:after="0"/>
        <w:ind w:left="200" w:right="68" w:firstLine="0"/>
        <w:jc w:val="left"/>
        <w:rPr>
          <w:sz w:val="18"/>
        </w:rPr>
      </w:pPr>
      <w:r>
        <w:rPr>
          <w:color w:val="231F20"/>
          <w:sz w:val="18"/>
        </w:rPr>
        <w:t>Consumer confidence had been weakening. The Committee noted that the deterioration was in large part due to sentiment</w:t>
      </w:r>
      <w:r>
        <w:rPr>
          <w:color w:val="231F20"/>
          <w:spacing w:val="2"/>
          <w:sz w:val="18"/>
        </w:rPr>
        <w:t> </w:t>
      </w:r>
      <w:r>
        <w:rPr>
          <w:color w:val="231F20"/>
          <w:spacing w:val="-4"/>
          <w:sz w:val="18"/>
        </w:rPr>
        <w:t>about</w:t>
      </w:r>
    </w:p>
    <w:p>
      <w:pPr>
        <w:pStyle w:val="BodyText"/>
        <w:spacing w:before="4"/>
        <w:rPr>
          <w:sz w:val="21"/>
        </w:rPr>
      </w:pPr>
      <w:r>
        <w:rPr/>
        <w:br w:type="column"/>
      </w:r>
      <w:r>
        <w:rPr>
          <w:sz w:val="21"/>
        </w:rPr>
      </w:r>
    </w:p>
    <w:p>
      <w:pPr>
        <w:pStyle w:val="BodyText"/>
        <w:spacing w:line="232" w:lineRule="auto" w:before="1"/>
        <w:ind w:left="200" w:right="341"/>
      </w:pPr>
      <w:r>
        <w:rPr>
          <w:color w:val="231F20"/>
        </w:rPr>
        <w:t>the general economic situation rather than respondents’ own financial positions. The housing market was also giving mixed signals but house prices were no longer accelerating and had fallen in August according to both the Nationwide and Halifax indices. Surprisingly, the net mortgage lending data had risen strongly in July but no firm conclusions could be drawn from one month’s numbers.</w:t>
      </w:r>
    </w:p>
    <w:p>
      <w:pPr>
        <w:pStyle w:val="BodyText"/>
        <w:spacing w:before="10"/>
        <w:rPr>
          <w:sz w:val="16"/>
        </w:rPr>
      </w:pPr>
    </w:p>
    <w:p>
      <w:pPr>
        <w:pStyle w:val="ListParagraph"/>
        <w:numPr>
          <w:ilvl w:val="0"/>
          <w:numId w:val="42"/>
        </w:numPr>
        <w:tabs>
          <w:tab w:pos="679" w:val="left" w:leader="none"/>
          <w:tab w:pos="681" w:val="left" w:leader="none"/>
        </w:tabs>
        <w:spacing w:line="232" w:lineRule="auto" w:before="0" w:after="0"/>
        <w:ind w:left="200" w:right="539" w:firstLine="0"/>
        <w:jc w:val="left"/>
        <w:rPr>
          <w:sz w:val="18"/>
        </w:rPr>
      </w:pPr>
      <w:r>
        <w:rPr>
          <w:color w:val="231F20"/>
          <w:sz w:val="18"/>
        </w:rPr>
        <w:t>Taking all the demand indicators together, the Committee concluded that there was evidence of continuing underlying slowdown in the third quarter.</w:t>
      </w:r>
    </w:p>
    <w:p>
      <w:pPr>
        <w:pStyle w:val="BodyText"/>
        <w:spacing w:before="5"/>
        <w:rPr>
          <w:sz w:val="20"/>
        </w:rPr>
      </w:pPr>
    </w:p>
    <w:p>
      <w:pPr>
        <w:pStyle w:val="Heading6"/>
        <w:spacing w:before="1"/>
      </w:pPr>
      <w:r>
        <w:rPr>
          <w:color w:val="009483"/>
        </w:rPr>
        <w:t>Earnings growth</w:t>
      </w:r>
    </w:p>
    <w:p>
      <w:pPr>
        <w:pStyle w:val="ListParagraph"/>
        <w:numPr>
          <w:ilvl w:val="0"/>
          <w:numId w:val="42"/>
        </w:numPr>
        <w:tabs>
          <w:tab w:pos="679" w:val="left" w:leader="none"/>
          <w:tab w:pos="681" w:val="left" w:leader="none"/>
        </w:tabs>
        <w:spacing w:line="232" w:lineRule="auto" w:before="109" w:after="0"/>
        <w:ind w:left="200" w:right="325" w:firstLine="0"/>
        <w:jc w:val="left"/>
        <w:rPr>
          <w:sz w:val="18"/>
        </w:rPr>
      </w:pPr>
      <w:r>
        <w:rPr>
          <w:color w:val="231F20"/>
          <w:sz w:val="18"/>
        </w:rPr>
        <w:t>The labour market data for June had been somewhat surprising for both quantities and prices. Despite the slowdown in output growth, unemployment was continuing to fall on both the Labour Force Survey (LFS) and claimant count measures and the decline in LFS unemployment had been greater in the second quarter than the first. According to the LFS, employment was rising less quickly than unemployment was falling. The difference was explained by an increasing number of people becoming inactive. The latest Federation of Recruitment and Employment Services survey indicated that the labour market was continuing to tighten, albeit at a slower pace than earlier in the year. This </w:t>
      </w:r>
      <w:r>
        <w:rPr>
          <w:color w:val="231F20"/>
          <w:spacing w:val="-3"/>
          <w:sz w:val="18"/>
        </w:rPr>
        <w:t>picture </w:t>
      </w:r>
      <w:r>
        <w:rPr>
          <w:color w:val="231F20"/>
          <w:sz w:val="18"/>
        </w:rPr>
        <w:t>was supported by the reports of the Bank’s regional Agents.</w:t>
      </w:r>
    </w:p>
    <w:p>
      <w:pPr>
        <w:pStyle w:val="BodyText"/>
        <w:spacing w:before="6"/>
        <w:rPr>
          <w:sz w:val="16"/>
        </w:rPr>
      </w:pPr>
    </w:p>
    <w:p>
      <w:pPr>
        <w:pStyle w:val="ListParagraph"/>
        <w:numPr>
          <w:ilvl w:val="0"/>
          <w:numId w:val="42"/>
        </w:numPr>
        <w:tabs>
          <w:tab w:pos="679" w:val="left" w:leader="none"/>
          <w:tab w:pos="681" w:val="left" w:leader="none"/>
        </w:tabs>
        <w:spacing w:line="232" w:lineRule="auto" w:before="1" w:after="0"/>
        <w:ind w:left="200" w:right="309" w:firstLine="0"/>
        <w:jc w:val="left"/>
        <w:rPr>
          <w:sz w:val="18"/>
        </w:rPr>
      </w:pPr>
      <w:r>
        <w:rPr>
          <w:color w:val="231F20"/>
          <w:sz w:val="18"/>
        </w:rPr>
        <w:t>In the context of an otherwise tightening labour market, a significant slowing in the annual growth rate of earnings had been surprising. The twelve-month rate had fallen to 4.5% in June from 5.3% in May. Within the total the growth of the ‘irregular’ pay component had been expected to fall back, and had done so, but </w:t>
      </w:r>
      <w:r>
        <w:rPr>
          <w:color w:val="231F20"/>
          <w:spacing w:val="-6"/>
          <w:sz w:val="18"/>
        </w:rPr>
        <w:t>the </w:t>
      </w:r>
      <w:r>
        <w:rPr>
          <w:color w:val="231F20"/>
          <w:sz w:val="18"/>
        </w:rPr>
        <w:t>regular pay component had also fallen from 4.7% in May to 4.4% in June. Furthermore, the fall had occurred equally in both manufacturing and services. On the other hand, public sector pay growth had risen to 3.8%, sharply reducing the difference between private and public sector growth rates. And data on settlements continued to show an upwards trend.</w:t>
      </w:r>
    </w:p>
    <w:p>
      <w:pPr>
        <w:pStyle w:val="BodyText"/>
        <w:spacing w:before="7"/>
        <w:rPr>
          <w:sz w:val="16"/>
        </w:rPr>
      </w:pPr>
    </w:p>
    <w:p>
      <w:pPr>
        <w:pStyle w:val="ListParagraph"/>
        <w:numPr>
          <w:ilvl w:val="0"/>
          <w:numId w:val="42"/>
        </w:numPr>
        <w:tabs>
          <w:tab w:pos="679" w:val="left" w:leader="none"/>
          <w:tab w:pos="681" w:val="left" w:leader="none"/>
        </w:tabs>
        <w:spacing w:line="232" w:lineRule="auto" w:before="0" w:after="0"/>
        <w:ind w:left="200" w:right="328" w:firstLine="0"/>
        <w:jc w:val="left"/>
        <w:rPr>
          <w:sz w:val="18"/>
        </w:rPr>
      </w:pPr>
      <w:r>
        <w:rPr>
          <w:color w:val="231F20"/>
          <w:sz w:val="18"/>
        </w:rPr>
        <w:t>There was no evidence that the earnings figures were being distorted by special factors but the Committee could not place too much weight on one month’s figures. If further data confirmed a slowdown in earnings growth, that would be good news in terms </w:t>
      </w:r>
      <w:r>
        <w:rPr>
          <w:color w:val="231F20"/>
          <w:spacing w:val="-9"/>
          <w:sz w:val="18"/>
        </w:rPr>
        <w:t>of </w:t>
      </w:r>
      <w:r>
        <w:rPr>
          <w:color w:val="231F20"/>
          <w:sz w:val="18"/>
        </w:rPr>
        <w:t>lower domestically generated inflationary pressure.</w:t>
      </w:r>
    </w:p>
    <w:p>
      <w:pPr>
        <w:pStyle w:val="BodyText"/>
        <w:spacing w:before="4"/>
        <w:rPr>
          <w:sz w:val="20"/>
        </w:rPr>
      </w:pPr>
    </w:p>
    <w:p>
      <w:pPr>
        <w:pStyle w:val="Heading6"/>
      </w:pPr>
      <w:r>
        <w:rPr>
          <w:color w:val="009483"/>
        </w:rPr>
        <w:t>Monetary growth</w:t>
      </w:r>
    </w:p>
    <w:p>
      <w:pPr>
        <w:pStyle w:val="ListParagraph"/>
        <w:numPr>
          <w:ilvl w:val="0"/>
          <w:numId w:val="42"/>
        </w:numPr>
        <w:tabs>
          <w:tab w:pos="679" w:val="left" w:leader="none"/>
          <w:tab w:pos="681" w:val="left" w:leader="none"/>
        </w:tabs>
        <w:spacing w:line="232" w:lineRule="auto" w:before="109" w:after="0"/>
        <w:ind w:left="200" w:right="408" w:firstLine="0"/>
        <w:jc w:val="left"/>
        <w:rPr>
          <w:sz w:val="18"/>
        </w:rPr>
      </w:pPr>
      <w:r>
        <w:rPr>
          <w:color w:val="231F20"/>
          <w:sz w:val="18"/>
        </w:rPr>
        <w:t>The growth of broad money had been slowing during </w:t>
      </w:r>
      <w:r>
        <w:rPr>
          <w:color w:val="231F20"/>
          <w:spacing w:val="-4"/>
          <w:sz w:val="18"/>
        </w:rPr>
        <w:t>1998, </w:t>
      </w:r>
      <w:r>
        <w:rPr>
          <w:color w:val="231F20"/>
          <w:sz w:val="18"/>
        </w:rPr>
        <w:t>giving some support to the projection of a slowdown in nominal demand growth. But aggregate M4 growth had risen to 10.3% in the twelve-months to July from 9.3% in June. It was possible that these two months had been affected by seasonal distortions, but even taken together, the picture of a slowdown was weakened.</w:t>
      </w:r>
    </w:p>
    <w:p>
      <w:pPr>
        <w:pStyle w:val="BodyText"/>
        <w:rPr>
          <w:sz w:val="17"/>
        </w:rPr>
      </w:pPr>
    </w:p>
    <w:p>
      <w:pPr>
        <w:pStyle w:val="ListParagraph"/>
        <w:numPr>
          <w:ilvl w:val="0"/>
          <w:numId w:val="42"/>
        </w:numPr>
        <w:tabs>
          <w:tab w:pos="679" w:val="left" w:leader="none"/>
          <w:tab w:pos="681" w:val="left" w:leader="none"/>
        </w:tabs>
        <w:spacing w:line="232" w:lineRule="auto" w:before="0" w:after="0"/>
        <w:ind w:left="200" w:right="408" w:firstLine="0"/>
        <w:jc w:val="left"/>
        <w:rPr>
          <w:sz w:val="18"/>
        </w:rPr>
      </w:pPr>
      <w:r>
        <w:rPr>
          <w:color w:val="231F20"/>
          <w:sz w:val="18"/>
        </w:rPr>
        <w:t>Narrow money growth had also picked up, with M0 </w:t>
      </w:r>
      <w:r>
        <w:rPr>
          <w:color w:val="231F20"/>
          <w:spacing w:val="-3"/>
          <w:sz w:val="18"/>
        </w:rPr>
        <w:t>growth </w:t>
      </w:r>
      <w:r>
        <w:rPr>
          <w:color w:val="231F20"/>
          <w:sz w:val="18"/>
        </w:rPr>
        <w:t>rising from 5.8% in the twelve months to July to 6.2% in August. Although Notes and Coin growth rose by just 0.1 to 6.0%, both figures gave less support for an underlying slowdown in nominal demand growth.</w:t>
      </w:r>
    </w:p>
    <w:p>
      <w:pPr>
        <w:pStyle w:val="BodyText"/>
        <w:spacing w:before="1"/>
        <w:rPr>
          <w:sz w:val="17"/>
        </w:rPr>
      </w:pPr>
    </w:p>
    <w:p>
      <w:pPr>
        <w:pStyle w:val="ListParagraph"/>
        <w:numPr>
          <w:ilvl w:val="0"/>
          <w:numId w:val="42"/>
        </w:numPr>
        <w:tabs>
          <w:tab w:pos="679" w:val="left" w:leader="none"/>
          <w:tab w:pos="681" w:val="left" w:leader="none"/>
        </w:tabs>
        <w:spacing w:line="232" w:lineRule="auto" w:before="0" w:after="0"/>
        <w:ind w:left="200" w:right="299" w:firstLine="0"/>
        <w:jc w:val="left"/>
        <w:rPr>
          <w:sz w:val="18"/>
        </w:rPr>
      </w:pPr>
      <w:r>
        <w:rPr>
          <w:color w:val="231F20"/>
          <w:sz w:val="18"/>
        </w:rPr>
        <w:t>As with the earnings data, the Committee could not place much weight on one month’s figures. In this case, if further data confirmed strong rates of money growth, that would be bad news </w:t>
      </w:r>
      <w:r>
        <w:rPr>
          <w:color w:val="231F20"/>
          <w:spacing w:val="-9"/>
          <w:sz w:val="18"/>
        </w:rPr>
        <w:t>in </w:t>
      </w:r>
      <w:r>
        <w:rPr>
          <w:color w:val="231F20"/>
          <w:sz w:val="18"/>
        </w:rPr>
        <w:t>terms of inflationary pressures (in the absence of a decline in velocity).</w:t>
      </w:r>
    </w:p>
    <w:p>
      <w:pPr>
        <w:pStyle w:val="BodyText"/>
        <w:spacing w:before="3"/>
        <w:rPr>
          <w:sz w:val="20"/>
        </w:rPr>
      </w:pPr>
    </w:p>
    <w:p>
      <w:pPr>
        <w:pStyle w:val="Heading6"/>
        <w:spacing w:before="1"/>
      </w:pPr>
      <w:r>
        <w:rPr>
          <w:color w:val="009483"/>
        </w:rPr>
        <w:t>Retail prices</w:t>
      </w:r>
    </w:p>
    <w:p>
      <w:pPr>
        <w:pStyle w:val="ListParagraph"/>
        <w:numPr>
          <w:ilvl w:val="0"/>
          <w:numId w:val="42"/>
        </w:numPr>
        <w:tabs>
          <w:tab w:pos="679" w:val="left" w:leader="none"/>
          <w:tab w:pos="681" w:val="left" w:leader="none"/>
        </w:tabs>
        <w:spacing w:line="232" w:lineRule="auto" w:before="109" w:after="0"/>
        <w:ind w:left="200" w:right="384" w:firstLine="0"/>
        <w:jc w:val="left"/>
        <w:rPr>
          <w:sz w:val="18"/>
        </w:rPr>
      </w:pPr>
      <w:r>
        <w:rPr>
          <w:color w:val="231F20"/>
          <w:sz w:val="18"/>
        </w:rPr>
        <w:t>The Committee briefly reviewed the evidence on retail prices. Having peaked at 3.2% in May, affected by tax effects </w:t>
      </w:r>
      <w:r>
        <w:rPr>
          <w:color w:val="231F20"/>
          <w:spacing w:val="-6"/>
          <w:sz w:val="18"/>
        </w:rPr>
        <w:t>and </w:t>
      </w:r>
      <w:r>
        <w:rPr>
          <w:color w:val="231F20"/>
          <w:sz w:val="18"/>
        </w:rPr>
        <w:t>other erratic factors, it was comforting that RPIX inflation had fallen back to 2.6% by July, only just above the target of 2.5%.</w:t>
      </w:r>
    </w:p>
    <w:p>
      <w:pPr>
        <w:spacing w:after="0" w:line="232" w:lineRule="auto"/>
        <w:jc w:val="left"/>
        <w:rPr>
          <w:sz w:val="18"/>
        </w:rPr>
        <w:sectPr>
          <w:type w:val="continuous"/>
          <w:pgSz w:w="11900" w:h="16840"/>
          <w:pgMar w:top="1220" w:bottom="280" w:left="620" w:right="520"/>
          <w:cols w:num="2" w:equalWidth="0">
            <w:col w:w="5135" w:space="245"/>
            <w:col w:w="5380"/>
          </w:cols>
        </w:sectPr>
      </w:pPr>
    </w:p>
    <w:p>
      <w:pPr>
        <w:pStyle w:val="BodyText"/>
        <w:rPr>
          <w:sz w:val="20"/>
        </w:rPr>
      </w:pPr>
    </w:p>
    <w:p>
      <w:pPr>
        <w:spacing w:after="0"/>
        <w:rPr>
          <w:sz w:val="20"/>
        </w:rPr>
        <w:sectPr>
          <w:pgSz w:w="11900" w:h="16840"/>
          <w:pgMar w:header="566" w:footer="597" w:top="760" w:bottom="780" w:left="620" w:right="520"/>
        </w:sectPr>
      </w:pPr>
    </w:p>
    <w:p>
      <w:pPr>
        <w:pStyle w:val="BodyText"/>
        <w:spacing w:before="7"/>
        <w:rPr>
          <w:sz w:val="19"/>
        </w:rPr>
      </w:pPr>
    </w:p>
    <w:p>
      <w:pPr>
        <w:pStyle w:val="BodyText"/>
        <w:spacing w:line="232" w:lineRule="auto" w:before="1"/>
        <w:ind w:left="180" w:right="220"/>
      </w:pPr>
      <w:r>
        <w:rPr>
          <w:color w:val="231F20"/>
        </w:rPr>
        <w:t>Staff estimates of the short-run influences on RPIX components suggested that inflation might be slightly lower over the next few months than projected in the August </w:t>
      </w:r>
      <w:r>
        <w:rPr>
          <w:i/>
          <w:color w:val="231F20"/>
        </w:rPr>
        <w:t>Inflation Report</w:t>
      </w:r>
      <w:r>
        <w:rPr>
          <w:color w:val="231F20"/>
        </w:rPr>
        <w:t>.</w:t>
      </w:r>
    </w:p>
    <w:p>
      <w:pPr>
        <w:pStyle w:val="BodyText"/>
        <w:spacing w:before="8"/>
      </w:pPr>
    </w:p>
    <w:p>
      <w:pPr>
        <w:pStyle w:val="Heading6"/>
        <w:spacing w:line="266" w:lineRule="auto"/>
        <w:ind w:left="180" w:right="101"/>
      </w:pPr>
      <w:r>
        <w:rPr>
          <w:color w:val="009483"/>
        </w:rPr>
        <w:t>Consequences for the Committee’s inflation and output projections</w:t>
      </w:r>
    </w:p>
    <w:p>
      <w:pPr>
        <w:pStyle w:val="ListParagraph"/>
        <w:numPr>
          <w:ilvl w:val="0"/>
          <w:numId w:val="42"/>
        </w:numPr>
        <w:tabs>
          <w:tab w:pos="659" w:val="left" w:leader="none"/>
          <w:tab w:pos="661" w:val="left" w:leader="none"/>
        </w:tabs>
        <w:spacing w:line="232" w:lineRule="auto" w:before="41" w:after="0"/>
        <w:ind w:left="180" w:right="38" w:firstLine="0"/>
        <w:jc w:val="left"/>
        <w:rPr>
          <w:sz w:val="18"/>
        </w:rPr>
      </w:pPr>
      <w:r>
        <w:rPr>
          <w:color w:val="231F20"/>
          <w:sz w:val="18"/>
        </w:rPr>
        <w:t>The Committee concluded that there had been relatively </w:t>
      </w:r>
      <w:r>
        <w:rPr>
          <w:color w:val="231F20"/>
          <w:spacing w:val="-3"/>
          <w:sz w:val="18"/>
        </w:rPr>
        <w:t>little </w:t>
      </w:r>
      <w:r>
        <w:rPr>
          <w:color w:val="231F20"/>
          <w:sz w:val="18"/>
        </w:rPr>
        <w:t>in the data on the domestic economy that would change its projections. Demand and output growth seemed to be slowing in line with the August central projection although the risk of a faster slowdown had increased.  The data on earnings would be good news for inflation prospects if sustained in the coming months, while continuing strong money supply data would be adverse.</w:t>
      </w:r>
    </w:p>
    <w:p>
      <w:pPr>
        <w:pStyle w:val="ListParagraph"/>
        <w:numPr>
          <w:ilvl w:val="0"/>
          <w:numId w:val="42"/>
        </w:numPr>
        <w:tabs>
          <w:tab w:pos="659" w:val="left" w:leader="none"/>
          <w:tab w:pos="661" w:val="left" w:leader="none"/>
        </w:tabs>
        <w:spacing w:line="232" w:lineRule="auto" w:before="174" w:after="0"/>
        <w:ind w:left="180" w:right="118" w:firstLine="0"/>
        <w:jc w:val="left"/>
        <w:rPr>
          <w:sz w:val="18"/>
        </w:rPr>
      </w:pPr>
      <w:r>
        <w:rPr>
          <w:color w:val="231F20"/>
          <w:sz w:val="18"/>
        </w:rPr>
        <w:t>In its evaluation of external developments it was clear to </w:t>
      </w:r>
      <w:r>
        <w:rPr>
          <w:color w:val="231F20"/>
          <w:spacing w:val="-6"/>
          <w:sz w:val="18"/>
        </w:rPr>
        <w:t>the </w:t>
      </w:r>
      <w:r>
        <w:rPr>
          <w:color w:val="231F20"/>
          <w:sz w:val="18"/>
        </w:rPr>
        <w:t>Committee that there had been an increase in the downside risks </w:t>
      </w:r>
      <w:r>
        <w:rPr>
          <w:color w:val="231F20"/>
          <w:spacing w:val="-7"/>
          <w:sz w:val="18"/>
        </w:rPr>
        <w:t>to </w:t>
      </w:r>
      <w:r>
        <w:rPr>
          <w:color w:val="231F20"/>
          <w:sz w:val="18"/>
        </w:rPr>
        <w:t>world activity, principally arising from the recent and possible future contagion of financial market crises in emerging market economies. Taking external and domestic factors together the balance of risks to inflation, which had been on the upside at the time of the August </w:t>
      </w:r>
      <w:r>
        <w:rPr>
          <w:i/>
          <w:color w:val="231F20"/>
          <w:sz w:val="18"/>
        </w:rPr>
        <w:t>Inflation Report</w:t>
      </w:r>
      <w:r>
        <w:rPr>
          <w:color w:val="231F20"/>
          <w:sz w:val="18"/>
        </w:rPr>
        <w:t>, had shifted towards the downside.</w:t>
      </w:r>
    </w:p>
    <w:p>
      <w:pPr>
        <w:pStyle w:val="ListParagraph"/>
        <w:numPr>
          <w:ilvl w:val="0"/>
          <w:numId w:val="42"/>
        </w:numPr>
        <w:tabs>
          <w:tab w:pos="661" w:val="left" w:leader="none"/>
        </w:tabs>
        <w:spacing w:line="232" w:lineRule="auto" w:before="154" w:after="0"/>
        <w:ind w:left="180" w:right="38" w:firstLine="0"/>
        <w:jc w:val="both"/>
        <w:rPr>
          <w:sz w:val="18"/>
        </w:rPr>
      </w:pPr>
      <w:r>
        <w:rPr>
          <w:color w:val="231F20"/>
          <w:sz w:val="18"/>
        </w:rPr>
        <w:t>The Committee also concluded that the degree of uncertainty surrounding future world prospects had risen and this had been </w:t>
      </w:r>
      <w:r>
        <w:rPr>
          <w:color w:val="231F20"/>
          <w:spacing w:val="-5"/>
          <w:sz w:val="18"/>
        </w:rPr>
        <w:t>seen </w:t>
      </w:r>
      <w:r>
        <w:rPr>
          <w:color w:val="231F20"/>
          <w:sz w:val="18"/>
        </w:rPr>
        <w:t>in increased market volatility.</w:t>
      </w:r>
    </w:p>
    <w:p>
      <w:pPr>
        <w:pStyle w:val="ListParagraph"/>
        <w:numPr>
          <w:ilvl w:val="0"/>
          <w:numId w:val="42"/>
        </w:numPr>
        <w:tabs>
          <w:tab w:pos="659" w:val="left" w:leader="none"/>
          <w:tab w:pos="661" w:val="left" w:leader="none"/>
        </w:tabs>
        <w:spacing w:line="232" w:lineRule="auto" w:before="158" w:after="0"/>
        <w:ind w:left="180" w:right="79" w:firstLine="0"/>
        <w:jc w:val="left"/>
        <w:rPr>
          <w:sz w:val="18"/>
        </w:rPr>
      </w:pPr>
      <w:r>
        <w:rPr>
          <w:color w:val="231F20"/>
          <w:sz w:val="18"/>
        </w:rPr>
        <w:t>The Committee further agreed that its expectations for </w:t>
      </w:r>
      <w:r>
        <w:rPr>
          <w:color w:val="231F20"/>
          <w:spacing w:val="-4"/>
          <w:sz w:val="18"/>
        </w:rPr>
        <w:t>world </w:t>
      </w:r>
      <w:r>
        <w:rPr>
          <w:color w:val="231F20"/>
          <w:sz w:val="18"/>
        </w:rPr>
        <w:t>growth and inflation were now lower than at the time of the </w:t>
      </w:r>
      <w:r>
        <w:rPr>
          <w:color w:val="231F20"/>
          <w:spacing w:val="-4"/>
          <w:sz w:val="18"/>
        </w:rPr>
        <w:t>August </w:t>
      </w:r>
      <w:r>
        <w:rPr>
          <w:i/>
          <w:color w:val="231F20"/>
          <w:sz w:val="18"/>
        </w:rPr>
        <w:t>Inflation Report</w:t>
      </w:r>
      <w:r>
        <w:rPr>
          <w:color w:val="231F20"/>
          <w:sz w:val="18"/>
        </w:rPr>
        <w:t>. However, there was a range of views over whether developments so far should lead to any substantial change as yet in the central projection for UK inflation.</w:t>
      </w:r>
    </w:p>
    <w:p>
      <w:pPr>
        <w:pStyle w:val="ListParagraph"/>
        <w:numPr>
          <w:ilvl w:val="0"/>
          <w:numId w:val="42"/>
        </w:numPr>
        <w:tabs>
          <w:tab w:pos="659" w:val="left" w:leader="none"/>
          <w:tab w:pos="661" w:val="left" w:leader="none"/>
        </w:tabs>
        <w:spacing w:line="232" w:lineRule="auto" w:before="176" w:after="0"/>
        <w:ind w:left="180" w:right="124" w:firstLine="0"/>
        <w:jc w:val="left"/>
        <w:rPr>
          <w:sz w:val="18"/>
        </w:rPr>
      </w:pPr>
      <w:r>
        <w:rPr>
          <w:color w:val="231F20"/>
          <w:sz w:val="18"/>
        </w:rPr>
        <w:t>On one view, world events so far should cause only a small change to the central projection for UK inflation. Although it was possible to imagine any number of downside scenarios for the world economy, the Committee should not assume that the most extreme outcome was the central case. The most important economies for world activity and for UK exports remained the United States, continental Europe and Japan. Growth remained robust in the United States and domestic demand had been strengthening in the major EU economies, although the pace of expansion had been variable. Japan had weakened further. The Russian crisis and the widespread fall in equity prices were evidence that some of the downside risks identified earlier were now coming to pass but most of the concern over emerging </w:t>
      </w:r>
      <w:r>
        <w:rPr>
          <w:color w:val="231F20"/>
          <w:spacing w:val="-4"/>
          <w:sz w:val="18"/>
        </w:rPr>
        <w:t>market </w:t>
      </w:r>
      <w:r>
        <w:rPr>
          <w:color w:val="231F20"/>
          <w:sz w:val="18"/>
        </w:rPr>
        <w:t>economies was in relation to possible future events rather than actual outcomes. And sterling had weakened since the August MPC meeting. Hence the central projection had shifted by less than the balance of risks.</w:t>
      </w:r>
    </w:p>
    <w:p>
      <w:pPr>
        <w:pStyle w:val="ListParagraph"/>
        <w:numPr>
          <w:ilvl w:val="0"/>
          <w:numId w:val="42"/>
        </w:numPr>
        <w:tabs>
          <w:tab w:pos="659" w:val="left" w:leader="none"/>
          <w:tab w:pos="661" w:val="left" w:leader="none"/>
        </w:tabs>
        <w:spacing w:line="232" w:lineRule="auto" w:before="167" w:after="0"/>
        <w:ind w:left="180" w:right="98" w:firstLine="0"/>
        <w:jc w:val="left"/>
        <w:rPr>
          <w:sz w:val="18"/>
        </w:rPr>
      </w:pPr>
      <w:r>
        <w:rPr>
          <w:color w:val="231F20"/>
          <w:sz w:val="18"/>
        </w:rPr>
        <w:t>On another view there had been a significant increase in excess world supply, which would lead to a prolonged deflationary effect on the world economy. The major world equity markets </w:t>
      </w:r>
      <w:r>
        <w:rPr>
          <w:color w:val="231F20"/>
          <w:spacing w:val="-4"/>
          <w:sz w:val="18"/>
        </w:rPr>
        <w:t>still </w:t>
      </w:r>
      <w:r>
        <w:rPr>
          <w:color w:val="231F20"/>
          <w:sz w:val="18"/>
        </w:rPr>
        <w:t>had high price-to-earnings ratios and more price adjustment was likely. It was also possible that domestic activity was weakening faster than projected in August, under the influence of high interest rates and a strong exchange rate. On this view, recent external developments reinforced earlier concerns that inflation might undershoot the target and the central projection should be revised down by more.</w:t>
      </w:r>
    </w:p>
    <w:p>
      <w:pPr>
        <w:pStyle w:val="BodyText"/>
        <w:spacing w:before="3"/>
      </w:pPr>
    </w:p>
    <w:p>
      <w:pPr>
        <w:pStyle w:val="Heading6"/>
        <w:ind w:left="180"/>
      </w:pPr>
      <w:r>
        <w:rPr>
          <w:color w:val="009483"/>
        </w:rPr>
        <w:t>The immediate policy decision</w:t>
      </w:r>
    </w:p>
    <w:p>
      <w:pPr>
        <w:pStyle w:val="ListParagraph"/>
        <w:numPr>
          <w:ilvl w:val="0"/>
          <w:numId w:val="42"/>
        </w:numPr>
        <w:tabs>
          <w:tab w:pos="659" w:val="left" w:leader="none"/>
          <w:tab w:pos="661" w:val="left" w:leader="none"/>
        </w:tabs>
        <w:spacing w:line="232" w:lineRule="auto" w:before="69" w:after="0"/>
        <w:ind w:left="180" w:right="138" w:firstLine="0"/>
        <w:jc w:val="left"/>
        <w:rPr>
          <w:sz w:val="18"/>
        </w:rPr>
      </w:pPr>
      <w:r>
        <w:rPr>
          <w:color w:val="231F20"/>
          <w:sz w:val="18"/>
        </w:rPr>
        <w:t>The Committee agreed that there had been a marked shift </w:t>
      </w:r>
      <w:r>
        <w:rPr>
          <w:color w:val="231F20"/>
          <w:spacing w:val="-9"/>
          <w:sz w:val="18"/>
        </w:rPr>
        <w:t>in </w:t>
      </w:r>
      <w:r>
        <w:rPr>
          <w:color w:val="231F20"/>
          <w:sz w:val="18"/>
        </w:rPr>
        <w:t>its position since the August meeting. The balance of risks for its projection of UK inflation had been on the upside in the August </w:t>
      </w:r>
      <w:r>
        <w:rPr>
          <w:i/>
          <w:color w:val="231F20"/>
          <w:sz w:val="18"/>
        </w:rPr>
        <w:t>Inflation Report </w:t>
      </w:r>
      <w:r>
        <w:rPr>
          <w:color w:val="231F20"/>
          <w:sz w:val="18"/>
        </w:rPr>
        <w:t>and that balance had since shifted towards the downside, largely reflecting international developments. One consequence of these developments had been some correction in equity prices, but these still seemed high and a more significant adjustment might yet occur.</w:t>
      </w:r>
    </w:p>
    <w:p>
      <w:pPr>
        <w:pStyle w:val="BodyText"/>
        <w:spacing w:before="7"/>
        <w:rPr>
          <w:sz w:val="19"/>
        </w:rPr>
      </w:pPr>
      <w:r>
        <w:rPr/>
        <w:br w:type="column"/>
      </w:r>
      <w:r>
        <w:rPr>
          <w:sz w:val="19"/>
        </w:rPr>
      </w:r>
    </w:p>
    <w:p>
      <w:pPr>
        <w:pStyle w:val="ListParagraph"/>
        <w:numPr>
          <w:ilvl w:val="0"/>
          <w:numId w:val="42"/>
        </w:numPr>
        <w:tabs>
          <w:tab w:pos="659" w:val="left" w:leader="none"/>
          <w:tab w:pos="661" w:val="left" w:leader="none"/>
        </w:tabs>
        <w:spacing w:line="232" w:lineRule="auto" w:before="1" w:after="0"/>
        <w:ind w:left="180" w:right="299" w:firstLine="0"/>
        <w:jc w:val="left"/>
        <w:rPr>
          <w:sz w:val="18"/>
        </w:rPr>
      </w:pPr>
      <w:r>
        <w:rPr>
          <w:color w:val="231F20"/>
          <w:sz w:val="18"/>
        </w:rPr>
        <w:t>The out-turns for domestic data had been much as the Committee had expected, although there was common concern </w:t>
      </w:r>
      <w:r>
        <w:rPr>
          <w:color w:val="231F20"/>
          <w:spacing w:val="-5"/>
          <w:sz w:val="18"/>
        </w:rPr>
        <w:t>over </w:t>
      </w:r>
      <w:r>
        <w:rPr>
          <w:color w:val="231F20"/>
          <w:sz w:val="18"/>
        </w:rPr>
        <w:t>the weaker signals from business surveys and a welcoming of the weaker data on earnings growth. There was broad agreement that the risks had at least shifted sufficiently to remove the balance on the upside of the August central projection of inflation. The discussion concentrated on whether there was a sufficient case yet for rates to be cut immediately, taking into account all the relevant external and domestic considerations.</w:t>
      </w:r>
    </w:p>
    <w:p>
      <w:pPr>
        <w:pStyle w:val="BodyText"/>
        <w:spacing w:before="8"/>
        <w:rPr>
          <w:sz w:val="16"/>
        </w:rPr>
      </w:pPr>
    </w:p>
    <w:p>
      <w:pPr>
        <w:pStyle w:val="ListParagraph"/>
        <w:numPr>
          <w:ilvl w:val="0"/>
          <w:numId w:val="42"/>
        </w:numPr>
        <w:tabs>
          <w:tab w:pos="659" w:val="left" w:leader="none"/>
          <w:tab w:pos="661" w:val="left" w:leader="none"/>
        </w:tabs>
        <w:spacing w:line="232" w:lineRule="auto" w:before="1" w:after="0"/>
        <w:ind w:left="180" w:right="329" w:firstLine="0"/>
        <w:jc w:val="left"/>
        <w:rPr>
          <w:sz w:val="18"/>
        </w:rPr>
      </w:pPr>
      <w:r>
        <w:rPr>
          <w:color w:val="231F20"/>
          <w:sz w:val="18"/>
        </w:rPr>
        <w:t>On one view, the factors determining the central projection had not yet shifted sufficiently to justify a change in rates. If the forecast were to be revised, the balance of risks would clearly have shifted towards the downside and the ‘hump’ shape in the inflation projection for 1999 might be less marked, but any change in the central projection for inflation in the medium-term would be small. And the balance of risks might alter if rates were cut at the wrong moment. In particular, an early cut, which the markets might well take as indicating a change in the direction of rates, could lead to a sharp fall in sterling, which might more than offset the increased downside pressures on inflation from weaker world output and inflation. All Committee members nevertheless acknowledged the increased downside risks to the world economy and the possibility that domestic growth could be slowing more quickly than projected and indicated a willingness to move quickly should either possibility prove to be the case.</w:t>
      </w:r>
    </w:p>
    <w:p>
      <w:pPr>
        <w:pStyle w:val="BodyText"/>
        <w:spacing w:before="3"/>
        <w:rPr>
          <w:sz w:val="16"/>
        </w:rPr>
      </w:pPr>
    </w:p>
    <w:p>
      <w:pPr>
        <w:pStyle w:val="ListParagraph"/>
        <w:numPr>
          <w:ilvl w:val="0"/>
          <w:numId w:val="42"/>
        </w:numPr>
        <w:tabs>
          <w:tab w:pos="659" w:val="left" w:leader="none"/>
          <w:tab w:pos="661" w:val="left" w:leader="none"/>
        </w:tabs>
        <w:spacing w:line="232" w:lineRule="auto" w:before="0" w:after="0"/>
        <w:ind w:left="180" w:right="309" w:firstLine="0"/>
        <w:jc w:val="left"/>
        <w:rPr>
          <w:sz w:val="18"/>
        </w:rPr>
      </w:pPr>
      <w:r>
        <w:rPr>
          <w:color w:val="231F20"/>
          <w:sz w:val="18"/>
        </w:rPr>
        <w:t>On a second view, although the outturns for official data on domestic activity were broadly as expected, business surveys were very weak for the second consecutive month, the equity market had come off the top and the correction might still have a long way to go. The change in the world outlook was also significant news. Taking these factors together there was sufficient evidence already to shift the central projection for UK inflation from above the </w:t>
      </w:r>
      <w:r>
        <w:rPr>
          <w:color w:val="231F20"/>
          <w:spacing w:val="-3"/>
          <w:sz w:val="18"/>
        </w:rPr>
        <w:t>target </w:t>
      </w:r>
      <w:r>
        <w:rPr>
          <w:color w:val="231F20"/>
          <w:sz w:val="18"/>
        </w:rPr>
        <w:t>to below. On this basis, rates should now be cut by 25 basis points.</w:t>
      </w:r>
    </w:p>
    <w:p>
      <w:pPr>
        <w:pStyle w:val="BodyText"/>
        <w:spacing w:before="10"/>
        <w:rPr>
          <w:sz w:val="16"/>
        </w:rPr>
      </w:pPr>
    </w:p>
    <w:p>
      <w:pPr>
        <w:pStyle w:val="ListParagraph"/>
        <w:numPr>
          <w:ilvl w:val="0"/>
          <w:numId w:val="42"/>
        </w:numPr>
        <w:tabs>
          <w:tab w:pos="659" w:val="left" w:leader="none"/>
          <w:tab w:pos="661" w:val="left" w:leader="none"/>
        </w:tabs>
        <w:spacing w:line="232" w:lineRule="auto" w:before="0" w:after="0"/>
        <w:ind w:left="180" w:right="354" w:firstLine="0"/>
        <w:jc w:val="left"/>
        <w:rPr>
          <w:sz w:val="18"/>
        </w:rPr>
      </w:pPr>
      <w:r>
        <w:rPr>
          <w:color w:val="231F20"/>
          <w:sz w:val="18"/>
        </w:rPr>
        <w:t>On a third view, there had already been a danger of undershooting the inflation target and the previous case for a cut in rates was reinforced. The full extent and timing of the reduction would be a matter of tactics but it should start immediately. Even after interest rates started to fall, sterling would be subject to upwards as well as downwards pressure, given the relative </w:t>
      </w:r>
      <w:r>
        <w:rPr>
          <w:color w:val="231F20"/>
          <w:spacing w:val="-3"/>
          <w:sz w:val="18"/>
        </w:rPr>
        <w:t>strength </w:t>
      </w:r>
      <w:r>
        <w:rPr>
          <w:color w:val="231F20"/>
          <w:sz w:val="18"/>
        </w:rPr>
        <w:t>of the UK economy and investors seeking a safe haven from world events.</w:t>
      </w:r>
    </w:p>
    <w:p>
      <w:pPr>
        <w:pStyle w:val="BodyText"/>
        <w:spacing w:before="10"/>
        <w:rPr>
          <w:sz w:val="16"/>
        </w:rPr>
      </w:pPr>
    </w:p>
    <w:p>
      <w:pPr>
        <w:pStyle w:val="ListParagraph"/>
        <w:numPr>
          <w:ilvl w:val="0"/>
          <w:numId w:val="42"/>
        </w:numPr>
        <w:tabs>
          <w:tab w:pos="659" w:val="left" w:leader="none"/>
          <w:tab w:pos="661" w:val="left" w:leader="none"/>
        </w:tabs>
        <w:spacing w:line="232" w:lineRule="auto" w:before="0" w:after="0"/>
        <w:ind w:left="180" w:right="378" w:firstLine="0"/>
        <w:jc w:val="left"/>
        <w:rPr>
          <w:sz w:val="18"/>
        </w:rPr>
      </w:pPr>
      <w:r>
        <w:rPr>
          <w:color w:val="231F20"/>
          <w:sz w:val="18"/>
        </w:rPr>
        <w:t>The Governor invited members of the Committee to vote </w:t>
      </w:r>
      <w:r>
        <w:rPr>
          <w:color w:val="231F20"/>
          <w:spacing w:val="-8"/>
          <w:sz w:val="18"/>
        </w:rPr>
        <w:t>on </w:t>
      </w:r>
      <w:r>
        <w:rPr>
          <w:color w:val="231F20"/>
          <w:sz w:val="18"/>
        </w:rPr>
        <w:t>the proposition that the Bank’s repo rate be maintained at 7.50% this month. Seven members of the Committee (the Governor, Mervyn King, David Clementi, Alan Budd, Charles Goodhart, Ian Plenderleith and John Vickers) voted for the proposition, and two (Willem Buiter and DeAnne Julius) voted against, preferring an immediate cut in interest rates.</w:t>
      </w:r>
    </w:p>
    <w:p>
      <w:pPr>
        <w:pStyle w:val="BodyText"/>
        <w:spacing w:before="10"/>
        <w:rPr>
          <w:sz w:val="16"/>
        </w:rPr>
      </w:pPr>
    </w:p>
    <w:p>
      <w:pPr>
        <w:pStyle w:val="ListParagraph"/>
        <w:numPr>
          <w:ilvl w:val="0"/>
          <w:numId w:val="42"/>
        </w:numPr>
        <w:tabs>
          <w:tab w:pos="659" w:val="left" w:leader="none"/>
          <w:tab w:pos="661" w:val="left" w:leader="none"/>
        </w:tabs>
        <w:spacing w:line="232" w:lineRule="auto" w:before="0" w:after="0"/>
        <w:ind w:left="180" w:right="304" w:firstLine="0"/>
        <w:jc w:val="left"/>
        <w:rPr>
          <w:sz w:val="18"/>
        </w:rPr>
      </w:pPr>
      <w:r>
        <w:rPr>
          <w:color w:val="231F20"/>
          <w:sz w:val="18"/>
        </w:rPr>
        <w:t>After reaching its decision, the Committee decided to make </w:t>
      </w:r>
      <w:r>
        <w:rPr>
          <w:color w:val="231F20"/>
          <w:spacing w:val="-17"/>
          <w:sz w:val="18"/>
        </w:rPr>
        <w:t>a </w:t>
      </w:r>
      <w:r>
        <w:rPr>
          <w:color w:val="231F20"/>
          <w:sz w:val="18"/>
        </w:rPr>
        <w:t>statement to reflect the shared view that, despite no change in interest rates, the balance of risks had nevertheless shifted since the August meeting.</w:t>
      </w:r>
    </w:p>
    <w:p>
      <w:pPr>
        <w:pStyle w:val="BodyText"/>
        <w:spacing w:before="2"/>
        <w:rPr>
          <w:sz w:val="17"/>
        </w:rPr>
      </w:pPr>
    </w:p>
    <w:p>
      <w:pPr>
        <w:pStyle w:val="ListParagraph"/>
        <w:numPr>
          <w:ilvl w:val="0"/>
          <w:numId w:val="42"/>
        </w:numPr>
        <w:tabs>
          <w:tab w:pos="659" w:val="left" w:leader="none"/>
          <w:tab w:pos="661" w:val="left" w:leader="none"/>
        </w:tabs>
        <w:spacing w:line="232" w:lineRule="auto" w:before="0" w:after="0"/>
        <w:ind w:left="180" w:right="669" w:firstLine="0"/>
        <w:jc w:val="left"/>
        <w:rPr>
          <w:sz w:val="18"/>
        </w:rPr>
      </w:pPr>
      <w:r>
        <w:rPr>
          <w:color w:val="231F20"/>
          <w:sz w:val="18"/>
        </w:rPr>
        <w:t>The following members of the Committee were </w:t>
      </w:r>
      <w:r>
        <w:rPr>
          <w:color w:val="231F20"/>
          <w:spacing w:val="-3"/>
          <w:sz w:val="18"/>
        </w:rPr>
        <w:t>present: </w:t>
      </w:r>
      <w:r>
        <w:rPr>
          <w:color w:val="231F20"/>
          <w:sz w:val="18"/>
        </w:rPr>
        <w:t>Eddie George, Governor</w:t>
      </w:r>
    </w:p>
    <w:p>
      <w:pPr>
        <w:pStyle w:val="BodyText"/>
        <w:spacing w:line="232" w:lineRule="auto"/>
        <w:ind w:left="180" w:right="506"/>
      </w:pPr>
      <w:r>
        <w:rPr>
          <w:color w:val="231F20"/>
        </w:rPr>
        <w:t>Mervyn King, Deputy Governor responsible for monetary policy David Clementi, Deputy Governor responsible for financial stability</w:t>
      </w:r>
    </w:p>
    <w:p>
      <w:pPr>
        <w:pStyle w:val="BodyText"/>
        <w:spacing w:line="232" w:lineRule="auto"/>
        <w:ind w:left="180" w:right="3900"/>
      </w:pPr>
      <w:r>
        <w:rPr>
          <w:color w:val="231F20"/>
        </w:rPr>
        <w:t>Alan Budd Willem Buiter Charles Goodhart DeAnne Julius Ian Plenderleith John Vickers</w:t>
      </w:r>
    </w:p>
    <w:p>
      <w:pPr>
        <w:pStyle w:val="BodyText"/>
        <w:spacing w:before="7"/>
        <w:rPr>
          <w:sz w:val="16"/>
        </w:rPr>
      </w:pPr>
    </w:p>
    <w:p>
      <w:pPr>
        <w:pStyle w:val="ListParagraph"/>
        <w:numPr>
          <w:ilvl w:val="0"/>
          <w:numId w:val="42"/>
        </w:numPr>
        <w:tabs>
          <w:tab w:pos="659" w:val="left" w:leader="none"/>
          <w:tab w:pos="661" w:val="left" w:leader="none"/>
        </w:tabs>
        <w:spacing w:line="232" w:lineRule="auto" w:before="0" w:after="0"/>
        <w:ind w:left="180" w:right="1238" w:firstLine="0"/>
        <w:jc w:val="left"/>
        <w:rPr>
          <w:sz w:val="18"/>
        </w:rPr>
      </w:pPr>
      <w:r>
        <w:rPr>
          <w:color w:val="231F20"/>
          <w:sz w:val="18"/>
        </w:rPr>
        <w:t>Gus O’Donnell was also present as the Treasury representative.</w:t>
      </w:r>
    </w:p>
    <w:p>
      <w:pPr>
        <w:spacing w:after="0" w:line="232" w:lineRule="auto"/>
        <w:jc w:val="left"/>
        <w:rPr>
          <w:sz w:val="18"/>
        </w:rPr>
        <w:sectPr>
          <w:type w:val="continuous"/>
          <w:pgSz w:w="11900" w:h="16840"/>
          <w:pgMar w:top="1220" w:bottom="280" w:left="620" w:right="520"/>
          <w:cols w:num="2" w:equalWidth="0">
            <w:col w:w="5119" w:space="266"/>
            <w:col w:w="5375"/>
          </w:cols>
        </w:sectPr>
      </w:pPr>
    </w:p>
    <w:p>
      <w:pPr>
        <w:pStyle w:val="BodyText"/>
        <w:rPr>
          <w:sz w:val="20"/>
        </w:rPr>
      </w:pPr>
    </w:p>
    <w:p>
      <w:pPr>
        <w:pStyle w:val="BodyText"/>
        <w:rPr>
          <w:sz w:val="20"/>
        </w:rPr>
      </w:pPr>
    </w:p>
    <w:p>
      <w:pPr>
        <w:pStyle w:val="BodyText"/>
        <w:spacing w:before="1"/>
        <w:rPr>
          <w:sz w:val="16"/>
        </w:rPr>
      </w:pPr>
    </w:p>
    <w:p>
      <w:pPr>
        <w:pStyle w:val="Heading1"/>
      </w:pPr>
      <w:r>
        <w:rPr>
          <w:color w:val="009483"/>
        </w:rPr>
        <w:t>Annex: Summary of data presented by Bank staff</w:t>
      </w:r>
    </w:p>
    <w:p>
      <w:pPr>
        <w:pStyle w:val="BodyText"/>
        <w:spacing w:before="9"/>
        <w:rPr>
          <w:b/>
          <w:sz w:val="27"/>
        </w:rPr>
      </w:pPr>
    </w:p>
    <w:p>
      <w:pPr>
        <w:spacing w:after="0"/>
        <w:rPr>
          <w:sz w:val="27"/>
        </w:rPr>
        <w:sectPr>
          <w:pgSz w:w="11900" w:h="16840"/>
          <w:pgMar w:header="566" w:footer="597" w:top="760" w:bottom="780" w:left="620" w:right="520"/>
        </w:sectPr>
      </w:pPr>
    </w:p>
    <w:p>
      <w:pPr>
        <w:pStyle w:val="ListParagraph"/>
        <w:numPr>
          <w:ilvl w:val="0"/>
          <w:numId w:val="43"/>
        </w:numPr>
        <w:tabs>
          <w:tab w:pos="674" w:val="left" w:leader="none"/>
          <w:tab w:pos="675" w:val="left" w:leader="none"/>
        </w:tabs>
        <w:spacing w:line="232" w:lineRule="auto" w:before="98" w:after="0"/>
        <w:ind w:left="194" w:right="113" w:firstLine="0"/>
        <w:jc w:val="left"/>
        <w:rPr>
          <w:sz w:val="18"/>
        </w:rPr>
      </w:pPr>
      <w:r>
        <w:rPr>
          <w:color w:val="231F20"/>
          <w:sz w:val="18"/>
        </w:rPr>
        <w:t>This Annex summarises the analysis presented by the Bank staff to the Monetary Policy Committee on 4 September 1998, in advance of its meeting. At the start of the Committee meeting itself, members were made aware of information that had subsequently become available, and that information is included </w:t>
      </w:r>
      <w:r>
        <w:rPr>
          <w:color w:val="231F20"/>
          <w:spacing w:val="-9"/>
          <w:sz w:val="18"/>
        </w:rPr>
        <w:t>in </w:t>
      </w:r>
      <w:r>
        <w:rPr>
          <w:color w:val="231F20"/>
          <w:sz w:val="18"/>
        </w:rPr>
        <w:t>the Annex.</w:t>
      </w:r>
    </w:p>
    <w:p>
      <w:pPr>
        <w:pStyle w:val="BodyText"/>
        <w:spacing w:before="11"/>
        <w:rPr>
          <w:sz w:val="21"/>
        </w:rPr>
      </w:pPr>
    </w:p>
    <w:p>
      <w:pPr>
        <w:pStyle w:val="Heading6"/>
        <w:numPr>
          <w:ilvl w:val="0"/>
          <w:numId w:val="44"/>
        </w:numPr>
        <w:tabs>
          <w:tab w:pos="674" w:val="left" w:leader="none"/>
          <w:tab w:pos="675" w:val="left" w:leader="none"/>
        </w:tabs>
        <w:spacing w:line="240" w:lineRule="auto" w:before="0" w:after="0"/>
        <w:ind w:left="674" w:right="0" w:hanging="481"/>
        <w:jc w:val="left"/>
      </w:pPr>
      <w:r>
        <w:rPr>
          <w:color w:val="009483"/>
        </w:rPr>
        <w:t>International financial</w:t>
      </w:r>
      <w:r>
        <w:rPr>
          <w:color w:val="009483"/>
          <w:spacing w:val="-1"/>
        </w:rPr>
        <w:t> </w:t>
      </w:r>
      <w:r>
        <w:rPr>
          <w:color w:val="009483"/>
        </w:rPr>
        <w:t>crisis</w:t>
      </w:r>
    </w:p>
    <w:p>
      <w:pPr>
        <w:pStyle w:val="ListParagraph"/>
        <w:numPr>
          <w:ilvl w:val="0"/>
          <w:numId w:val="45"/>
        </w:numPr>
        <w:tabs>
          <w:tab w:pos="674" w:val="left" w:leader="none"/>
          <w:tab w:pos="675" w:val="left" w:leader="none"/>
        </w:tabs>
        <w:spacing w:line="240" w:lineRule="auto" w:before="105" w:after="0"/>
        <w:ind w:left="674" w:right="0" w:hanging="481"/>
        <w:jc w:val="left"/>
        <w:rPr>
          <w:i/>
          <w:sz w:val="18"/>
        </w:rPr>
      </w:pPr>
      <w:r>
        <w:rPr>
          <w:i/>
          <w:color w:val="009483"/>
          <w:sz w:val="18"/>
        </w:rPr>
        <w:t>World financial markets</w:t>
      </w:r>
    </w:p>
    <w:p>
      <w:pPr>
        <w:pStyle w:val="ListParagraph"/>
        <w:numPr>
          <w:ilvl w:val="0"/>
          <w:numId w:val="43"/>
        </w:numPr>
        <w:tabs>
          <w:tab w:pos="674" w:val="left" w:leader="none"/>
          <w:tab w:pos="675" w:val="left" w:leader="none"/>
        </w:tabs>
        <w:spacing w:line="232" w:lineRule="auto" w:before="118" w:after="0"/>
        <w:ind w:left="194" w:right="38" w:firstLine="0"/>
        <w:jc w:val="left"/>
        <w:rPr>
          <w:sz w:val="18"/>
        </w:rPr>
      </w:pPr>
      <w:r>
        <w:rPr>
          <w:color w:val="231F20"/>
          <w:sz w:val="18"/>
        </w:rPr>
        <w:t>The spread of US$ denominated Brady bonds over US treasuries had risen from some 6 percentage points in July to around 15 percentage points by the end of August—similar to the level during the ‘Mexican crisis’ in 1995.  Russian equity prices had fallen by two-thirds in dollar terms since the middle of July when its IMF loan was approved. That fall was much larger than </w:t>
      </w:r>
      <w:r>
        <w:rPr>
          <w:color w:val="231F20"/>
          <w:spacing w:val="-9"/>
          <w:sz w:val="18"/>
        </w:rPr>
        <w:t>in </w:t>
      </w:r>
      <w:r>
        <w:rPr>
          <w:color w:val="231F20"/>
          <w:sz w:val="18"/>
        </w:rPr>
        <w:t>other emerging market economies, though Latin American equity prices had also experienced substantial falls during the month (30%–40%), and eastern Europe (20%–30%). Hong Kong equity prices were virtually unchanged since July. Emerging market exchange rate movements against the US dollar were generally small, except for the Russian rouble, which had depreciated by more than 50% since end-July.</w:t>
      </w:r>
    </w:p>
    <w:p>
      <w:pPr>
        <w:pStyle w:val="BodyText"/>
        <w:spacing w:before="5"/>
        <w:rPr>
          <w:sz w:val="16"/>
        </w:rPr>
      </w:pPr>
    </w:p>
    <w:p>
      <w:pPr>
        <w:pStyle w:val="ListParagraph"/>
        <w:numPr>
          <w:ilvl w:val="0"/>
          <w:numId w:val="43"/>
        </w:numPr>
        <w:tabs>
          <w:tab w:pos="674" w:val="left" w:leader="none"/>
          <w:tab w:pos="675" w:val="left" w:leader="none"/>
        </w:tabs>
        <w:spacing w:line="232" w:lineRule="auto" w:before="1" w:after="0"/>
        <w:ind w:left="194" w:right="498" w:firstLine="0"/>
        <w:jc w:val="left"/>
        <w:rPr>
          <w:sz w:val="18"/>
        </w:rPr>
      </w:pPr>
      <w:r>
        <w:rPr>
          <w:color w:val="231F20"/>
          <w:sz w:val="18"/>
        </w:rPr>
        <w:t>One explanation for this turmoil was the weakness in commodity prices. Many of the affected countries relied on primary commodities as their main exports (for example, three-quarters of all Venezuela’s exports were oil, and half</w:t>
      </w:r>
      <w:r>
        <w:rPr>
          <w:color w:val="231F20"/>
          <w:spacing w:val="1"/>
          <w:sz w:val="18"/>
        </w:rPr>
        <w:t> </w:t>
      </w:r>
      <w:r>
        <w:rPr>
          <w:color w:val="231F20"/>
          <w:spacing w:val="-9"/>
          <w:sz w:val="18"/>
        </w:rPr>
        <w:t>of</w:t>
      </w:r>
    </w:p>
    <w:p>
      <w:pPr>
        <w:pStyle w:val="BodyText"/>
        <w:spacing w:line="232" w:lineRule="auto"/>
        <w:ind w:left="194"/>
      </w:pPr>
      <w:r>
        <w:rPr>
          <w:color w:val="231F20"/>
        </w:rPr>
        <w:t>Russia’s exports were primary commodities). Another possible explanation was a rise in the risk premia associated with emerging market debt default: spreads on foreign currency-denominated debt had risen significantly since Russia announced a package of economic measures on 17 August including a devaluation of the rouble, a freezing of its domestic debt market, and a 90-day moratorium on foreign commercial debts. Emerging market asset prices moved more closely together than usual during times of financial stress, which reduced the possibility of diversification.</w:t>
      </w:r>
    </w:p>
    <w:p>
      <w:pPr>
        <w:pStyle w:val="BodyText"/>
        <w:spacing w:line="232" w:lineRule="auto"/>
        <w:ind w:left="194" w:right="84"/>
      </w:pPr>
      <w:r>
        <w:rPr>
          <w:color w:val="231F20"/>
        </w:rPr>
        <w:t>These problems may have been exacerbated by institutional and/or liquidity effects, with capital flowing out of emerging market economies to allow banks or investment houses to meet margin calls. There was evidence of this happening at the time of the Asia crisis in 1997.</w:t>
      </w:r>
    </w:p>
    <w:p>
      <w:pPr>
        <w:pStyle w:val="BodyText"/>
        <w:spacing w:before="10"/>
        <w:rPr>
          <w:sz w:val="17"/>
        </w:rPr>
      </w:pPr>
    </w:p>
    <w:p>
      <w:pPr>
        <w:pStyle w:val="ListParagraph"/>
        <w:numPr>
          <w:ilvl w:val="0"/>
          <w:numId w:val="43"/>
        </w:numPr>
        <w:tabs>
          <w:tab w:pos="674" w:val="left" w:leader="none"/>
          <w:tab w:pos="675" w:val="left" w:leader="none"/>
        </w:tabs>
        <w:spacing w:line="232" w:lineRule="auto" w:before="0" w:after="0"/>
        <w:ind w:left="194" w:right="42" w:firstLine="0"/>
        <w:jc w:val="left"/>
        <w:rPr>
          <w:sz w:val="18"/>
        </w:rPr>
      </w:pPr>
      <w:r>
        <w:rPr>
          <w:color w:val="231F20"/>
          <w:sz w:val="18"/>
        </w:rPr>
        <w:t>The German banking system had a large direct exposure to Russia, though a good deal of this was backed by German government guarantees. The US banking system had a large exposure to Latin America. In the United Kingdom, banks’ largest exposures in emerging market economies were to Asia ($55 billion out of around $100 billion to emerging market economies in total </w:t>
      </w:r>
      <w:r>
        <w:rPr>
          <w:color w:val="231F20"/>
          <w:spacing w:val="-9"/>
          <w:sz w:val="18"/>
        </w:rPr>
        <w:t>at </w:t>
      </w:r>
      <w:r>
        <w:rPr>
          <w:color w:val="231F20"/>
          <w:sz w:val="18"/>
        </w:rPr>
        <w:t>end-1997), most of which was with Hong Kong.</w:t>
      </w:r>
    </w:p>
    <w:p>
      <w:pPr>
        <w:pStyle w:val="BodyText"/>
        <w:spacing w:before="11"/>
        <w:rPr>
          <w:sz w:val="16"/>
        </w:rPr>
      </w:pPr>
    </w:p>
    <w:p>
      <w:pPr>
        <w:pStyle w:val="ListParagraph"/>
        <w:numPr>
          <w:ilvl w:val="0"/>
          <w:numId w:val="43"/>
        </w:numPr>
        <w:tabs>
          <w:tab w:pos="674" w:val="left" w:leader="none"/>
          <w:tab w:pos="675" w:val="left" w:leader="none"/>
        </w:tabs>
        <w:spacing w:line="232" w:lineRule="auto" w:before="0" w:after="0"/>
        <w:ind w:left="194" w:right="48" w:firstLine="0"/>
        <w:jc w:val="left"/>
        <w:rPr>
          <w:sz w:val="18"/>
        </w:rPr>
      </w:pPr>
      <w:r>
        <w:rPr>
          <w:color w:val="231F20"/>
          <w:sz w:val="18"/>
        </w:rPr>
        <w:t>The yen had touched an eight-year low against the US dollar on 11 August of ¥147.6, but then started to appreciate as the likelihood of intervention was perceived to increase. More </w:t>
      </w:r>
      <w:r>
        <w:rPr>
          <w:color w:val="231F20"/>
          <w:spacing w:val="-3"/>
          <w:sz w:val="18"/>
        </w:rPr>
        <w:t>recently </w:t>
      </w:r>
      <w:r>
        <w:rPr>
          <w:color w:val="231F20"/>
          <w:sz w:val="18"/>
        </w:rPr>
        <w:t>the yen had strengthened to around ¥135 at the beginning of September. Japanese firms appeared to be buying back yen to offset losses caused by weakness in Japanese asset markets ahead of the half-year-end reporting. And hedge funds, which had gone short of yen earlier in the year, were also said to have liquidated profitable positions to offset losses on emerging market economies. Despite Japan being a major commodity importer, the yen and commodity prices had fallen together during 1998; both seemed to reflect weakness in Asian demand.</w:t>
      </w:r>
    </w:p>
    <w:p>
      <w:pPr>
        <w:pStyle w:val="BodyText"/>
        <w:spacing w:before="6"/>
        <w:rPr>
          <w:sz w:val="16"/>
        </w:rPr>
      </w:pPr>
    </w:p>
    <w:p>
      <w:pPr>
        <w:pStyle w:val="ListParagraph"/>
        <w:numPr>
          <w:ilvl w:val="0"/>
          <w:numId w:val="43"/>
        </w:numPr>
        <w:tabs>
          <w:tab w:pos="674" w:val="left" w:leader="none"/>
          <w:tab w:pos="675" w:val="left" w:leader="none"/>
        </w:tabs>
        <w:spacing w:line="232" w:lineRule="auto" w:before="0" w:after="0"/>
        <w:ind w:left="194" w:right="38" w:firstLine="0"/>
        <w:jc w:val="left"/>
        <w:rPr>
          <w:sz w:val="18"/>
        </w:rPr>
      </w:pPr>
      <w:r>
        <w:rPr>
          <w:color w:val="231F20"/>
          <w:sz w:val="18"/>
        </w:rPr>
        <w:t>The exchange rates of commodity exporters had continued </w:t>
      </w:r>
      <w:r>
        <w:rPr>
          <w:color w:val="231F20"/>
          <w:spacing w:val="-9"/>
          <w:sz w:val="18"/>
        </w:rPr>
        <w:t>to </w:t>
      </w:r>
      <w:r>
        <w:rPr>
          <w:color w:val="231F20"/>
          <w:sz w:val="18"/>
        </w:rPr>
        <w:t>fall. For example, the Canadian dollar and Norwegian krone both</w:t>
      </w:r>
    </w:p>
    <w:p>
      <w:pPr>
        <w:pStyle w:val="BodyText"/>
        <w:spacing w:line="232" w:lineRule="auto" w:before="98"/>
        <w:ind w:left="194" w:right="254"/>
      </w:pPr>
      <w:r>
        <w:rPr/>
        <w:br w:type="column"/>
      </w:r>
      <w:r>
        <w:rPr>
          <w:color w:val="231F20"/>
        </w:rPr>
        <w:t>fell sharply in August despite rises in official short term interest rates in both countries. Some European currencies also experienced weakness. But the pressure did not move the prospective euro members’ forward exchange rates for 1 January 1999 much from their central parities.</w:t>
      </w:r>
    </w:p>
    <w:p>
      <w:pPr>
        <w:pStyle w:val="BodyText"/>
        <w:spacing w:before="9"/>
      </w:pPr>
    </w:p>
    <w:p>
      <w:pPr>
        <w:pStyle w:val="ListParagraph"/>
        <w:numPr>
          <w:ilvl w:val="0"/>
          <w:numId w:val="43"/>
        </w:numPr>
        <w:tabs>
          <w:tab w:pos="674" w:val="left" w:leader="none"/>
          <w:tab w:pos="675" w:val="left" w:leader="none"/>
        </w:tabs>
        <w:spacing w:line="232" w:lineRule="auto" w:before="0" w:after="0"/>
        <w:ind w:left="194" w:right="362" w:firstLine="0"/>
        <w:jc w:val="left"/>
        <w:rPr>
          <w:sz w:val="18"/>
        </w:rPr>
      </w:pPr>
      <w:r>
        <w:rPr>
          <w:color w:val="231F20"/>
          <w:sz w:val="18"/>
        </w:rPr>
        <w:t>The Deutsche Mark had appeared to soften initially following the Russian turmoil, perhaps reflecting concerns about the impact on the German banking system. But as these fears abated the US dollar had depreciated quickly against both the DM and other currencies as US equity prices fell sharply. This may have reflected views that the US economy was more sensitive to changes in equity wealth than other countries, as well as its </w:t>
      </w:r>
      <w:r>
        <w:rPr>
          <w:color w:val="231F20"/>
          <w:spacing w:val="-3"/>
          <w:sz w:val="18"/>
        </w:rPr>
        <w:t>greater </w:t>
      </w:r>
      <w:r>
        <w:rPr>
          <w:color w:val="231F20"/>
          <w:sz w:val="18"/>
        </w:rPr>
        <w:t>vulnerability to events in Latin America.</w:t>
      </w:r>
    </w:p>
    <w:p>
      <w:pPr>
        <w:pStyle w:val="BodyText"/>
        <w:spacing w:before="6"/>
      </w:pPr>
    </w:p>
    <w:p>
      <w:pPr>
        <w:pStyle w:val="ListParagraph"/>
        <w:numPr>
          <w:ilvl w:val="0"/>
          <w:numId w:val="43"/>
        </w:numPr>
        <w:tabs>
          <w:tab w:pos="674" w:val="left" w:leader="none"/>
          <w:tab w:pos="675" w:val="left" w:leader="none"/>
        </w:tabs>
        <w:spacing w:line="232" w:lineRule="auto" w:before="1" w:after="0"/>
        <w:ind w:left="194" w:right="372" w:firstLine="0"/>
        <w:jc w:val="left"/>
        <w:rPr>
          <w:sz w:val="18"/>
        </w:rPr>
      </w:pPr>
      <w:r>
        <w:rPr>
          <w:color w:val="231F20"/>
          <w:sz w:val="18"/>
        </w:rPr>
        <w:t>Sterling initially rose following the Russian turmoil—with the UK effective exchange rate index increasing around 2</w:t>
      </w:r>
      <w:r>
        <w:rPr>
          <w:color w:val="231F20"/>
          <w:position w:val="6"/>
          <w:sz w:val="9"/>
        </w:rPr>
        <w:t>1</w:t>
      </w:r>
      <w:r>
        <w:rPr>
          <w:color w:val="231F20"/>
          <w:sz w:val="18"/>
        </w:rPr>
        <w:t>/</w:t>
      </w:r>
      <w:r>
        <w:rPr>
          <w:color w:val="231F20"/>
          <w:sz w:val="9"/>
        </w:rPr>
        <w:t>2</w:t>
      </w:r>
      <w:r>
        <w:rPr>
          <w:color w:val="231F20"/>
          <w:sz w:val="18"/>
        </w:rPr>
        <w:t>% to 106.7—as the United Kingdom was perceived to be relatively insulated from the emerging market problems. But as the market realised that concerns over the DM had been overdone sterling </w:t>
      </w:r>
      <w:r>
        <w:rPr>
          <w:color w:val="231F20"/>
          <w:spacing w:val="-5"/>
          <w:sz w:val="18"/>
        </w:rPr>
        <w:t>fell </w:t>
      </w:r>
      <w:r>
        <w:rPr>
          <w:color w:val="231F20"/>
          <w:sz w:val="18"/>
        </w:rPr>
        <w:t>back, reaching DM 2.87 on 9 September, slightly below the rate at the time of the previous MPC meeting. But sterling was around</w:t>
      </w:r>
    </w:p>
    <w:p>
      <w:pPr>
        <w:pStyle w:val="BodyText"/>
        <w:spacing w:line="197" w:lineRule="exact"/>
        <w:ind w:left="194"/>
      </w:pPr>
      <w:r>
        <w:rPr>
          <w:color w:val="231F20"/>
        </w:rPr>
        <w:t>2 cents higher against the dollar at $1.66.</w:t>
      </w:r>
    </w:p>
    <w:p>
      <w:pPr>
        <w:pStyle w:val="BodyText"/>
        <w:spacing w:before="10"/>
      </w:pPr>
    </w:p>
    <w:p>
      <w:pPr>
        <w:pStyle w:val="ListParagraph"/>
        <w:numPr>
          <w:ilvl w:val="0"/>
          <w:numId w:val="46"/>
        </w:numPr>
        <w:tabs>
          <w:tab w:pos="674" w:val="left" w:leader="none"/>
          <w:tab w:pos="675" w:val="left" w:leader="none"/>
        </w:tabs>
        <w:spacing w:line="232" w:lineRule="auto" w:before="1" w:after="0"/>
        <w:ind w:left="194" w:right="272" w:firstLine="0"/>
        <w:jc w:val="left"/>
        <w:rPr>
          <w:sz w:val="18"/>
        </w:rPr>
      </w:pPr>
      <w:r>
        <w:rPr>
          <w:color w:val="231F20"/>
          <w:sz w:val="18"/>
        </w:rPr>
        <w:t>Turning to domestic financial markets, these too had been influenced by the international turmoil as government bond </w:t>
      </w:r>
      <w:r>
        <w:rPr>
          <w:color w:val="231F20"/>
          <w:spacing w:val="-3"/>
          <w:sz w:val="18"/>
        </w:rPr>
        <w:t>markets </w:t>
      </w:r>
      <w:r>
        <w:rPr>
          <w:color w:val="231F20"/>
          <w:sz w:val="18"/>
        </w:rPr>
        <w:t>in industrialised countries received a flight of capital from emerging market economies. This had dominated the effect</w:t>
      </w:r>
    </w:p>
    <w:p>
      <w:pPr>
        <w:pStyle w:val="BodyText"/>
        <w:spacing w:line="232" w:lineRule="auto"/>
        <w:ind w:left="194" w:right="281"/>
      </w:pPr>
      <w:r>
        <w:rPr>
          <w:color w:val="231F20"/>
        </w:rPr>
        <w:t>of domestic data releases in the United Kingdom, though the earnings data were lower than the market had expected. Looking at the expected path for UK short-term interest rates, the main movement followed the fall in equities at the end of August and increased Russian turmoil. The market now seemed to expect an earlier and steeper fall in UK rates than previously. At the same time, expectations of rising rates in the US and Germany had receded.</w:t>
      </w:r>
    </w:p>
    <w:p>
      <w:pPr>
        <w:pStyle w:val="BodyText"/>
        <w:spacing w:before="3"/>
      </w:pPr>
    </w:p>
    <w:p>
      <w:pPr>
        <w:pStyle w:val="ListParagraph"/>
        <w:numPr>
          <w:ilvl w:val="0"/>
          <w:numId w:val="46"/>
        </w:numPr>
        <w:tabs>
          <w:tab w:pos="674" w:val="left" w:leader="none"/>
          <w:tab w:pos="675" w:val="left" w:leader="none"/>
        </w:tabs>
        <w:spacing w:line="232" w:lineRule="auto" w:before="0" w:after="0"/>
        <w:ind w:left="194" w:right="422" w:firstLine="0"/>
        <w:jc w:val="left"/>
        <w:rPr>
          <w:sz w:val="18"/>
        </w:rPr>
      </w:pPr>
      <w:r>
        <w:rPr>
          <w:color w:val="231F20"/>
          <w:sz w:val="18"/>
        </w:rPr>
        <w:t>Ten-year spot yields on government bonds had fallen in all of the G7 except for Canada (which had raised short-term interest rates); the fall in UK yields was in line with most others’ experience. In recent months the German and US yield curve </w:t>
      </w:r>
      <w:r>
        <w:rPr>
          <w:color w:val="231F20"/>
          <w:spacing w:val="-6"/>
          <w:sz w:val="18"/>
        </w:rPr>
        <w:t>had </w:t>
      </w:r>
      <w:r>
        <w:rPr>
          <w:color w:val="231F20"/>
          <w:sz w:val="18"/>
        </w:rPr>
        <w:t>flattened and the UK curve had become more steeply downward sloping.</w:t>
      </w:r>
    </w:p>
    <w:p>
      <w:pPr>
        <w:pStyle w:val="BodyText"/>
        <w:spacing w:before="9"/>
      </w:pPr>
    </w:p>
    <w:p>
      <w:pPr>
        <w:pStyle w:val="ListParagraph"/>
        <w:numPr>
          <w:ilvl w:val="0"/>
          <w:numId w:val="46"/>
        </w:numPr>
        <w:tabs>
          <w:tab w:pos="674" w:val="left" w:leader="none"/>
          <w:tab w:pos="675" w:val="left" w:leader="none"/>
        </w:tabs>
        <w:spacing w:line="232" w:lineRule="auto" w:before="0" w:after="0"/>
        <w:ind w:left="194" w:right="301" w:firstLine="0"/>
        <w:jc w:val="left"/>
        <w:rPr>
          <w:sz w:val="18"/>
        </w:rPr>
      </w:pPr>
      <w:r>
        <w:rPr>
          <w:color w:val="231F20"/>
          <w:sz w:val="18"/>
        </w:rPr>
        <w:t>The recent falls in equity prices globally had been, in general, larger than the falls experienced during October last year when the Asian turmoil arose. The steep falls in US and UK </w:t>
      </w:r>
      <w:r>
        <w:rPr>
          <w:color w:val="231F20"/>
          <w:spacing w:val="-3"/>
          <w:sz w:val="18"/>
        </w:rPr>
        <w:t>equity </w:t>
      </w:r>
      <w:r>
        <w:rPr>
          <w:color w:val="231F20"/>
          <w:sz w:val="18"/>
        </w:rPr>
        <w:t>prices at the end of August coincided with announcement of details of the Russian debt rescheduling on 26 August. Small UK firms’ share prices had fallen earlier and more sharply than those on the F</w:t>
      </w:r>
      <w:r>
        <w:rPr>
          <w:color w:val="231F20"/>
          <w:sz w:val="14"/>
        </w:rPr>
        <w:t>T-SE </w:t>
      </w:r>
      <w:r>
        <w:rPr>
          <w:color w:val="231F20"/>
          <w:sz w:val="18"/>
        </w:rPr>
        <w:t>100</w:t>
      </w:r>
      <w:r>
        <w:rPr>
          <w:color w:val="231F20"/>
          <w:spacing w:val="9"/>
          <w:sz w:val="18"/>
        </w:rPr>
        <w:t> </w:t>
      </w:r>
      <w:r>
        <w:rPr>
          <w:color w:val="231F20"/>
          <w:sz w:val="18"/>
        </w:rPr>
        <w:t>index.</w:t>
      </w:r>
    </w:p>
    <w:p>
      <w:pPr>
        <w:pStyle w:val="BodyText"/>
        <w:spacing w:before="7"/>
      </w:pPr>
    </w:p>
    <w:p>
      <w:pPr>
        <w:pStyle w:val="ListParagraph"/>
        <w:numPr>
          <w:ilvl w:val="0"/>
          <w:numId w:val="46"/>
        </w:numPr>
        <w:tabs>
          <w:tab w:pos="674" w:val="left" w:leader="none"/>
          <w:tab w:pos="675" w:val="left" w:leader="none"/>
        </w:tabs>
        <w:spacing w:line="232" w:lineRule="auto" w:before="0" w:after="0"/>
        <w:ind w:left="194" w:right="276" w:firstLine="0"/>
        <w:jc w:val="left"/>
        <w:rPr>
          <w:sz w:val="18"/>
        </w:rPr>
      </w:pPr>
      <w:r>
        <w:rPr>
          <w:color w:val="231F20"/>
          <w:sz w:val="18"/>
        </w:rPr>
        <w:t>Using a simple dividend discount model, it was possible to illustrate possible combinations of dividend yield, risk premia and implied real dividend growth which share price movements during the past month might imply. This suggested that the recent rise in dividend yield was consistent with only a relatively small rise in </w:t>
      </w:r>
      <w:r>
        <w:rPr>
          <w:color w:val="231F20"/>
          <w:spacing w:val="-6"/>
          <w:sz w:val="18"/>
        </w:rPr>
        <w:t>the </w:t>
      </w:r>
      <w:r>
        <w:rPr>
          <w:color w:val="231F20"/>
          <w:sz w:val="18"/>
        </w:rPr>
        <w:t>risk premium and a small fall in implied real dividend growth. Direct survey evidence showed analysts expectations of corporate earnings growth had fallen slightly in August for 1998/99 but not for 1999/2000.</w:t>
      </w:r>
    </w:p>
    <w:p>
      <w:pPr>
        <w:pStyle w:val="BodyText"/>
        <w:spacing w:before="3"/>
        <w:rPr>
          <w:sz w:val="20"/>
        </w:rPr>
      </w:pPr>
    </w:p>
    <w:p>
      <w:pPr>
        <w:pStyle w:val="ListParagraph"/>
        <w:numPr>
          <w:ilvl w:val="0"/>
          <w:numId w:val="46"/>
        </w:numPr>
        <w:tabs>
          <w:tab w:pos="674" w:val="left" w:leader="none"/>
          <w:tab w:pos="675" w:val="left" w:leader="none"/>
        </w:tabs>
        <w:spacing w:line="232" w:lineRule="auto" w:before="0" w:after="0"/>
        <w:ind w:left="194" w:right="291" w:firstLine="0"/>
        <w:jc w:val="left"/>
        <w:rPr>
          <w:sz w:val="18"/>
        </w:rPr>
      </w:pPr>
      <w:r>
        <w:rPr>
          <w:color w:val="231F20"/>
          <w:sz w:val="18"/>
        </w:rPr>
        <w:t>Implied volatility of the equity market had risen </w:t>
      </w:r>
      <w:r>
        <w:rPr>
          <w:color w:val="231F20"/>
          <w:spacing w:val="-2"/>
          <w:sz w:val="18"/>
        </w:rPr>
        <w:t>significantly </w:t>
      </w:r>
      <w:r>
        <w:rPr>
          <w:color w:val="231F20"/>
          <w:sz w:val="18"/>
        </w:rPr>
        <w:t>since the August MPC. The implied risk neutral distribution for equity returns had become wider and the probability attached to very large negative returns had increased.</w:t>
      </w:r>
    </w:p>
    <w:p>
      <w:pPr>
        <w:spacing w:after="0" w:line="232" w:lineRule="auto"/>
        <w:jc w:val="left"/>
        <w:rPr>
          <w:sz w:val="18"/>
        </w:rPr>
        <w:sectPr>
          <w:type w:val="continuous"/>
          <w:pgSz w:w="11900" w:h="16840"/>
          <w:pgMar w:top="1220" w:bottom="280" w:left="620" w:right="520"/>
          <w:cols w:num="2" w:equalWidth="0">
            <w:col w:w="5124" w:space="269"/>
            <w:col w:w="5367"/>
          </w:cols>
        </w:sectPr>
      </w:pPr>
    </w:p>
    <w:p>
      <w:pPr>
        <w:pStyle w:val="BodyText"/>
        <w:rPr>
          <w:sz w:val="20"/>
        </w:rPr>
      </w:pPr>
    </w:p>
    <w:p>
      <w:pPr>
        <w:spacing w:after="0"/>
        <w:rPr>
          <w:sz w:val="20"/>
        </w:rPr>
        <w:sectPr>
          <w:pgSz w:w="11900" w:h="16840"/>
          <w:pgMar w:header="566" w:footer="597" w:top="760" w:bottom="780" w:left="620" w:right="520"/>
        </w:sectPr>
      </w:pPr>
    </w:p>
    <w:p>
      <w:pPr>
        <w:pStyle w:val="BodyText"/>
        <w:spacing w:before="4"/>
        <w:rPr>
          <w:sz w:val="21"/>
        </w:rPr>
      </w:pPr>
    </w:p>
    <w:p>
      <w:pPr>
        <w:pStyle w:val="ListParagraph"/>
        <w:numPr>
          <w:ilvl w:val="0"/>
          <w:numId w:val="46"/>
        </w:numPr>
        <w:tabs>
          <w:tab w:pos="665" w:val="left" w:leader="none"/>
          <w:tab w:pos="666" w:val="left" w:leader="none"/>
        </w:tabs>
        <w:spacing w:line="232" w:lineRule="auto" w:before="1" w:after="0"/>
        <w:ind w:left="185" w:right="68" w:firstLine="0"/>
        <w:jc w:val="left"/>
        <w:rPr>
          <w:sz w:val="18"/>
        </w:rPr>
      </w:pPr>
      <w:r>
        <w:rPr>
          <w:color w:val="231F20"/>
          <w:sz w:val="18"/>
        </w:rPr>
        <w:t>A selection of corporate credit spreads over government bonds in both sterling and US dollars had widened during the past month, and in some cases more so than they had following the start of Asian turmoil last year. Swap spreads (which partly reflect </w:t>
      </w:r>
      <w:r>
        <w:rPr>
          <w:color w:val="231F20"/>
          <w:spacing w:val="-5"/>
          <w:sz w:val="18"/>
        </w:rPr>
        <w:t>bank </w:t>
      </w:r>
      <w:r>
        <w:rPr>
          <w:color w:val="231F20"/>
          <w:sz w:val="18"/>
        </w:rPr>
        <w:t>credit risk relative to government risk) had also increased considerably towards the end of August.</w:t>
      </w:r>
    </w:p>
    <w:p>
      <w:pPr>
        <w:pStyle w:val="ListParagraph"/>
        <w:numPr>
          <w:ilvl w:val="0"/>
          <w:numId w:val="45"/>
        </w:numPr>
        <w:tabs>
          <w:tab w:pos="665" w:val="left" w:leader="none"/>
          <w:tab w:pos="666" w:val="left" w:leader="none"/>
        </w:tabs>
        <w:spacing w:line="240" w:lineRule="auto" w:before="170" w:after="0"/>
        <w:ind w:left="665" w:right="0" w:hanging="481"/>
        <w:jc w:val="left"/>
        <w:rPr>
          <w:i/>
          <w:sz w:val="18"/>
        </w:rPr>
      </w:pPr>
      <w:r>
        <w:rPr>
          <w:i/>
          <w:color w:val="009483"/>
          <w:sz w:val="18"/>
        </w:rPr>
        <w:t>The international real economy</w:t>
      </w:r>
    </w:p>
    <w:p>
      <w:pPr>
        <w:pStyle w:val="ListParagraph"/>
        <w:numPr>
          <w:ilvl w:val="0"/>
          <w:numId w:val="46"/>
        </w:numPr>
        <w:tabs>
          <w:tab w:pos="665" w:val="left" w:leader="none"/>
          <w:tab w:pos="666" w:val="left" w:leader="none"/>
        </w:tabs>
        <w:spacing w:line="232" w:lineRule="auto" w:before="98" w:after="0"/>
        <w:ind w:left="185" w:right="73" w:firstLine="0"/>
        <w:jc w:val="left"/>
        <w:rPr>
          <w:sz w:val="18"/>
        </w:rPr>
      </w:pPr>
      <w:r>
        <w:rPr>
          <w:color w:val="231F20"/>
          <w:sz w:val="18"/>
        </w:rPr>
        <w:t>The US economy remained relatively robust. In the United States, consumption growth was slowing but remained strong, with nominal retail sales having grown 4.4% on a year earlier in July. The recent fall in consumer confidence, which was largely due to a deterioration in expectations of future economic conditions, suggested a further slowing in US consumption in the near future. There was some evidence of a split between manufacturing and services activity. Service sector activity and employment was growing more strongly than manufacturing, even after adjusting </w:t>
      </w:r>
      <w:r>
        <w:rPr>
          <w:color w:val="231F20"/>
          <w:spacing w:val="-6"/>
          <w:sz w:val="18"/>
        </w:rPr>
        <w:t>for </w:t>
      </w:r>
      <w:r>
        <w:rPr>
          <w:color w:val="231F20"/>
          <w:sz w:val="18"/>
        </w:rPr>
        <w:t>the effects of the GM strike. This pattern had also been apparent </w:t>
      </w:r>
      <w:r>
        <w:rPr>
          <w:color w:val="231F20"/>
          <w:spacing w:val="-6"/>
          <w:sz w:val="18"/>
        </w:rPr>
        <w:t>in </w:t>
      </w:r>
      <w:r>
        <w:rPr>
          <w:color w:val="231F20"/>
          <w:sz w:val="18"/>
        </w:rPr>
        <w:t>labour cost data and the National Association of Purchasing Managers’ surveys.</w:t>
      </w:r>
    </w:p>
    <w:p>
      <w:pPr>
        <w:pStyle w:val="ListParagraph"/>
        <w:numPr>
          <w:ilvl w:val="0"/>
          <w:numId w:val="46"/>
        </w:numPr>
        <w:tabs>
          <w:tab w:pos="665" w:val="left" w:leader="none"/>
          <w:tab w:pos="666" w:val="left" w:leader="none"/>
        </w:tabs>
        <w:spacing w:line="232" w:lineRule="auto" w:before="171" w:after="0"/>
        <w:ind w:left="185" w:right="47" w:firstLine="0"/>
        <w:jc w:val="left"/>
        <w:rPr>
          <w:sz w:val="18"/>
        </w:rPr>
      </w:pPr>
      <w:r>
        <w:rPr>
          <w:color w:val="231F20"/>
          <w:sz w:val="18"/>
        </w:rPr>
        <w:t>Although French GDP rose by 0.7% during 1998 Q2, growth in the prospective euro-currency area as a whole was likely to have been a little weaker. That largely reflected weak German growth </w:t>
      </w:r>
      <w:r>
        <w:rPr>
          <w:color w:val="231F20"/>
          <w:spacing w:val="-8"/>
          <w:sz w:val="18"/>
        </w:rPr>
        <w:t>as </w:t>
      </w:r>
      <w:r>
        <w:rPr>
          <w:color w:val="231F20"/>
          <w:sz w:val="18"/>
        </w:rPr>
        <w:t>the increase in consumption in Q1, caused by the impending VAT increase, unwound. Industrial production in the euro-area was also slowing.  But industrial confidence remained strong with declines in Italy and Germany offset by improvements elsewhere. Retail sales continued to grow strongly and this was mirrored in continued improvements in consumer confidence.</w:t>
      </w:r>
    </w:p>
    <w:p>
      <w:pPr>
        <w:pStyle w:val="BodyText"/>
        <w:spacing w:before="9"/>
        <w:rPr>
          <w:sz w:val="16"/>
        </w:rPr>
      </w:pPr>
    </w:p>
    <w:p>
      <w:pPr>
        <w:pStyle w:val="ListParagraph"/>
        <w:numPr>
          <w:ilvl w:val="0"/>
          <w:numId w:val="46"/>
        </w:numPr>
        <w:tabs>
          <w:tab w:pos="665" w:val="left" w:leader="none"/>
          <w:tab w:pos="666" w:val="left" w:leader="none"/>
        </w:tabs>
        <w:spacing w:line="232" w:lineRule="auto" w:before="0" w:after="0"/>
        <w:ind w:left="185" w:right="62" w:firstLine="0"/>
        <w:jc w:val="left"/>
        <w:rPr>
          <w:sz w:val="18"/>
        </w:rPr>
      </w:pPr>
      <w:r>
        <w:rPr>
          <w:color w:val="231F20"/>
          <w:sz w:val="18"/>
        </w:rPr>
        <w:t>The Japanese economy continued to weaken. Industrial production fell 9.3% in July on a year earlier, and with inventory levels still high, further cuts in production were likely. The Economic Planning Agency had indicated that GDP could fall in both the second and third quarters of 1998. Private consumption remained depressed. Real household spending fell 3.4% in July on a year earlier. There was little sign that the earlier economic packages were having much effect on activity. The ability of local governments to shoulder their burden of public works spending </w:t>
      </w:r>
      <w:r>
        <w:rPr>
          <w:color w:val="231F20"/>
          <w:spacing w:val="-6"/>
          <w:sz w:val="18"/>
        </w:rPr>
        <w:t>had </w:t>
      </w:r>
      <w:r>
        <w:rPr>
          <w:color w:val="231F20"/>
          <w:sz w:val="18"/>
        </w:rPr>
        <w:t>been hampered by their fiscal deficits. Construction and housing starts continued to fall. However, Japanese exporters had managed to offset some of the fall in demand from Asia by switching to US and European markets.</w:t>
      </w:r>
    </w:p>
    <w:p>
      <w:pPr>
        <w:pStyle w:val="ListParagraph"/>
        <w:numPr>
          <w:ilvl w:val="0"/>
          <w:numId w:val="46"/>
        </w:numPr>
        <w:tabs>
          <w:tab w:pos="665" w:val="left" w:leader="none"/>
          <w:tab w:pos="666" w:val="left" w:leader="none"/>
        </w:tabs>
        <w:spacing w:line="232" w:lineRule="auto" w:before="170" w:after="0"/>
        <w:ind w:left="185" w:right="38" w:firstLine="0"/>
        <w:jc w:val="left"/>
        <w:rPr>
          <w:sz w:val="18"/>
        </w:rPr>
      </w:pPr>
      <w:r>
        <w:rPr>
          <w:color w:val="231F20"/>
          <w:sz w:val="18"/>
        </w:rPr>
        <w:t>The Russian economy had very limited trade links to </w:t>
      </w:r>
      <w:r>
        <w:rPr>
          <w:color w:val="231F20"/>
          <w:spacing w:val="-3"/>
          <w:sz w:val="18"/>
        </w:rPr>
        <w:t>Europe, </w:t>
      </w:r>
      <w:r>
        <w:rPr>
          <w:color w:val="231F20"/>
          <w:sz w:val="18"/>
        </w:rPr>
        <w:t>accounting for 0.7% of UK exports and 1.1% of EU exports. The main risk for G7 economies from Russian instability therefore probably lay in financial market contagion. A world financial crisis would affect UK GDP and RPIX in three main ways. UK net trade could be adversely affected by lower external demand and a possible safe-haven effect on sterling. Domestic demand could be affected by changes in wealth and confidence. Last, import prices could fall due to weaker commodity prices.</w:t>
      </w:r>
    </w:p>
    <w:p>
      <w:pPr>
        <w:pStyle w:val="BodyText"/>
        <w:rPr>
          <w:sz w:val="20"/>
        </w:rPr>
      </w:pPr>
    </w:p>
    <w:p>
      <w:pPr>
        <w:pStyle w:val="Heading6"/>
        <w:numPr>
          <w:ilvl w:val="0"/>
          <w:numId w:val="44"/>
        </w:numPr>
        <w:tabs>
          <w:tab w:pos="665" w:val="left" w:leader="none"/>
          <w:tab w:pos="666" w:val="left" w:leader="none"/>
        </w:tabs>
        <w:spacing w:line="240" w:lineRule="auto" w:before="0" w:after="0"/>
        <w:ind w:left="665" w:right="0" w:hanging="481"/>
        <w:jc w:val="left"/>
      </w:pPr>
      <w:r>
        <w:rPr>
          <w:color w:val="009483"/>
        </w:rPr>
        <w:t>Monetary conditions</w:t>
      </w:r>
    </w:p>
    <w:p>
      <w:pPr>
        <w:pStyle w:val="ListParagraph"/>
        <w:numPr>
          <w:ilvl w:val="0"/>
          <w:numId w:val="46"/>
        </w:numPr>
        <w:tabs>
          <w:tab w:pos="665" w:val="left" w:leader="none"/>
          <w:tab w:pos="666" w:val="left" w:leader="none"/>
        </w:tabs>
        <w:spacing w:line="203" w:lineRule="exact" w:before="85" w:after="0"/>
        <w:ind w:left="665" w:right="0" w:hanging="481"/>
        <w:jc w:val="left"/>
        <w:rPr>
          <w:sz w:val="18"/>
        </w:rPr>
      </w:pPr>
      <w:r>
        <w:rPr>
          <w:color w:val="231F20"/>
          <w:sz w:val="18"/>
        </w:rPr>
        <w:t>Aggregate M4 growth had risen sharply in July. The</w:t>
      </w:r>
    </w:p>
    <w:p>
      <w:pPr>
        <w:pStyle w:val="BodyText"/>
        <w:spacing w:line="232" w:lineRule="auto" w:before="1"/>
        <w:ind w:left="185" w:right="88"/>
      </w:pPr>
      <w:r>
        <w:rPr>
          <w:color w:val="231F20"/>
        </w:rPr>
        <w:t>one-month growth rate was 1.4% and the twelve-month rate had risen to 10.3%, from an upwardly revised 9.3% in June. This strong outturn was partly accounted for by increased repo-market activity. Wholesale deposits had risen by 2.2% in July, and the twelve-month growth rate had risen by 1.2 percentage points to 18.3%. Retail deposits were also strong at 1.1% in July, following a weak outturn in June. However, the unusual pattern of retail inflows in June and July during the previous two years may have distorted the seasonal adjustment factors applied to unadjusted </w:t>
      </w:r>
      <w:r>
        <w:rPr>
          <w:color w:val="231F20"/>
          <w:spacing w:val="-5"/>
        </w:rPr>
        <w:t>data </w:t>
      </w:r>
      <w:r>
        <w:rPr>
          <w:color w:val="231F20"/>
        </w:rPr>
        <w:t>in July 1998. The average one-month growth rate over June and July 1998 was 0.6%.</w:t>
      </w:r>
    </w:p>
    <w:p>
      <w:pPr>
        <w:pStyle w:val="ListParagraph"/>
        <w:numPr>
          <w:ilvl w:val="0"/>
          <w:numId w:val="46"/>
        </w:numPr>
        <w:tabs>
          <w:tab w:pos="665" w:val="left" w:leader="none"/>
          <w:tab w:pos="666" w:val="left" w:leader="none"/>
        </w:tabs>
        <w:spacing w:line="232" w:lineRule="auto" w:before="172" w:after="0"/>
        <w:ind w:left="185" w:right="158" w:firstLine="0"/>
        <w:jc w:val="left"/>
        <w:rPr>
          <w:sz w:val="18"/>
        </w:rPr>
      </w:pPr>
      <w:r>
        <w:rPr>
          <w:color w:val="231F20"/>
          <w:sz w:val="18"/>
        </w:rPr>
        <w:t>Sectoral data indicated that persons’ deposits had risen by 1.1% in July and 6.7% on a year earlier, in line with the</w:t>
      </w:r>
      <w:r>
        <w:rPr>
          <w:color w:val="231F20"/>
          <w:spacing w:val="-17"/>
          <w:sz w:val="18"/>
        </w:rPr>
        <w:t> </w:t>
      </w:r>
      <w:r>
        <w:rPr>
          <w:color w:val="231F20"/>
          <w:sz w:val="18"/>
        </w:rPr>
        <w:t>behaviour</w:t>
      </w:r>
    </w:p>
    <w:p>
      <w:pPr>
        <w:pStyle w:val="BodyText"/>
        <w:spacing w:before="4"/>
        <w:rPr>
          <w:sz w:val="21"/>
        </w:rPr>
      </w:pPr>
      <w:r>
        <w:rPr/>
        <w:br w:type="column"/>
      </w:r>
      <w:r>
        <w:rPr>
          <w:sz w:val="21"/>
        </w:rPr>
      </w:r>
    </w:p>
    <w:p>
      <w:pPr>
        <w:pStyle w:val="BodyText"/>
        <w:spacing w:line="232" w:lineRule="auto" w:before="1"/>
        <w:ind w:left="185" w:right="417"/>
      </w:pPr>
      <w:r>
        <w:rPr>
          <w:color w:val="231F20"/>
        </w:rPr>
        <w:t>of retail deposits. Looking at the institutional split of persons M4, twelve-month growth in building society deposits at 12% had continued to exceed bank deposits growth at 6.7%.</w:t>
      </w:r>
    </w:p>
    <w:p>
      <w:pPr>
        <w:pStyle w:val="BodyText"/>
        <w:spacing w:before="2"/>
        <w:rPr>
          <w:sz w:val="17"/>
        </w:rPr>
      </w:pPr>
    </w:p>
    <w:p>
      <w:pPr>
        <w:pStyle w:val="ListParagraph"/>
        <w:numPr>
          <w:ilvl w:val="0"/>
          <w:numId w:val="46"/>
        </w:numPr>
        <w:tabs>
          <w:tab w:pos="665" w:val="left" w:leader="none"/>
          <w:tab w:pos="666" w:val="left" w:leader="none"/>
        </w:tabs>
        <w:spacing w:line="232" w:lineRule="auto" w:before="0" w:after="0"/>
        <w:ind w:left="185" w:right="294" w:firstLine="0"/>
        <w:jc w:val="left"/>
        <w:rPr>
          <w:sz w:val="18"/>
        </w:rPr>
      </w:pPr>
      <w:r>
        <w:rPr>
          <w:color w:val="231F20"/>
          <w:sz w:val="18"/>
        </w:rPr>
        <w:t>ICCs’ deposits had grown by 0.9% in July and the annual rate of growth in 1998 Q2 had been revised up by 0.5 percentage points to 5.8%. Robust growth in OFIs’ deposits of 2.8% in July had in part been accounted for strong repo activity. It had also </w:t>
      </w:r>
      <w:r>
        <w:rPr>
          <w:color w:val="231F20"/>
          <w:spacing w:val="-5"/>
          <w:sz w:val="18"/>
        </w:rPr>
        <w:t>been </w:t>
      </w:r>
      <w:r>
        <w:rPr>
          <w:color w:val="231F20"/>
          <w:sz w:val="18"/>
        </w:rPr>
        <w:t>consistent with a recent Merrill Lynch-Gallup survey of major UK pension fund managers’ asset allocation intentions which suggested the share of cash in L</w:t>
      </w:r>
      <w:r>
        <w:rPr>
          <w:color w:val="231F20"/>
          <w:sz w:val="14"/>
        </w:rPr>
        <w:t>APF</w:t>
      </w:r>
      <w:r>
        <w:rPr>
          <w:color w:val="231F20"/>
          <w:sz w:val="18"/>
        </w:rPr>
        <w:t>s’ portfolios had</w:t>
      </w:r>
      <w:r>
        <w:rPr>
          <w:color w:val="231F20"/>
          <w:spacing w:val="-1"/>
          <w:sz w:val="18"/>
        </w:rPr>
        <w:t> </w:t>
      </w:r>
      <w:r>
        <w:rPr>
          <w:color w:val="231F20"/>
          <w:sz w:val="18"/>
        </w:rPr>
        <w:t>risen.</w:t>
      </w:r>
    </w:p>
    <w:p>
      <w:pPr>
        <w:pStyle w:val="BodyText"/>
        <w:spacing w:before="10"/>
        <w:rPr>
          <w:sz w:val="16"/>
        </w:rPr>
      </w:pPr>
    </w:p>
    <w:p>
      <w:pPr>
        <w:pStyle w:val="ListParagraph"/>
        <w:numPr>
          <w:ilvl w:val="0"/>
          <w:numId w:val="46"/>
        </w:numPr>
        <w:tabs>
          <w:tab w:pos="666" w:val="left" w:leader="none"/>
        </w:tabs>
        <w:spacing w:line="232" w:lineRule="auto" w:before="0" w:after="0"/>
        <w:ind w:left="185" w:right="403" w:firstLine="0"/>
        <w:jc w:val="both"/>
        <w:rPr>
          <w:sz w:val="18"/>
        </w:rPr>
      </w:pPr>
      <w:r>
        <w:rPr>
          <w:color w:val="231F20"/>
          <w:sz w:val="18"/>
        </w:rPr>
        <w:t>M4 lending had risen sharply in July following a weak </w:t>
      </w:r>
      <w:r>
        <w:rPr>
          <w:color w:val="231F20"/>
          <w:spacing w:val="-5"/>
          <w:sz w:val="18"/>
        </w:rPr>
        <w:t>June </w:t>
      </w:r>
      <w:r>
        <w:rPr>
          <w:color w:val="231F20"/>
          <w:sz w:val="18"/>
        </w:rPr>
        <w:t>outturn. The one-month growth rate had risen to 1.1% from 0.4% in June and the twelve-month growth rate had risen by</w:t>
      </w:r>
    </w:p>
    <w:p>
      <w:pPr>
        <w:pStyle w:val="BodyText"/>
        <w:spacing w:line="232" w:lineRule="auto"/>
        <w:ind w:left="185" w:right="347"/>
      </w:pPr>
      <w:r>
        <w:rPr>
          <w:color w:val="231F20"/>
        </w:rPr>
        <w:t>0.7 percentage points to 8.5%. The sectoral breakdown indicated strong lending to individuals. In particular, total net secured lending had risen by 0.6% in July, the highest monthly rate since the series began in April 1993. Figures from the Council of Mortgage Lenders and estimates by Bank staff suggested that remortgaging activity remained robust. There was also evidence </w:t>
      </w:r>
      <w:r>
        <w:rPr>
          <w:color w:val="231F20"/>
          <w:spacing w:val="-9"/>
        </w:rPr>
        <w:t>of </w:t>
      </w:r>
      <w:r>
        <w:rPr>
          <w:color w:val="231F20"/>
        </w:rPr>
        <w:t>a rising share of new business and remortgaging being undertaken at fixed rates. Unsecured lending had continued to rise strongly, with the twelve-month rate at 16.3% in July; the twelve-month growth in credit card lending had remained high at 25.7%.</w:t>
      </w:r>
    </w:p>
    <w:p>
      <w:pPr>
        <w:pStyle w:val="BodyText"/>
        <w:spacing w:before="6"/>
        <w:rPr>
          <w:sz w:val="16"/>
        </w:rPr>
      </w:pPr>
    </w:p>
    <w:p>
      <w:pPr>
        <w:pStyle w:val="ListParagraph"/>
        <w:numPr>
          <w:ilvl w:val="0"/>
          <w:numId w:val="46"/>
        </w:numPr>
        <w:tabs>
          <w:tab w:pos="665" w:val="left" w:leader="none"/>
          <w:tab w:pos="666" w:val="left" w:leader="none"/>
        </w:tabs>
        <w:spacing w:line="232" w:lineRule="auto" w:before="0" w:after="0"/>
        <w:ind w:left="185" w:right="373" w:firstLine="0"/>
        <w:jc w:val="left"/>
        <w:rPr>
          <w:sz w:val="18"/>
        </w:rPr>
      </w:pPr>
      <w:r>
        <w:rPr>
          <w:color w:val="231F20"/>
          <w:sz w:val="18"/>
        </w:rPr>
        <w:t>M4 lending to ICCs had been flat in July, following a fall </w:t>
      </w:r>
      <w:r>
        <w:rPr>
          <w:color w:val="231F20"/>
          <w:spacing w:val="-7"/>
          <w:sz w:val="18"/>
        </w:rPr>
        <w:t>of </w:t>
      </w:r>
      <w:r>
        <w:rPr>
          <w:color w:val="231F20"/>
          <w:sz w:val="18"/>
        </w:rPr>
        <w:t>0.2% in June. But despite weak sterling bank lending, ICCs’ total external finance had remained robust due to strong sterling capital issues and foreign currency borrowing. OFIs’ borrowing had </w:t>
      </w:r>
      <w:r>
        <w:rPr>
          <w:color w:val="231F20"/>
          <w:spacing w:val="-4"/>
          <w:sz w:val="18"/>
        </w:rPr>
        <w:t>risen </w:t>
      </w:r>
      <w:r>
        <w:rPr>
          <w:color w:val="231F20"/>
          <w:sz w:val="18"/>
        </w:rPr>
        <w:t>sharply by 3.3% in July on a month earlier, largely accounted for by strong reverse repo activity. The twelve-month growth rate remained generally weaker than in 1997.</w:t>
      </w:r>
    </w:p>
    <w:p>
      <w:pPr>
        <w:pStyle w:val="BodyText"/>
        <w:spacing w:before="11"/>
        <w:rPr>
          <w:sz w:val="16"/>
        </w:rPr>
      </w:pPr>
    </w:p>
    <w:p>
      <w:pPr>
        <w:pStyle w:val="ListParagraph"/>
        <w:numPr>
          <w:ilvl w:val="0"/>
          <w:numId w:val="46"/>
        </w:numPr>
        <w:tabs>
          <w:tab w:pos="665" w:val="left" w:leader="none"/>
          <w:tab w:pos="666" w:val="left" w:leader="none"/>
        </w:tabs>
        <w:spacing w:line="232" w:lineRule="auto" w:before="0" w:after="0"/>
        <w:ind w:left="185" w:right="312" w:firstLine="0"/>
        <w:jc w:val="left"/>
        <w:rPr>
          <w:sz w:val="18"/>
        </w:rPr>
      </w:pPr>
      <w:r>
        <w:rPr>
          <w:color w:val="231F20"/>
          <w:sz w:val="18"/>
        </w:rPr>
        <w:t>Turning to the price component of monetary developments, most banks and building societies had now passed through the </w:t>
      </w:r>
      <w:r>
        <w:rPr>
          <w:color w:val="231F20"/>
          <w:spacing w:val="-5"/>
          <w:sz w:val="18"/>
        </w:rPr>
        <w:t>most </w:t>
      </w:r>
      <w:r>
        <w:rPr>
          <w:color w:val="231F20"/>
          <w:sz w:val="18"/>
        </w:rPr>
        <w:t>recent rise in official interest rates and there had been little change on the month in retail rates. But fixed rate mortgages had risen for a second successive month despite a fall in swap rates.</w:t>
      </w:r>
    </w:p>
    <w:p>
      <w:pPr>
        <w:pStyle w:val="BodyText"/>
        <w:rPr>
          <w:sz w:val="17"/>
        </w:rPr>
      </w:pPr>
    </w:p>
    <w:p>
      <w:pPr>
        <w:pStyle w:val="ListParagraph"/>
        <w:numPr>
          <w:ilvl w:val="0"/>
          <w:numId w:val="46"/>
        </w:numPr>
        <w:tabs>
          <w:tab w:pos="665" w:val="left" w:leader="none"/>
          <w:tab w:pos="666" w:val="left" w:leader="none"/>
        </w:tabs>
        <w:spacing w:line="232" w:lineRule="auto" w:before="1" w:after="0"/>
        <w:ind w:left="185" w:right="383" w:firstLine="0"/>
        <w:jc w:val="left"/>
        <w:rPr>
          <w:sz w:val="18"/>
        </w:rPr>
      </w:pPr>
      <w:r>
        <w:rPr>
          <w:color w:val="231F20"/>
          <w:sz w:val="18"/>
        </w:rPr>
        <w:t>The short-term RPIX expectations of outside forecasters with respect to a fixed end-point, as surveyed by Consensus Economics, HM Treasury and Merrill Lynch-Gallup, had nudged down in August. This had offset similar rises in July and had </w:t>
      </w:r>
      <w:r>
        <w:rPr>
          <w:color w:val="231F20"/>
          <w:spacing w:val="-5"/>
          <w:sz w:val="18"/>
        </w:rPr>
        <w:t>been </w:t>
      </w:r>
      <w:r>
        <w:rPr>
          <w:color w:val="231F20"/>
          <w:sz w:val="18"/>
        </w:rPr>
        <w:t>in line with recent movements in current RPIX inflation. Forecasters’ expectations for RPIX inflation at the end of 1999 remained fairly close to the inflation target.</w:t>
      </w:r>
    </w:p>
    <w:p>
      <w:pPr>
        <w:pStyle w:val="BodyText"/>
        <w:spacing w:before="10"/>
        <w:rPr>
          <w:sz w:val="16"/>
        </w:rPr>
      </w:pPr>
    </w:p>
    <w:p>
      <w:pPr>
        <w:pStyle w:val="ListParagraph"/>
        <w:numPr>
          <w:ilvl w:val="0"/>
          <w:numId w:val="46"/>
        </w:numPr>
        <w:tabs>
          <w:tab w:pos="665" w:val="left" w:leader="none"/>
          <w:tab w:pos="666" w:val="left" w:leader="none"/>
        </w:tabs>
        <w:spacing w:line="232" w:lineRule="auto" w:before="0" w:after="0"/>
        <w:ind w:left="185" w:right="309" w:firstLine="0"/>
        <w:jc w:val="left"/>
        <w:rPr>
          <w:sz w:val="18"/>
        </w:rPr>
      </w:pPr>
      <w:r>
        <w:rPr>
          <w:color w:val="231F20"/>
          <w:sz w:val="18"/>
        </w:rPr>
        <w:t>In wholesale markets, expected three-month inter-bank rates implied by sterling futures contracts had moved down across all maturities since the previous MPC meeting. A profile of falling rates remained priced into short sterling futures, with the December 1999 contract implying nominal rates of close to 6%. Expectations of inflation in ten years time and real forward rates, as derived </w:t>
      </w:r>
      <w:r>
        <w:rPr>
          <w:color w:val="231F20"/>
          <w:spacing w:val="-5"/>
          <w:sz w:val="18"/>
        </w:rPr>
        <w:t>from </w:t>
      </w:r>
      <w:r>
        <w:rPr>
          <w:color w:val="231F20"/>
          <w:sz w:val="18"/>
        </w:rPr>
        <w:t>index-linked gilts, had changed little over the month. But</w:t>
      </w:r>
    </w:p>
    <w:p>
      <w:pPr>
        <w:pStyle w:val="BodyText"/>
        <w:spacing w:line="232" w:lineRule="auto"/>
        <w:ind w:left="185" w:right="583"/>
        <w:jc w:val="both"/>
      </w:pPr>
      <w:r>
        <w:rPr>
          <w:color w:val="231F20"/>
        </w:rPr>
        <w:t>three-year real forward rates and inflation expectations, derived from index-linked gilts had fallen by around 30 basis points </w:t>
      </w:r>
      <w:r>
        <w:rPr>
          <w:color w:val="231F20"/>
          <w:spacing w:val="-6"/>
        </w:rPr>
        <w:t>and </w:t>
      </w:r>
      <w:r>
        <w:rPr>
          <w:color w:val="231F20"/>
        </w:rPr>
        <w:t>20 basis points respectively. There was also evidence that</w:t>
      </w:r>
    </w:p>
    <w:p>
      <w:pPr>
        <w:pStyle w:val="BodyText"/>
        <w:spacing w:line="232" w:lineRule="auto"/>
        <w:ind w:left="185" w:right="296"/>
      </w:pPr>
      <w:r>
        <w:rPr>
          <w:color w:val="231F20"/>
        </w:rPr>
        <w:t>corporate bond and swap spreads over gilt yields had widened quite substantially during the month. If this were the case, the cost of capital for persons and corporates might be little changed overall.</w:t>
      </w:r>
    </w:p>
    <w:p>
      <w:pPr>
        <w:pStyle w:val="BodyText"/>
        <w:spacing w:before="1"/>
        <w:rPr>
          <w:sz w:val="16"/>
        </w:rPr>
      </w:pPr>
    </w:p>
    <w:p>
      <w:pPr>
        <w:pStyle w:val="ListParagraph"/>
        <w:numPr>
          <w:ilvl w:val="0"/>
          <w:numId w:val="46"/>
        </w:numPr>
        <w:tabs>
          <w:tab w:pos="665" w:val="left" w:leader="none"/>
          <w:tab w:pos="666" w:val="left" w:leader="none"/>
        </w:tabs>
        <w:spacing w:line="203" w:lineRule="exact" w:before="0" w:after="0"/>
        <w:ind w:left="665" w:right="0" w:hanging="481"/>
        <w:jc w:val="left"/>
        <w:rPr>
          <w:sz w:val="18"/>
        </w:rPr>
      </w:pPr>
      <w:r>
        <w:rPr>
          <w:color w:val="231F20"/>
          <w:sz w:val="18"/>
        </w:rPr>
        <w:t>Sterling had been volatile over the month but by</w:t>
      </w:r>
    </w:p>
    <w:p>
      <w:pPr>
        <w:pStyle w:val="BodyText"/>
        <w:spacing w:line="232" w:lineRule="auto" w:before="2"/>
        <w:ind w:left="185" w:right="303"/>
      </w:pPr>
      <w:r>
        <w:rPr>
          <w:color w:val="231F20"/>
        </w:rPr>
        <w:t>9 September the nominal effective exchange rate was just 0.6% lower than at the previous MPC meeting; the broad ERI, incorporating 49 currencies, had fallen by 0.1%. The forward path of the ERI implied by nominal interest rate differentials suggested </w:t>
      </w:r>
      <w:r>
        <w:rPr>
          <w:color w:val="231F20"/>
          <w:spacing w:val="-17"/>
        </w:rPr>
        <w:t>a </w:t>
      </w:r>
      <w:r>
        <w:rPr>
          <w:color w:val="231F20"/>
        </w:rPr>
        <w:t>similar depreciation path to that incorporated in the August </w:t>
      </w:r>
      <w:r>
        <w:rPr>
          <w:i/>
          <w:color w:val="231F20"/>
        </w:rPr>
        <w:t>Inflation Report</w:t>
      </w:r>
      <w:r>
        <w:rPr>
          <w:color w:val="231F20"/>
        </w:rPr>
        <w:t>.  UK and overseas forward interest rates had moved broadly together during August suggesting little net monetary news during the month. Evidence from the Consensus Economics survey of exchange rates had suggested that the sterling</w:t>
      </w:r>
    </w:p>
    <w:p>
      <w:pPr>
        <w:spacing w:after="0" w:line="232" w:lineRule="auto"/>
        <w:sectPr>
          <w:type w:val="continuous"/>
          <w:pgSz w:w="11900" w:h="16840"/>
          <w:pgMar w:top="1220" w:bottom="280" w:left="620" w:right="520"/>
          <w:cols w:num="2" w:equalWidth="0">
            <w:col w:w="5125" w:space="255"/>
            <w:col w:w="5380"/>
          </w:cols>
        </w:sectPr>
      </w:pPr>
    </w:p>
    <w:p>
      <w:pPr>
        <w:pStyle w:val="BodyText"/>
        <w:rPr>
          <w:sz w:val="20"/>
        </w:rPr>
      </w:pPr>
    </w:p>
    <w:p>
      <w:pPr>
        <w:spacing w:after="0"/>
        <w:rPr>
          <w:sz w:val="20"/>
        </w:rPr>
        <w:sectPr>
          <w:pgSz w:w="11900" w:h="16840"/>
          <w:pgMar w:header="566" w:footer="597" w:top="760" w:bottom="780" w:left="620" w:right="520"/>
        </w:sectPr>
      </w:pPr>
    </w:p>
    <w:p>
      <w:pPr>
        <w:pStyle w:val="BodyText"/>
        <w:spacing w:before="7"/>
        <w:rPr>
          <w:sz w:val="19"/>
        </w:rPr>
      </w:pPr>
    </w:p>
    <w:p>
      <w:pPr>
        <w:pStyle w:val="BodyText"/>
        <w:spacing w:line="232" w:lineRule="auto" w:before="1"/>
        <w:ind w:left="180"/>
      </w:pPr>
      <w:r>
        <w:rPr>
          <w:color w:val="231F20"/>
        </w:rPr>
        <w:t>risk premium had been rising in recent months. But the most </w:t>
      </w:r>
      <w:r>
        <w:rPr>
          <w:color w:val="231F20"/>
          <w:spacing w:val="-3"/>
        </w:rPr>
        <w:t>recent </w:t>
      </w:r>
      <w:r>
        <w:rPr>
          <w:color w:val="231F20"/>
        </w:rPr>
        <w:t>survey on August 10 indicated a fall, perhaps consistent with a change in foreign currency risk premia in favour of sterling given concerns about financial fragility overseas.</w:t>
      </w:r>
    </w:p>
    <w:p>
      <w:pPr>
        <w:pStyle w:val="BodyText"/>
        <w:spacing w:before="4"/>
        <w:rPr>
          <w:sz w:val="20"/>
        </w:rPr>
      </w:pPr>
    </w:p>
    <w:p>
      <w:pPr>
        <w:pStyle w:val="Heading6"/>
        <w:numPr>
          <w:ilvl w:val="0"/>
          <w:numId w:val="44"/>
        </w:numPr>
        <w:tabs>
          <w:tab w:pos="660" w:val="left" w:leader="none"/>
          <w:tab w:pos="661" w:val="left" w:leader="none"/>
        </w:tabs>
        <w:spacing w:line="240" w:lineRule="auto" w:before="0" w:after="0"/>
        <w:ind w:left="660" w:right="0" w:hanging="481"/>
        <w:jc w:val="left"/>
      </w:pPr>
      <w:r>
        <w:rPr>
          <w:color w:val="009483"/>
        </w:rPr>
        <w:t>Demand and output</w:t>
      </w:r>
    </w:p>
    <w:p>
      <w:pPr>
        <w:pStyle w:val="ListParagraph"/>
        <w:numPr>
          <w:ilvl w:val="0"/>
          <w:numId w:val="46"/>
        </w:numPr>
        <w:tabs>
          <w:tab w:pos="659" w:val="left" w:leader="none"/>
          <w:tab w:pos="661" w:val="left" w:leader="none"/>
        </w:tabs>
        <w:spacing w:line="232" w:lineRule="auto" w:before="110" w:after="0"/>
        <w:ind w:left="180" w:right="92" w:firstLine="0"/>
        <w:jc w:val="left"/>
        <w:rPr>
          <w:sz w:val="18"/>
        </w:rPr>
      </w:pPr>
      <w:r>
        <w:rPr>
          <w:color w:val="231F20"/>
          <w:sz w:val="18"/>
        </w:rPr>
        <w:t>GDP at factor cost had grown by 0.5% in 1998 Q2, unrevised from the preliminary estimate. The expenditure breakdown had revealed a sharp slowdown in domestic demand growth, from 1.3% in 1998 Q1 to 0.6% in 1998 Q2. Prior to that, the slowdown in GDP growth had been driven by a deterioration </w:t>
      </w:r>
      <w:r>
        <w:rPr>
          <w:color w:val="231F20"/>
          <w:spacing w:val="-9"/>
          <w:sz w:val="18"/>
        </w:rPr>
        <w:t>in </w:t>
      </w:r>
      <w:r>
        <w:rPr>
          <w:color w:val="231F20"/>
          <w:sz w:val="18"/>
        </w:rPr>
        <w:t>net trade. Net trade had deteriorated further in 1998 Q2, reducing overall GDP growth by 0.1 percentage point compared with 0.7 percentage points in 1998 Q1.</w:t>
      </w:r>
    </w:p>
    <w:p>
      <w:pPr>
        <w:pStyle w:val="BodyText"/>
        <w:spacing w:before="9"/>
        <w:rPr>
          <w:sz w:val="16"/>
        </w:rPr>
      </w:pPr>
    </w:p>
    <w:p>
      <w:pPr>
        <w:pStyle w:val="ListParagraph"/>
        <w:numPr>
          <w:ilvl w:val="0"/>
          <w:numId w:val="46"/>
        </w:numPr>
        <w:tabs>
          <w:tab w:pos="659" w:val="left" w:leader="none"/>
          <w:tab w:pos="661" w:val="left" w:leader="none"/>
        </w:tabs>
        <w:spacing w:line="232" w:lineRule="auto" w:before="0" w:after="0"/>
        <w:ind w:left="180" w:right="127" w:firstLine="0"/>
        <w:jc w:val="left"/>
        <w:rPr>
          <w:sz w:val="18"/>
        </w:rPr>
      </w:pPr>
      <w:r>
        <w:rPr>
          <w:color w:val="231F20"/>
          <w:sz w:val="18"/>
        </w:rPr>
        <w:t>Within domestic demand: quarterly consumption growth had slowed to 0.7% in Q2, compared with 0.9% in Q1—annual growth had fallen to 3.8% from 4.9% in Q1; government consumption had grown strongly in 1998 Q2, by 1.1%; and investment had fallen by 1.9% in Q2. Overall, final domestic demand (domestic demand excluding stockbuilding) had increased by 0.3% in 1998 Q2. Stockbuilding had increased by £1.3 billion, contributing 0.3 percentage points to GDP growth—the third consecutive positive contribution. Typically a temporary build-up of stocks followed a slowdown in final demand. But at this stage, Bank staff felt the data might include a large quarterly alignment adjustment, so it was not clear by how much actual stockbuilding had risen.</w:t>
      </w:r>
    </w:p>
    <w:p>
      <w:pPr>
        <w:pStyle w:val="BodyText"/>
        <w:spacing w:before="6"/>
        <w:rPr>
          <w:sz w:val="16"/>
        </w:rPr>
      </w:pPr>
    </w:p>
    <w:p>
      <w:pPr>
        <w:pStyle w:val="ListParagraph"/>
        <w:numPr>
          <w:ilvl w:val="0"/>
          <w:numId w:val="46"/>
        </w:numPr>
        <w:tabs>
          <w:tab w:pos="659" w:val="left" w:leader="none"/>
          <w:tab w:pos="661" w:val="left" w:leader="none"/>
        </w:tabs>
        <w:spacing w:line="232" w:lineRule="auto" w:before="0" w:after="0"/>
        <w:ind w:left="180" w:right="38" w:firstLine="0"/>
        <w:jc w:val="left"/>
        <w:rPr>
          <w:sz w:val="18"/>
        </w:rPr>
      </w:pPr>
      <w:r>
        <w:rPr>
          <w:color w:val="231F20"/>
          <w:sz w:val="18"/>
        </w:rPr>
        <w:t>Investment had fallen in 1998 Q2, following the large contribution from erratic components in Q1 (an oil rig, tube trains). Business investment had fallen sharply, by 5.5%. Excluding the less cyclical sectors (public corporations, oil and utilities) annual growth in business investment had fallen from 11.3% in 1997 Q4 to 1.1% in 1998 Q2. Service sector investment had fallen for the second consecutive quarter, though annual growth in service sector investment remained positive at 2.2% in 1998 Q2 and British Chambers of Commerce (BCC) survey investment intentions balances had remained relatively strong. Manufacturing investment had risen by 6.7% in 1998 Q2, though it had fallen by 1.9% on an annual basis. But investment data were volatile and prone to revision so it was too early to determine the pace of the slowdown in investment.</w:t>
      </w:r>
    </w:p>
    <w:p>
      <w:pPr>
        <w:pStyle w:val="BodyText"/>
        <w:spacing w:before="5"/>
        <w:rPr>
          <w:sz w:val="16"/>
        </w:rPr>
      </w:pPr>
    </w:p>
    <w:p>
      <w:pPr>
        <w:pStyle w:val="ListParagraph"/>
        <w:numPr>
          <w:ilvl w:val="0"/>
          <w:numId w:val="46"/>
        </w:numPr>
        <w:tabs>
          <w:tab w:pos="659" w:val="left" w:leader="none"/>
          <w:tab w:pos="661" w:val="left" w:leader="none"/>
        </w:tabs>
        <w:spacing w:line="232" w:lineRule="auto" w:before="0" w:after="0"/>
        <w:ind w:left="180" w:right="182" w:firstLine="0"/>
        <w:jc w:val="left"/>
        <w:rPr>
          <w:sz w:val="18"/>
        </w:rPr>
      </w:pPr>
      <w:r>
        <w:rPr>
          <w:color w:val="231F20"/>
          <w:sz w:val="18"/>
        </w:rPr>
        <w:t>Following June’s 1.5% fall, retail sales had grown by 0.9% in July, largely due to a 6% rise in clothing and footwear sales. Despite the volatile monthly pattern, a slowdown in demand remained evident: annual growth in retail spending had fallen to 3.2% in July (latest three months) compared with 3.6% in June. British Retail Consortium data showed that total sales values growth had slowed to 4.3% in the year to August but remained unchanged from July on a like-for-like basis at 1.5%. The </w:t>
      </w:r>
      <w:r>
        <w:rPr>
          <w:color w:val="231F20"/>
          <w:spacing w:val="-3"/>
          <w:sz w:val="18"/>
        </w:rPr>
        <w:t>growth </w:t>
      </w:r>
      <w:r>
        <w:rPr>
          <w:color w:val="231F20"/>
          <w:sz w:val="18"/>
        </w:rPr>
        <w:t>rate of the official ONS series normally lay between these two figures. The August CBI Distributive Trades survey showed a further fall in expected sales balances, to +10 from +27 in July, below its average level since 1992 (+25). Car registrations</w:t>
      </w:r>
    </w:p>
    <w:p>
      <w:pPr>
        <w:pStyle w:val="BodyText"/>
        <w:spacing w:line="232" w:lineRule="auto"/>
        <w:ind w:left="180" w:right="155"/>
      </w:pPr>
      <w:r>
        <w:rPr>
          <w:color w:val="231F20"/>
        </w:rPr>
        <w:t>had totalled 505,312 in August, a fall of 3.8% on the previous year. Private registrations had fallen by 7.2% on their level a year earlier.</w:t>
      </w:r>
    </w:p>
    <w:p>
      <w:pPr>
        <w:pStyle w:val="BodyText"/>
        <w:spacing w:before="5"/>
        <w:rPr>
          <w:sz w:val="16"/>
        </w:rPr>
      </w:pPr>
    </w:p>
    <w:p>
      <w:pPr>
        <w:pStyle w:val="ListParagraph"/>
        <w:numPr>
          <w:ilvl w:val="0"/>
          <w:numId w:val="46"/>
        </w:numPr>
        <w:tabs>
          <w:tab w:pos="659" w:val="left" w:leader="none"/>
          <w:tab w:pos="661" w:val="left" w:leader="none"/>
        </w:tabs>
        <w:spacing w:line="232" w:lineRule="auto" w:before="0" w:after="0"/>
        <w:ind w:left="180" w:right="132" w:firstLine="0"/>
        <w:jc w:val="left"/>
        <w:rPr>
          <w:sz w:val="18"/>
        </w:rPr>
      </w:pPr>
      <w:r>
        <w:rPr>
          <w:color w:val="231F20"/>
          <w:sz w:val="18"/>
        </w:rPr>
        <w:t>There had been a rise in housing turnover during the summer: particulars delivered had increased in June and July though they remained 2% lower over the latest three-month period compared with the previous three months; and 6.7% lower compared with the same three months a year ago. A large rise in net mortgage lending in July had also pointed to higher turnover over the coming few months. But the House Builders’ Federation survey had reported falling balances for site visits and </w:t>
      </w:r>
      <w:r>
        <w:rPr>
          <w:color w:val="231F20"/>
          <w:spacing w:val="-2"/>
          <w:sz w:val="18"/>
        </w:rPr>
        <w:t>reservations </w:t>
      </w:r>
      <w:r>
        <w:rPr>
          <w:color w:val="231F20"/>
          <w:sz w:val="18"/>
        </w:rPr>
        <w:t>in July. And housing starts had fallen by 10.7% in the second quarter. House prices had fallen in August according to both the Halifax and Nationwide indices. Annual rates of increase had</w:t>
      </w:r>
    </w:p>
    <w:p>
      <w:pPr>
        <w:pStyle w:val="BodyText"/>
        <w:spacing w:before="7"/>
        <w:rPr>
          <w:sz w:val="19"/>
        </w:rPr>
      </w:pPr>
      <w:r>
        <w:rPr/>
        <w:br w:type="column"/>
      </w:r>
      <w:r>
        <w:rPr>
          <w:sz w:val="19"/>
        </w:rPr>
      </w:r>
    </w:p>
    <w:p>
      <w:pPr>
        <w:pStyle w:val="BodyText"/>
        <w:spacing w:line="232" w:lineRule="auto"/>
        <w:ind w:left="180" w:right="831"/>
      </w:pPr>
      <w:r>
        <w:rPr>
          <w:color w:val="231F20"/>
        </w:rPr>
        <w:t>moderated to 9.2% and 5.3% respectively, with three-month annualised rates of 6.0% and 5.4%.</w:t>
      </w:r>
    </w:p>
    <w:p>
      <w:pPr>
        <w:pStyle w:val="BodyText"/>
        <w:spacing w:before="3"/>
        <w:rPr>
          <w:sz w:val="17"/>
        </w:rPr>
      </w:pPr>
    </w:p>
    <w:p>
      <w:pPr>
        <w:pStyle w:val="ListParagraph"/>
        <w:numPr>
          <w:ilvl w:val="0"/>
          <w:numId w:val="46"/>
        </w:numPr>
        <w:tabs>
          <w:tab w:pos="659" w:val="left" w:leader="none"/>
          <w:tab w:pos="661" w:val="left" w:leader="none"/>
        </w:tabs>
        <w:spacing w:line="232" w:lineRule="auto" w:before="0" w:after="0"/>
        <w:ind w:left="180" w:right="284" w:firstLine="0"/>
        <w:jc w:val="left"/>
        <w:rPr>
          <w:sz w:val="18"/>
        </w:rPr>
      </w:pPr>
      <w:r>
        <w:rPr>
          <w:color w:val="231F20"/>
          <w:sz w:val="18"/>
        </w:rPr>
        <w:t>Monthly trade data had shown a narrower goods deficit in June reflecting trade with non-EU countries, as the deficit with EU countries had widened. Both exports and import goods volumes (excluding oil and erratics) had increased in 1998 Q2, by 0.2% and 1.0% respectively. But exports to non-EU countries had fallen in July, as had imports. The puzzle regarding the continued growth of exports to EU countries following sterling’s appreciation could be explained, in part, by the growth in EU markets over the period. The UK share of EU markets had been falling since 1997 H1 after rising for much of the period since the late 1980s. There had been </w:t>
      </w:r>
      <w:r>
        <w:rPr>
          <w:color w:val="231F20"/>
          <w:spacing w:val="-18"/>
          <w:sz w:val="18"/>
        </w:rPr>
        <w:t>a </w:t>
      </w:r>
      <w:r>
        <w:rPr>
          <w:color w:val="231F20"/>
          <w:sz w:val="18"/>
        </w:rPr>
        <w:t>longer term decline in the share of non-EU markets which had recently intensified following the Asian crisis.</w:t>
      </w:r>
    </w:p>
    <w:p>
      <w:pPr>
        <w:pStyle w:val="BodyText"/>
        <w:spacing w:before="7"/>
        <w:rPr>
          <w:sz w:val="16"/>
        </w:rPr>
      </w:pPr>
    </w:p>
    <w:p>
      <w:pPr>
        <w:pStyle w:val="ListParagraph"/>
        <w:numPr>
          <w:ilvl w:val="0"/>
          <w:numId w:val="46"/>
        </w:numPr>
        <w:tabs>
          <w:tab w:pos="659" w:val="left" w:leader="none"/>
          <w:tab w:pos="661" w:val="left" w:leader="none"/>
        </w:tabs>
        <w:spacing w:line="232" w:lineRule="auto" w:before="0" w:after="0"/>
        <w:ind w:left="180" w:right="349" w:firstLine="0"/>
        <w:jc w:val="left"/>
        <w:rPr>
          <w:sz w:val="18"/>
        </w:rPr>
      </w:pPr>
      <w:r>
        <w:rPr>
          <w:color w:val="231F20"/>
          <w:sz w:val="18"/>
        </w:rPr>
        <w:t>There had been little change in the output data since the preliminary GDP release. Services output had risen by 0.6% in 1998 Q2. New data on the more disaggregated components of output suggested that growth in the transport &amp; communications and finance &amp; business services sectors had remained strong at 0.9% and 1.0% respectively. But this had been offset by growth </w:t>
      </w:r>
      <w:r>
        <w:rPr>
          <w:color w:val="231F20"/>
          <w:spacing w:val="-7"/>
          <w:sz w:val="18"/>
        </w:rPr>
        <w:t>of </w:t>
      </w:r>
      <w:r>
        <w:rPr>
          <w:color w:val="231F20"/>
          <w:sz w:val="18"/>
        </w:rPr>
        <w:t>0.1% in the distribution and hotels &amp; catering sector. Construction output had fallen in 1998 Q2 by 2.6%, leaving output 0.6% higher than a year earlier. Manufacturing output had increased by 0.1%, following two quarterly falls. Total industrial production had grown by 1.1%, boosted by large increases in energy (oil &amp; gas) and utilities output following falls in the first quarter. GDP excluding primary sectors had grown by 0.2% in 1998 Q2 compared to 0.5% for total GDP. Manufacturing output had increased by 0.1% in July though level of output was little </w:t>
      </w:r>
      <w:r>
        <w:rPr>
          <w:color w:val="231F20"/>
          <w:spacing w:val="-3"/>
          <w:sz w:val="18"/>
        </w:rPr>
        <w:t>changed </w:t>
      </w:r>
      <w:r>
        <w:rPr>
          <w:color w:val="231F20"/>
          <w:sz w:val="18"/>
        </w:rPr>
        <w:t>on a year earlier. Total industrial production had risen by 0.4%, reflecting higher gas and electricity output due to cooler than normal weather in July.</w:t>
      </w:r>
    </w:p>
    <w:p>
      <w:pPr>
        <w:pStyle w:val="BodyText"/>
        <w:spacing w:before="2"/>
        <w:rPr>
          <w:sz w:val="16"/>
        </w:rPr>
      </w:pPr>
    </w:p>
    <w:p>
      <w:pPr>
        <w:pStyle w:val="ListParagraph"/>
        <w:numPr>
          <w:ilvl w:val="0"/>
          <w:numId w:val="46"/>
        </w:numPr>
        <w:tabs>
          <w:tab w:pos="659" w:val="left" w:leader="none"/>
          <w:tab w:pos="661" w:val="left" w:leader="none"/>
        </w:tabs>
        <w:spacing w:line="232" w:lineRule="auto" w:before="0" w:after="0"/>
        <w:ind w:left="180" w:right="304" w:firstLine="0"/>
        <w:jc w:val="left"/>
        <w:rPr>
          <w:sz w:val="18"/>
        </w:rPr>
      </w:pPr>
      <w:r>
        <w:rPr>
          <w:color w:val="231F20"/>
          <w:sz w:val="18"/>
        </w:rPr>
        <w:t>The continued contrast between the manufacturing and service sectors had remained evident in the latest business surveys. The August CBI Industrial Trends survey had recorded a further fall in the expected output balance: to -15 compared with -8 in </w:t>
      </w:r>
      <w:r>
        <w:rPr>
          <w:color w:val="231F20"/>
          <w:spacing w:val="-5"/>
          <w:sz w:val="18"/>
        </w:rPr>
        <w:t>July </w:t>
      </w:r>
      <w:r>
        <w:rPr>
          <w:color w:val="231F20"/>
          <w:sz w:val="18"/>
        </w:rPr>
        <w:t>and -3 in June; and the Chartered Institute of Purchasing and Supply (C</w:t>
      </w:r>
      <w:r>
        <w:rPr>
          <w:color w:val="231F20"/>
          <w:sz w:val="14"/>
        </w:rPr>
        <w:t>IPS</w:t>
      </w:r>
      <w:r>
        <w:rPr>
          <w:color w:val="231F20"/>
          <w:sz w:val="18"/>
        </w:rPr>
        <w:t>) manufacturing survey had recorded another fall in its output index.  The C</w:t>
      </w:r>
      <w:r>
        <w:rPr>
          <w:color w:val="231F20"/>
          <w:sz w:val="14"/>
        </w:rPr>
        <w:t>IPS </w:t>
      </w:r>
      <w:r>
        <w:rPr>
          <w:color w:val="231F20"/>
          <w:sz w:val="18"/>
        </w:rPr>
        <w:t>services survey showed continued growth in service sector activity in August though at a slower pace. Work undertaken in the Bank using a regression technique to generate growth rates based on the past relationship between survey responses and ONS data had suggested that recent BCC service sector responses were consistent with continued strong growth in service sector output in 1998 Q3. For manufacturing, the BCC survey was consistent with flat output in Q3. But the CBI and C</w:t>
      </w:r>
      <w:r>
        <w:rPr>
          <w:color w:val="231F20"/>
          <w:sz w:val="14"/>
        </w:rPr>
        <w:t>IPS </w:t>
      </w:r>
      <w:r>
        <w:rPr>
          <w:color w:val="231F20"/>
          <w:sz w:val="18"/>
        </w:rPr>
        <w:t>surveys were more indicative of a fall in manufacturing output in 1998 Q3.</w:t>
      </w:r>
    </w:p>
    <w:p>
      <w:pPr>
        <w:pStyle w:val="BodyText"/>
        <w:spacing w:before="7"/>
        <w:rPr>
          <w:sz w:val="19"/>
        </w:rPr>
      </w:pPr>
    </w:p>
    <w:p>
      <w:pPr>
        <w:pStyle w:val="Heading6"/>
        <w:numPr>
          <w:ilvl w:val="0"/>
          <w:numId w:val="44"/>
        </w:numPr>
        <w:tabs>
          <w:tab w:pos="660" w:val="left" w:leader="none"/>
          <w:tab w:pos="661" w:val="left" w:leader="none"/>
        </w:tabs>
        <w:spacing w:line="240" w:lineRule="auto" w:before="0" w:after="0"/>
        <w:ind w:left="660" w:right="0" w:hanging="481"/>
        <w:jc w:val="left"/>
      </w:pPr>
      <w:r>
        <w:rPr>
          <w:color w:val="009483"/>
        </w:rPr>
        <w:t>Labour</w:t>
      </w:r>
      <w:r>
        <w:rPr>
          <w:color w:val="009483"/>
          <w:spacing w:val="-1"/>
        </w:rPr>
        <w:t> </w:t>
      </w:r>
      <w:r>
        <w:rPr>
          <w:color w:val="009483"/>
        </w:rPr>
        <w:t>market</w:t>
      </w:r>
    </w:p>
    <w:p>
      <w:pPr>
        <w:pStyle w:val="ListParagraph"/>
        <w:numPr>
          <w:ilvl w:val="0"/>
          <w:numId w:val="46"/>
        </w:numPr>
        <w:tabs>
          <w:tab w:pos="659" w:val="left" w:leader="none"/>
          <w:tab w:pos="661" w:val="left" w:leader="none"/>
        </w:tabs>
        <w:spacing w:line="232" w:lineRule="auto" w:before="110" w:after="0"/>
        <w:ind w:left="180" w:right="317" w:firstLine="0"/>
        <w:jc w:val="left"/>
        <w:rPr>
          <w:sz w:val="18"/>
        </w:rPr>
      </w:pPr>
      <w:r>
        <w:rPr>
          <w:color w:val="231F20"/>
          <w:sz w:val="18"/>
        </w:rPr>
        <w:t>LFS employment had grown by 21,000 in the three months to June compared with the previous three months. That was slower than the average rate of growth over the past year. The C</w:t>
      </w:r>
      <w:r>
        <w:rPr>
          <w:color w:val="231F20"/>
          <w:sz w:val="14"/>
        </w:rPr>
        <w:t>IPS </w:t>
      </w:r>
      <w:r>
        <w:rPr>
          <w:color w:val="231F20"/>
          <w:spacing w:val="-3"/>
          <w:sz w:val="18"/>
        </w:rPr>
        <w:t>survey </w:t>
      </w:r>
      <w:r>
        <w:rPr>
          <w:color w:val="231F20"/>
          <w:sz w:val="18"/>
        </w:rPr>
        <w:t>for August reported continued employment growth in services but at a slowing rate, and falling employment in manufacturing, a picture which had been broadly corroborated by the Bank’s regional Agents. The total number of hours worked had flattened off according to the LFS, implying a fall in the number of hours worked per person. That was consistent with data showing</w:t>
      </w:r>
    </w:p>
    <w:p>
      <w:pPr>
        <w:pStyle w:val="BodyText"/>
        <w:spacing w:line="232" w:lineRule="auto"/>
        <w:ind w:left="180" w:right="468"/>
      </w:pPr>
      <w:r>
        <w:rPr>
          <w:color w:val="231F20"/>
        </w:rPr>
        <w:t>that employment gains over the past three months had been in part-time employment at the expense of full-time jobs. Further evidence of increasing demand for employees was shown by the Federation of Recruitment and Employment Services survey for August, though the rate of growth of jobs showed further signs of slowing.</w:t>
      </w:r>
    </w:p>
    <w:p>
      <w:pPr>
        <w:pStyle w:val="BodyText"/>
        <w:spacing w:before="4"/>
        <w:rPr>
          <w:sz w:val="16"/>
        </w:rPr>
      </w:pPr>
    </w:p>
    <w:p>
      <w:pPr>
        <w:pStyle w:val="ListParagraph"/>
        <w:numPr>
          <w:ilvl w:val="0"/>
          <w:numId w:val="46"/>
        </w:numPr>
        <w:tabs>
          <w:tab w:pos="659" w:val="left" w:leader="none"/>
          <w:tab w:pos="661" w:val="left" w:leader="none"/>
        </w:tabs>
        <w:spacing w:line="232" w:lineRule="auto" w:before="0" w:after="0"/>
        <w:ind w:left="180" w:right="354" w:firstLine="0"/>
        <w:jc w:val="left"/>
        <w:rPr>
          <w:sz w:val="18"/>
        </w:rPr>
      </w:pPr>
      <w:r>
        <w:rPr>
          <w:color w:val="231F20"/>
          <w:sz w:val="18"/>
        </w:rPr>
        <w:t>The stock of Jobcentre vacancies increased by 1,900 in </w:t>
      </w:r>
      <w:r>
        <w:rPr>
          <w:color w:val="231F20"/>
          <w:spacing w:val="-4"/>
          <w:sz w:val="18"/>
        </w:rPr>
        <w:t>July, </w:t>
      </w:r>
      <w:r>
        <w:rPr>
          <w:color w:val="231F20"/>
          <w:sz w:val="18"/>
        </w:rPr>
        <w:t>although the number of new notifications fell. The National Press</w:t>
      </w:r>
    </w:p>
    <w:p>
      <w:pPr>
        <w:spacing w:after="0" w:line="232" w:lineRule="auto"/>
        <w:jc w:val="left"/>
        <w:rPr>
          <w:sz w:val="18"/>
        </w:rPr>
        <w:sectPr>
          <w:type w:val="continuous"/>
          <w:pgSz w:w="11900" w:h="16840"/>
          <w:pgMar w:top="1220" w:bottom="280" w:left="620" w:right="520"/>
          <w:cols w:num="2" w:equalWidth="0">
            <w:col w:w="5119" w:space="271"/>
            <w:col w:w="5370"/>
          </w:cols>
        </w:sectPr>
      </w:pPr>
    </w:p>
    <w:p>
      <w:pPr>
        <w:pStyle w:val="BodyText"/>
        <w:rPr>
          <w:sz w:val="20"/>
        </w:rPr>
      </w:pPr>
    </w:p>
    <w:p>
      <w:pPr>
        <w:spacing w:after="0"/>
        <w:rPr>
          <w:sz w:val="20"/>
        </w:rPr>
        <w:sectPr>
          <w:pgSz w:w="11900" w:h="16840"/>
          <w:pgMar w:header="566" w:footer="597" w:top="760" w:bottom="780" w:left="620" w:right="520"/>
        </w:sectPr>
      </w:pPr>
    </w:p>
    <w:p>
      <w:pPr>
        <w:pStyle w:val="BodyText"/>
        <w:spacing w:before="4"/>
        <w:rPr>
          <w:sz w:val="21"/>
        </w:rPr>
      </w:pPr>
    </w:p>
    <w:p>
      <w:pPr>
        <w:pStyle w:val="BodyText"/>
        <w:spacing w:line="232" w:lineRule="auto" w:before="1"/>
        <w:ind w:left="180" w:right="320"/>
      </w:pPr>
      <w:r>
        <w:rPr>
          <w:color w:val="231F20"/>
        </w:rPr>
        <w:t>Recruitment Advertising index also rose to a new record in July according to NTC.</w:t>
      </w:r>
    </w:p>
    <w:p>
      <w:pPr>
        <w:pStyle w:val="BodyText"/>
        <w:spacing w:before="2"/>
        <w:rPr>
          <w:sz w:val="17"/>
        </w:rPr>
      </w:pPr>
    </w:p>
    <w:p>
      <w:pPr>
        <w:pStyle w:val="ListParagraph"/>
        <w:numPr>
          <w:ilvl w:val="0"/>
          <w:numId w:val="46"/>
        </w:numPr>
        <w:tabs>
          <w:tab w:pos="659" w:val="left" w:leader="none"/>
          <w:tab w:pos="661" w:val="left" w:leader="none"/>
        </w:tabs>
        <w:spacing w:line="232" w:lineRule="auto" w:before="1" w:after="0"/>
        <w:ind w:left="180" w:right="38" w:firstLine="0"/>
        <w:jc w:val="left"/>
        <w:rPr>
          <w:sz w:val="18"/>
        </w:rPr>
      </w:pPr>
      <w:r>
        <w:rPr>
          <w:color w:val="231F20"/>
          <w:sz w:val="18"/>
        </w:rPr>
        <w:t>Turning to unemployment, both of the main measures had reported falls in the latest month. LFS unemployment was 62,000 lower in the three months to June than in the previous three months. The rate fell to 6.2%. That fall was mainly accounted for by falls </w:t>
      </w:r>
      <w:r>
        <w:rPr>
          <w:color w:val="231F20"/>
          <w:spacing w:val="-9"/>
          <w:sz w:val="18"/>
        </w:rPr>
        <w:t>in </w:t>
      </w:r>
      <w:r>
        <w:rPr>
          <w:color w:val="231F20"/>
          <w:sz w:val="18"/>
        </w:rPr>
        <w:t>short-term unemployment (under twelve months), in contrast to falls over the past year which had been mainly in long-term unemployment. Claimant unemployment fell by 26,000 in July following a revised fall of 5,800 in June. July’s data were probably affected by inappropriate seasonal adjustment. Before the Job Seeker’s Allowance (JSA) was introduced, there had tended to be a rise in the unadjusted claimant count every July as students signed on over the summer, followed by a fall as they signed off in October. Since the introduction of the JSA the size of these flows had fallen. But the ONS seasonal adjustment package was still trying to adjust the data based on pre-JSA behaviour. Taking this into account, it was likely that unemployment was falling at an underlying rate of around 5,000 per month.</w:t>
      </w:r>
    </w:p>
    <w:p>
      <w:pPr>
        <w:pStyle w:val="BodyText"/>
        <w:spacing w:before="2"/>
        <w:rPr>
          <w:sz w:val="16"/>
        </w:rPr>
      </w:pPr>
    </w:p>
    <w:p>
      <w:pPr>
        <w:pStyle w:val="ListParagraph"/>
        <w:numPr>
          <w:ilvl w:val="0"/>
          <w:numId w:val="46"/>
        </w:numPr>
        <w:tabs>
          <w:tab w:pos="659" w:val="left" w:leader="none"/>
          <w:tab w:pos="661" w:val="left" w:leader="none"/>
        </w:tabs>
        <w:spacing w:line="232" w:lineRule="auto" w:before="0" w:after="0"/>
        <w:ind w:left="180" w:right="42" w:firstLine="0"/>
        <w:jc w:val="left"/>
        <w:rPr>
          <w:sz w:val="18"/>
        </w:rPr>
      </w:pPr>
      <w:r>
        <w:rPr>
          <w:color w:val="231F20"/>
          <w:sz w:val="18"/>
        </w:rPr>
        <w:t>According to the LFS, there had also been a sharp rise in inactivity in the three months to June, which was entirely accounted for by people who said they did not want a job.</w:t>
      </w:r>
    </w:p>
    <w:p>
      <w:pPr>
        <w:pStyle w:val="BodyText"/>
        <w:spacing w:before="2"/>
        <w:rPr>
          <w:sz w:val="17"/>
        </w:rPr>
      </w:pPr>
    </w:p>
    <w:p>
      <w:pPr>
        <w:pStyle w:val="ListParagraph"/>
        <w:numPr>
          <w:ilvl w:val="0"/>
          <w:numId w:val="46"/>
        </w:numPr>
        <w:tabs>
          <w:tab w:pos="659" w:val="left" w:leader="none"/>
          <w:tab w:pos="661" w:val="left" w:leader="none"/>
        </w:tabs>
        <w:spacing w:line="232" w:lineRule="auto" w:before="1" w:after="0"/>
        <w:ind w:left="180" w:right="58" w:firstLine="0"/>
        <w:jc w:val="left"/>
        <w:rPr>
          <w:sz w:val="18"/>
        </w:rPr>
      </w:pPr>
      <w:r>
        <w:rPr>
          <w:color w:val="231F20"/>
          <w:sz w:val="18"/>
        </w:rPr>
        <w:t>One feature of the recovery in the 1990s had been a sharp rise in temporary employment from around 5.5% of employees in 1992 to 7.5% in 1997. There was a possibility that the higher numbers of temporary employees may lead to a faster response of employment to changes in output. In a downturn this would imply a faster rise in unemployment and a faster abatement of </w:t>
      </w:r>
      <w:r>
        <w:rPr>
          <w:color w:val="231F20"/>
          <w:spacing w:val="-2"/>
          <w:sz w:val="18"/>
        </w:rPr>
        <w:t>inflationary </w:t>
      </w:r>
      <w:r>
        <w:rPr>
          <w:color w:val="231F20"/>
          <w:sz w:val="18"/>
        </w:rPr>
        <w:t>pressure.</w:t>
      </w:r>
    </w:p>
    <w:p>
      <w:pPr>
        <w:pStyle w:val="BodyText"/>
        <w:spacing w:before="10"/>
        <w:rPr>
          <w:sz w:val="16"/>
        </w:rPr>
      </w:pPr>
    </w:p>
    <w:p>
      <w:pPr>
        <w:pStyle w:val="ListParagraph"/>
        <w:numPr>
          <w:ilvl w:val="0"/>
          <w:numId w:val="46"/>
        </w:numPr>
        <w:tabs>
          <w:tab w:pos="659" w:val="left" w:leader="none"/>
          <w:tab w:pos="661" w:val="left" w:leader="none"/>
        </w:tabs>
        <w:spacing w:line="232" w:lineRule="auto" w:before="0" w:after="0"/>
        <w:ind w:left="180" w:right="212" w:firstLine="0"/>
        <w:jc w:val="left"/>
        <w:rPr>
          <w:sz w:val="18"/>
        </w:rPr>
      </w:pPr>
      <w:r>
        <w:rPr>
          <w:color w:val="231F20"/>
          <w:sz w:val="18"/>
        </w:rPr>
        <w:t>Turning to earnings, there had been a sharp fall in </w:t>
      </w:r>
      <w:r>
        <w:rPr>
          <w:color w:val="231F20"/>
          <w:spacing w:val="-3"/>
          <w:sz w:val="18"/>
        </w:rPr>
        <w:t>headline </w:t>
      </w:r>
      <w:r>
        <w:rPr>
          <w:color w:val="231F20"/>
          <w:sz w:val="18"/>
        </w:rPr>
        <w:t>earnings growth (a centred three month moving average) from 5.4% in April to 5.0% in May. The monthly earnings index was 4.5% higher in June than a year earlier. As expected the ONS’s measured contribution of irregular bonuses and PRP had fallen to 0.3% in June, similar to June 1997. The surprise had been in the outturn for estimated regular earnings. But earnings data were volatile, and more than one month’s data would be necessary to infer a change in the trend.</w:t>
      </w:r>
    </w:p>
    <w:p>
      <w:pPr>
        <w:pStyle w:val="BodyText"/>
        <w:spacing w:before="9"/>
        <w:rPr>
          <w:sz w:val="16"/>
        </w:rPr>
      </w:pPr>
    </w:p>
    <w:p>
      <w:pPr>
        <w:pStyle w:val="ListParagraph"/>
        <w:numPr>
          <w:ilvl w:val="0"/>
          <w:numId w:val="46"/>
        </w:numPr>
        <w:tabs>
          <w:tab w:pos="659" w:val="left" w:leader="none"/>
          <w:tab w:pos="661" w:val="left" w:leader="none"/>
        </w:tabs>
        <w:spacing w:line="232" w:lineRule="auto" w:before="0" w:after="0"/>
        <w:ind w:left="180" w:right="57" w:firstLine="0"/>
        <w:jc w:val="left"/>
        <w:rPr>
          <w:sz w:val="18"/>
        </w:rPr>
      </w:pPr>
      <w:r>
        <w:rPr>
          <w:color w:val="231F20"/>
          <w:sz w:val="18"/>
        </w:rPr>
        <w:t>The Bank’s estimate of bonus-smoothed earnings—using </w:t>
      </w:r>
      <w:r>
        <w:rPr>
          <w:color w:val="231F20"/>
          <w:spacing w:val="-6"/>
          <w:sz w:val="18"/>
        </w:rPr>
        <w:t>the </w:t>
      </w:r>
      <w:r>
        <w:rPr>
          <w:color w:val="231F20"/>
          <w:sz w:val="18"/>
        </w:rPr>
        <w:t>technique described in the August 1998 </w:t>
      </w:r>
      <w:r>
        <w:rPr>
          <w:i/>
          <w:color w:val="231F20"/>
          <w:sz w:val="18"/>
        </w:rPr>
        <w:t>Inflation Report</w:t>
      </w:r>
      <w:r>
        <w:rPr>
          <w:color w:val="231F20"/>
          <w:sz w:val="18"/>
        </w:rPr>
        <w:t>—fell from 5.2% in May to 5.0% in June assuming a continuation of current bonus growth, and from 4.9% to 4.7% assuming bonus growth slows to 10%. Over the coming months, the size of the irregular bonus contributions was expected to be relatively small: few firms pay bonuses between August and October. Headline earnings estimates may thus fall below the smoothed estimates for a time, reversing the pattern during the bonus payment period.</w:t>
      </w:r>
    </w:p>
    <w:p>
      <w:pPr>
        <w:pStyle w:val="BodyText"/>
        <w:spacing w:before="9"/>
        <w:rPr>
          <w:sz w:val="16"/>
        </w:rPr>
      </w:pPr>
    </w:p>
    <w:p>
      <w:pPr>
        <w:pStyle w:val="ListParagraph"/>
        <w:numPr>
          <w:ilvl w:val="0"/>
          <w:numId w:val="46"/>
        </w:numPr>
        <w:tabs>
          <w:tab w:pos="659" w:val="left" w:leader="none"/>
          <w:tab w:pos="661" w:val="left" w:leader="none"/>
        </w:tabs>
        <w:spacing w:line="232" w:lineRule="auto" w:before="0" w:after="0"/>
        <w:ind w:left="180" w:right="82" w:firstLine="0"/>
        <w:jc w:val="left"/>
        <w:rPr>
          <w:sz w:val="18"/>
        </w:rPr>
      </w:pPr>
      <w:r>
        <w:rPr>
          <w:color w:val="231F20"/>
          <w:sz w:val="18"/>
        </w:rPr>
        <w:t>There had been a fall in private sector headline earnings growth from 6.2% in April to 5.7% in May, while the public sector increased from 2.8% to 3.2%. Headline earnings growth had </w:t>
      </w:r>
      <w:r>
        <w:rPr>
          <w:color w:val="231F20"/>
          <w:spacing w:val="-3"/>
          <w:sz w:val="18"/>
        </w:rPr>
        <w:t>fallen </w:t>
      </w:r>
      <w:r>
        <w:rPr>
          <w:color w:val="231F20"/>
          <w:sz w:val="18"/>
        </w:rPr>
        <w:t>in both the manufacturing and the services sectors to 5.1% and 5.3% respectively.</w:t>
      </w:r>
    </w:p>
    <w:p>
      <w:pPr>
        <w:pStyle w:val="BodyText"/>
        <w:spacing w:before="1"/>
        <w:rPr>
          <w:sz w:val="17"/>
        </w:rPr>
      </w:pPr>
    </w:p>
    <w:p>
      <w:pPr>
        <w:pStyle w:val="ListParagraph"/>
        <w:numPr>
          <w:ilvl w:val="0"/>
          <w:numId w:val="46"/>
        </w:numPr>
        <w:tabs>
          <w:tab w:pos="659" w:val="left" w:leader="none"/>
          <w:tab w:pos="661" w:val="left" w:leader="none"/>
        </w:tabs>
        <w:spacing w:line="232" w:lineRule="auto" w:before="0" w:after="0"/>
        <w:ind w:left="180" w:right="87" w:firstLine="0"/>
        <w:jc w:val="left"/>
        <w:rPr>
          <w:sz w:val="18"/>
        </w:rPr>
      </w:pPr>
      <w:r>
        <w:rPr>
          <w:color w:val="231F20"/>
          <w:sz w:val="18"/>
        </w:rPr>
        <w:t>Twelve-month wage settlements continued to creep </w:t>
      </w:r>
      <w:r>
        <w:rPr>
          <w:color w:val="231F20"/>
          <w:spacing w:val="-3"/>
          <w:sz w:val="18"/>
        </w:rPr>
        <w:t>upwards </w:t>
      </w:r>
      <w:r>
        <w:rPr>
          <w:color w:val="231F20"/>
          <w:sz w:val="18"/>
        </w:rPr>
        <w:t>in July, although the Bank’s mean settlement remained at 3.8% to one decimal place. There had been small increases in both private and public settlements.</w:t>
      </w:r>
    </w:p>
    <w:p>
      <w:pPr>
        <w:pStyle w:val="BodyText"/>
        <w:spacing w:before="4"/>
        <w:rPr>
          <w:sz w:val="20"/>
        </w:rPr>
      </w:pPr>
    </w:p>
    <w:p>
      <w:pPr>
        <w:pStyle w:val="Heading6"/>
        <w:numPr>
          <w:ilvl w:val="0"/>
          <w:numId w:val="44"/>
        </w:numPr>
        <w:tabs>
          <w:tab w:pos="659" w:val="left" w:leader="none"/>
          <w:tab w:pos="661" w:val="left" w:leader="none"/>
        </w:tabs>
        <w:spacing w:line="240" w:lineRule="auto" w:before="1" w:after="0"/>
        <w:ind w:left="660" w:right="0" w:hanging="481"/>
        <w:jc w:val="left"/>
      </w:pPr>
      <w:r>
        <w:rPr>
          <w:color w:val="009483"/>
        </w:rPr>
        <w:t>Prices</w:t>
      </w:r>
    </w:p>
    <w:p>
      <w:pPr>
        <w:pStyle w:val="ListParagraph"/>
        <w:numPr>
          <w:ilvl w:val="0"/>
          <w:numId w:val="46"/>
        </w:numPr>
        <w:tabs>
          <w:tab w:pos="659" w:val="left" w:leader="none"/>
          <w:tab w:pos="661" w:val="left" w:leader="none"/>
        </w:tabs>
        <w:spacing w:line="232" w:lineRule="auto" w:before="109" w:after="0"/>
        <w:ind w:left="180" w:right="482" w:firstLine="0"/>
        <w:jc w:val="left"/>
        <w:rPr>
          <w:sz w:val="18"/>
        </w:rPr>
      </w:pPr>
      <w:r>
        <w:rPr>
          <w:color w:val="231F20"/>
          <w:sz w:val="18"/>
        </w:rPr>
        <w:t>Commodity prices had continued to fall. The Bank’s UK-demand weighted index had fallen by 1.4% in July</w:t>
      </w:r>
      <w:r>
        <w:rPr>
          <w:color w:val="231F20"/>
          <w:spacing w:val="2"/>
          <w:sz w:val="18"/>
        </w:rPr>
        <w:t> </w:t>
      </w:r>
      <w:r>
        <w:rPr>
          <w:color w:val="231F20"/>
          <w:spacing w:val="-4"/>
          <w:sz w:val="18"/>
        </w:rPr>
        <w:t>(1.0%</w:t>
      </w:r>
    </w:p>
    <w:p>
      <w:pPr>
        <w:pStyle w:val="BodyText"/>
        <w:spacing w:line="232" w:lineRule="auto"/>
        <w:ind w:left="179" w:right="128"/>
      </w:pPr>
      <w:r>
        <w:rPr>
          <w:color w:val="231F20"/>
        </w:rPr>
        <w:t>excluding oil) and by 13.7% in the year to July (16.2% excluding oil). Input price deflation had also continued. Manufacturers’ input prices fell 8.9% over the year to July, and the C</w:t>
      </w:r>
      <w:r>
        <w:rPr>
          <w:color w:val="231F20"/>
          <w:sz w:val="14"/>
        </w:rPr>
        <w:t>IPS </w:t>
      </w:r>
      <w:r>
        <w:rPr>
          <w:color w:val="231F20"/>
        </w:rPr>
        <w:t>survey indicator remained close to 40 (well below the neutral 50 level), </w:t>
      </w:r>
      <w:r>
        <w:rPr>
          <w:color w:val="231F20"/>
          <w:spacing w:val="-9"/>
        </w:rPr>
        <w:t>as</w:t>
      </w:r>
    </w:p>
    <w:p>
      <w:pPr>
        <w:pStyle w:val="BodyText"/>
        <w:spacing w:before="4"/>
        <w:rPr>
          <w:sz w:val="21"/>
        </w:rPr>
      </w:pPr>
      <w:r>
        <w:rPr/>
        <w:br w:type="column"/>
      </w:r>
      <w:r>
        <w:rPr>
          <w:sz w:val="21"/>
        </w:rPr>
      </w:r>
    </w:p>
    <w:p>
      <w:pPr>
        <w:pStyle w:val="BodyText"/>
        <w:spacing w:line="232" w:lineRule="auto" w:before="1"/>
        <w:ind w:left="179" w:right="539"/>
      </w:pPr>
      <w:r>
        <w:rPr>
          <w:color w:val="231F20"/>
        </w:rPr>
        <w:t>it had done for the past two years. Manufacturers’ output prices had remained at around the same level since early 1996.</w:t>
      </w:r>
    </w:p>
    <w:p>
      <w:pPr>
        <w:pStyle w:val="BodyText"/>
        <w:spacing w:before="2"/>
        <w:rPr>
          <w:sz w:val="17"/>
        </w:rPr>
      </w:pPr>
    </w:p>
    <w:p>
      <w:pPr>
        <w:pStyle w:val="ListParagraph"/>
        <w:numPr>
          <w:ilvl w:val="0"/>
          <w:numId w:val="46"/>
        </w:numPr>
        <w:tabs>
          <w:tab w:pos="661" w:val="left" w:leader="none"/>
        </w:tabs>
        <w:spacing w:line="232" w:lineRule="auto" w:before="1" w:after="0"/>
        <w:ind w:left="179" w:right="556" w:firstLine="0"/>
        <w:jc w:val="both"/>
        <w:rPr>
          <w:sz w:val="18"/>
        </w:rPr>
      </w:pPr>
      <w:r>
        <w:rPr>
          <w:color w:val="231F20"/>
          <w:sz w:val="18"/>
        </w:rPr>
        <w:t>According to Bank estimates, goods retailers were able </w:t>
      </w:r>
      <w:r>
        <w:rPr>
          <w:color w:val="231F20"/>
          <w:spacing w:val="-6"/>
          <w:sz w:val="18"/>
        </w:rPr>
        <w:t>to </w:t>
      </w:r>
      <w:r>
        <w:rPr>
          <w:color w:val="231F20"/>
          <w:sz w:val="18"/>
        </w:rPr>
        <w:t>widen their margins in the year to 1998 Q2, despite a rise in </w:t>
      </w:r>
      <w:r>
        <w:rPr>
          <w:color w:val="231F20"/>
          <w:spacing w:val="-5"/>
          <w:sz w:val="18"/>
        </w:rPr>
        <w:t>unit </w:t>
      </w:r>
      <w:r>
        <w:rPr>
          <w:color w:val="231F20"/>
          <w:sz w:val="18"/>
        </w:rPr>
        <w:t>labour costs.</w:t>
      </w:r>
    </w:p>
    <w:p>
      <w:pPr>
        <w:pStyle w:val="BodyText"/>
        <w:spacing w:before="2"/>
        <w:rPr>
          <w:sz w:val="17"/>
        </w:rPr>
      </w:pPr>
    </w:p>
    <w:p>
      <w:pPr>
        <w:pStyle w:val="ListParagraph"/>
        <w:numPr>
          <w:ilvl w:val="0"/>
          <w:numId w:val="46"/>
        </w:numPr>
        <w:tabs>
          <w:tab w:pos="659" w:val="left" w:leader="none"/>
          <w:tab w:pos="661" w:val="left" w:leader="none"/>
        </w:tabs>
        <w:spacing w:line="232" w:lineRule="auto" w:before="0" w:after="0"/>
        <w:ind w:left="179" w:right="401" w:firstLine="0"/>
        <w:jc w:val="left"/>
        <w:rPr>
          <w:sz w:val="18"/>
        </w:rPr>
      </w:pPr>
      <w:r>
        <w:rPr>
          <w:color w:val="231F20"/>
          <w:sz w:val="18"/>
        </w:rPr>
        <w:t>All three headline measures of retail price inflation in the year to July were broadly in line with the August </w:t>
      </w:r>
      <w:r>
        <w:rPr>
          <w:i/>
          <w:color w:val="231F20"/>
          <w:sz w:val="18"/>
        </w:rPr>
        <w:t>Inflation Report </w:t>
      </w:r>
      <w:r>
        <w:rPr>
          <w:color w:val="231F20"/>
          <w:sz w:val="18"/>
        </w:rPr>
        <w:t>central projection. Annual RPI and RPIX inflation had both</w:t>
      </w:r>
      <w:r>
        <w:rPr>
          <w:color w:val="231F20"/>
          <w:spacing w:val="1"/>
          <w:sz w:val="18"/>
        </w:rPr>
        <w:t> </w:t>
      </w:r>
      <w:r>
        <w:rPr>
          <w:color w:val="231F20"/>
          <w:spacing w:val="-3"/>
          <w:sz w:val="18"/>
        </w:rPr>
        <w:t>fallen</w:t>
      </w:r>
    </w:p>
    <w:p>
      <w:pPr>
        <w:pStyle w:val="BodyText"/>
        <w:spacing w:line="232" w:lineRule="auto"/>
        <w:ind w:left="179" w:right="324"/>
      </w:pPr>
      <w:r>
        <w:rPr>
          <w:color w:val="231F20"/>
        </w:rPr>
        <w:t>0.2 percentage points, from 3.7% to 3.5% and 2.8% to 2.6% respectively, as last year’s increase in petrol price duty dropped out of the annual comparison. RPIY inflation, which excludes the effects of indirect tax changes, had risen from 2.0% to 2.1%.</w:t>
      </w:r>
    </w:p>
    <w:p>
      <w:pPr>
        <w:pStyle w:val="BodyText"/>
        <w:spacing w:before="10"/>
        <w:rPr>
          <w:sz w:val="16"/>
        </w:rPr>
      </w:pPr>
    </w:p>
    <w:p>
      <w:pPr>
        <w:pStyle w:val="ListParagraph"/>
        <w:numPr>
          <w:ilvl w:val="0"/>
          <w:numId w:val="46"/>
        </w:numPr>
        <w:tabs>
          <w:tab w:pos="659" w:val="left" w:leader="none"/>
          <w:tab w:pos="661" w:val="left" w:leader="none"/>
        </w:tabs>
        <w:spacing w:line="232" w:lineRule="auto" w:before="0" w:after="0"/>
        <w:ind w:left="179" w:right="536" w:firstLine="0"/>
        <w:jc w:val="left"/>
        <w:rPr>
          <w:sz w:val="18"/>
        </w:rPr>
      </w:pPr>
      <w:r>
        <w:rPr>
          <w:color w:val="231F20"/>
          <w:sz w:val="18"/>
        </w:rPr>
        <w:t>Some indicators of RPI inflation during August had suggested that inflation might be lower than previously </w:t>
      </w:r>
      <w:r>
        <w:rPr>
          <w:color w:val="231F20"/>
          <w:spacing w:val="-3"/>
          <w:sz w:val="18"/>
        </w:rPr>
        <w:t>expected </w:t>
      </w:r>
      <w:r>
        <w:rPr>
          <w:color w:val="231F20"/>
          <w:sz w:val="18"/>
        </w:rPr>
        <w:t>during the autumn. In particular, there had been evidence of downward pressures on food price inflation and second-hand </w:t>
      </w:r>
      <w:r>
        <w:rPr>
          <w:color w:val="231F20"/>
          <w:spacing w:val="-6"/>
          <w:sz w:val="18"/>
        </w:rPr>
        <w:t>car </w:t>
      </w:r>
      <w:r>
        <w:rPr>
          <w:color w:val="231F20"/>
          <w:sz w:val="18"/>
        </w:rPr>
        <w:t>prices, both of which could be sustained in the short-term.</w:t>
      </w:r>
    </w:p>
    <w:p>
      <w:pPr>
        <w:pStyle w:val="BodyText"/>
        <w:spacing w:before="4"/>
        <w:rPr>
          <w:sz w:val="20"/>
        </w:rPr>
      </w:pPr>
    </w:p>
    <w:p>
      <w:pPr>
        <w:pStyle w:val="Heading6"/>
        <w:numPr>
          <w:ilvl w:val="0"/>
          <w:numId w:val="44"/>
        </w:numPr>
        <w:tabs>
          <w:tab w:pos="660" w:val="left" w:leader="none"/>
          <w:tab w:pos="661" w:val="left" w:leader="none"/>
        </w:tabs>
        <w:spacing w:line="240" w:lineRule="auto" w:before="0" w:after="0"/>
        <w:ind w:left="660" w:right="0" w:hanging="481"/>
        <w:jc w:val="left"/>
      </w:pPr>
      <w:r>
        <w:rPr>
          <w:color w:val="009483"/>
        </w:rPr>
        <w:t>Reports by the Bank’s</w:t>
      </w:r>
      <w:r>
        <w:rPr>
          <w:color w:val="009483"/>
          <w:spacing w:val="-1"/>
        </w:rPr>
        <w:t> </w:t>
      </w:r>
      <w:r>
        <w:rPr>
          <w:color w:val="009483"/>
        </w:rPr>
        <w:t>Agents</w:t>
      </w:r>
    </w:p>
    <w:p>
      <w:pPr>
        <w:pStyle w:val="ListParagraph"/>
        <w:numPr>
          <w:ilvl w:val="0"/>
          <w:numId w:val="46"/>
        </w:numPr>
        <w:tabs>
          <w:tab w:pos="659" w:val="left" w:leader="none"/>
          <w:tab w:pos="661" w:val="left" w:leader="none"/>
        </w:tabs>
        <w:spacing w:line="232" w:lineRule="auto" w:before="110" w:after="0"/>
        <w:ind w:left="180" w:right="305" w:firstLine="0"/>
        <w:jc w:val="left"/>
        <w:rPr>
          <w:sz w:val="18"/>
        </w:rPr>
      </w:pPr>
      <w:r>
        <w:rPr>
          <w:color w:val="231F20"/>
          <w:sz w:val="18"/>
        </w:rPr>
        <w:t>The Bank’s Agents had undertaken a survey of their contacts to give some insights into the pace of the slowdown in activity during July and August and the outlook for output during the rest </w:t>
      </w:r>
      <w:r>
        <w:rPr>
          <w:color w:val="231F20"/>
          <w:spacing w:val="-9"/>
          <w:sz w:val="18"/>
        </w:rPr>
        <w:t>of </w:t>
      </w:r>
      <w:r>
        <w:rPr>
          <w:color w:val="231F20"/>
          <w:sz w:val="18"/>
        </w:rPr>
        <w:t>the year. The industrial composition of their sample was similar to the whole of the private sector.</w:t>
      </w:r>
    </w:p>
    <w:p>
      <w:pPr>
        <w:pStyle w:val="BodyText"/>
        <w:rPr>
          <w:sz w:val="17"/>
        </w:rPr>
      </w:pPr>
    </w:p>
    <w:p>
      <w:pPr>
        <w:pStyle w:val="ListParagraph"/>
        <w:numPr>
          <w:ilvl w:val="0"/>
          <w:numId w:val="46"/>
        </w:numPr>
        <w:tabs>
          <w:tab w:pos="659" w:val="left" w:leader="none"/>
          <w:tab w:pos="661" w:val="left" w:leader="none"/>
        </w:tabs>
        <w:spacing w:line="232" w:lineRule="auto" w:before="0" w:after="0"/>
        <w:ind w:left="180" w:right="416" w:firstLine="0"/>
        <w:jc w:val="left"/>
        <w:rPr>
          <w:sz w:val="18"/>
        </w:rPr>
      </w:pPr>
      <w:r>
        <w:rPr>
          <w:color w:val="231F20"/>
          <w:sz w:val="18"/>
        </w:rPr>
        <w:t>In the service sector, 44% of companies reported no </w:t>
      </w:r>
      <w:r>
        <w:rPr>
          <w:color w:val="231F20"/>
          <w:spacing w:val="-3"/>
          <w:sz w:val="18"/>
        </w:rPr>
        <w:t>change </w:t>
      </w:r>
      <w:r>
        <w:rPr>
          <w:color w:val="231F20"/>
          <w:sz w:val="18"/>
        </w:rPr>
        <w:t>in output during July and August compared with 1998 Q2. The proportion of firms reporting positive growth was balanced by those reporting falling output. The outlook for the rest of the year was slightly more sanguine, with the distribution of responses marginally skewed towards those expecting positive growth. However, responses from different parts of the sector varied considerably.</w:t>
      </w:r>
    </w:p>
    <w:p>
      <w:pPr>
        <w:pStyle w:val="BodyText"/>
        <w:spacing w:before="10"/>
        <w:rPr>
          <w:sz w:val="16"/>
        </w:rPr>
      </w:pPr>
    </w:p>
    <w:p>
      <w:pPr>
        <w:pStyle w:val="ListParagraph"/>
        <w:numPr>
          <w:ilvl w:val="0"/>
          <w:numId w:val="46"/>
        </w:numPr>
        <w:tabs>
          <w:tab w:pos="659" w:val="left" w:leader="none"/>
          <w:tab w:pos="661" w:val="left" w:leader="none"/>
        </w:tabs>
        <w:spacing w:line="232" w:lineRule="auto" w:before="0" w:after="0"/>
        <w:ind w:left="180" w:right="431" w:firstLine="0"/>
        <w:jc w:val="left"/>
        <w:rPr>
          <w:sz w:val="18"/>
        </w:rPr>
      </w:pPr>
      <w:r>
        <w:rPr>
          <w:color w:val="231F20"/>
          <w:sz w:val="18"/>
        </w:rPr>
        <w:t>Output was weaker in manufacturing: 43% of those surveyed reported that output had fallen in July and August, </w:t>
      </w:r>
      <w:r>
        <w:rPr>
          <w:color w:val="231F20"/>
          <w:spacing w:val="-4"/>
          <w:sz w:val="18"/>
        </w:rPr>
        <w:t>while </w:t>
      </w:r>
      <w:r>
        <w:rPr>
          <w:color w:val="231F20"/>
          <w:sz w:val="18"/>
        </w:rPr>
        <w:t>50% expected lower output during the rest of the year. Net trade was highlighted by a majority of respondents across all sectors as the most important factor restraining output.</w:t>
      </w:r>
    </w:p>
    <w:p>
      <w:pPr>
        <w:pStyle w:val="BodyText"/>
        <w:rPr>
          <w:sz w:val="17"/>
        </w:rPr>
      </w:pPr>
    </w:p>
    <w:p>
      <w:pPr>
        <w:pStyle w:val="ListParagraph"/>
        <w:numPr>
          <w:ilvl w:val="0"/>
          <w:numId w:val="46"/>
        </w:numPr>
        <w:tabs>
          <w:tab w:pos="659" w:val="left" w:leader="none"/>
          <w:tab w:pos="661" w:val="left" w:leader="none"/>
        </w:tabs>
        <w:spacing w:line="232" w:lineRule="auto" w:before="1" w:after="0"/>
        <w:ind w:left="180" w:right="305" w:firstLine="0"/>
        <w:jc w:val="left"/>
        <w:rPr>
          <w:sz w:val="18"/>
        </w:rPr>
      </w:pPr>
      <w:r>
        <w:rPr>
          <w:color w:val="231F20"/>
          <w:sz w:val="18"/>
        </w:rPr>
        <w:t>The Agents also reported on the results of more general discussions with their contacts. Business confidence was still </w:t>
      </w:r>
      <w:r>
        <w:rPr>
          <w:color w:val="231F20"/>
          <w:spacing w:val="-4"/>
          <w:sz w:val="18"/>
        </w:rPr>
        <w:t>being </w:t>
      </w:r>
      <w:r>
        <w:rPr>
          <w:color w:val="231F20"/>
          <w:sz w:val="18"/>
        </w:rPr>
        <w:t>affected by events in Asia, though comfort was being taken by the strength in the European economy. Recent events in Russia and their impact on world financial markets had yet to have a significant effect on sentiment. Contacts had argued that there</w:t>
      </w:r>
    </w:p>
    <w:p>
      <w:pPr>
        <w:pStyle w:val="BodyText"/>
        <w:spacing w:line="232" w:lineRule="auto"/>
        <w:ind w:left="180" w:right="324"/>
      </w:pPr>
      <w:r>
        <w:rPr>
          <w:color w:val="231F20"/>
        </w:rPr>
        <w:t>was a danger of talking the economy into a recession. Though the value of sterling was being talked about less as a negative factor, there were increasing instances of transferring some production offshore. The Agents were also being told that markets lost on sterling’s strength, would not be easily won back if sterling fell in value.</w:t>
      </w:r>
    </w:p>
    <w:p>
      <w:pPr>
        <w:pStyle w:val="BodyText"/>
        <w:spacing w:before="6"/>
        <w:rPr>
          <w:sz w:val="16"/>
        </w:rPr>
      </w:pPr>
    </w:p>
    <w:p>
      <w:pPr>
        <w:pStyle w:val="ListParagraph"/>
        <w:numPr>
          <w:ilvl w:val="0"/>
          <w:numId w:val="46"/>
        </w:numPr>
        <w:tabs>
          <w:tab w:pos="659" w:val="left" w:leader="none"/>
          <w:tab w:pos="661" w:val="left" w:leader="none"/>
        </w:tabs>
        <w:spacing w:line="232" w:lineRule="auto" w:before="0" w:after="0"/>
        <w:ind w:left="180" w:right="446" w:firstLine="0"/>
        <w:jc w:val="left"/>
        <w:rPr>
          <w:sz w:val="18"/>
        </w:rPr>
      </w:pPr>
      <w:r>
        <w:rPr>
          <w:color w:val="231F20"/>
          <w:sz w:val="18"/>
        </w:rPr>
        <w:t>Retailers noted that sales growth was falling. The used car market was weak as new cars were becoming increasingly competitive, but even that market was slowing. There were </w:t>
      </w:r>
      <w:r>
        <w:rPr>
          <w:color w:val="231F20"/>
          <w:spacing w:val="-5"/>
          <w:sz w:val="18"/>
        </w:rPr>
        <w:t>many </w:t>
      </w:r>
      <w:r>
        <w:rPr>
          <w:color w:val="231F20"/>
          <w:sz w:val="18"/>
        </w:rPr>
        <w:t>non-price special offers, such as zero per cent finance, on retail goods as well as price-related deals, such as multiple purchase discounts. Contacts were concerned that these were not being captured by the RPI index. The housing market was weakening. The construction sector’s output was flattening but not going into reverse.</w:t>
      </w:r>
    </w:p>
    <w:p>
      <w:pPr>
        <w:pStyle w:val="BodyText"/>
        <w:spacing w:before="9"/>
        <w:rPr>
          <w:sz w:val="16"/>
        </w:rPr>
      </w:pPr>
    </w:p>
    <w:p>
      <w:pPr>
        <w:pStyle w:val="ListParagraph"/>
        <w:numPr>
          <w:ilvl w:val="0"/>
          <w:numId w:val="46"/>
        </w:numPr>
        <w:tabs>
          <w:tab w:pos="659" w:val="left" w:leader="none"/>
          <w:tab w:pos="661" w:val="left" w:leader="none"/>
        </w:tabs>
        <w:spacing w:line="232" w:lineRule="auto" w:before="0" w:after="0"/>
        <w:ind w:left="180" w:right="311" w:firstLine="0"/>
        <w:jc w:val="left"/>
        <w:rPr>
          <w:sz w:val="18"/>
        </w:rPr>
      </w:pPr>
      <w:r>
        <w:rPr>
          <w:color w:val="231F20"/>
          <w:sz w:val="18"/>
        </w:rPr>
        <w:t>Skill shortages persisted in IT, electrical engineering and construction. There were also reports of shortages of able unskilled staff in the service sector. Even so, many service sector contacts expected recruitment to slow and some could see a downturn in employment ahead.</w:t>
      </w:r>
    </w:p>
    <w:p>
      <w:pPr>
        <w:spacing w:after="0" w:line="232" w:lineRule="auto"/>
        <w:jc w:val="left"/>
        <w:rPr>
          <w:sz w:val="18"/>
        </w:rPr>
        <w:sectPr>
          <w:type w:val="continuous"/>
          <w:pgSz w:w="11900" w:h="16840"/>
          <w:pgMar w:top="1220" w:bottom="280" w:left="620" w:right="520"/>
          <w:cols w:num="2" w:equalWidth="0">
            <w:col w:w="5119" w:space="264"/>
            <w:col w:w="5377"/>
          </w:cols>
        </w:sectPr>
      </w:pPr>
    </w:p>
    <w:p>
      <w:pPr>
        <w:pStyle w:val="BodyText"/>
        <w:rPr>
          <w:sz w:val="20"/>
        </w:rPr>
      </w:pPr>
    </w:p>
    <w:p>
      <w:pPr>
        <w:spacing w:line="357" w:lineRule="auto" w:before="218"/>
        <w:ind w:left="174" w:right="3355" w:firstLine="0"/>
        <w:jc w:val="left"/>
        <w:rPr>
          <w:b/>
          <w:sz w:val="28"/>
        </w:rPr>
      </w:pPr>
      <w:bookmarkStart w:name="September press notice" w:id="91"/>
      <w:bookmarkEnd w:id="91"/>
      <w:r>
        <w:rPr/>
      </w:r>
      <w:bookmarkStart w:name="_bookmark34" w:id="92"/>
      <w:bookmarkEnd w:id="92"/>
      <w:r>
        <w:rPr/>
      </w:r>
      <w:r>
        <w:rPr>
          <w:b/>
          <w:color w:val="009483"/>
          <w:sz w:val="28"/>
        </w:rPr>
        <w:t>Text of Bank of England press notice of 10 September 1998 Bank of England maintains interest rates at 7.50%</w:t>
      </w:r>
    </w:p>
    <w:p>
      <w:pPr>
        <w:pStyle w:val="BodyText"/>
        <w:spacing w:before="2"/>
        <w:rPr>
          <w:b/>
          <w:sz w:val="13"/>
        </w:rPr>
      </w:pPr>
    </w:p>
    <w:p>
      <w:pPr>
        <w:pStyle w:val="BodyText"/>
        <w:spacing w:before="92"/>
        <w:ind w:left="200"/>
      </w:pPr>
      <w:r>
        <w:rPr>
          <w:color w:val="231F20"/>
        </w:rPr>
        <w:t>The Bank of England’s Monetary Policy Committee has today voted to maintain the Bank’s repo rate at 7.50%.</w:t>
      </w:r>
    </w:p>
    <w:p>
      <w:pPr>
        <w:pStyle w:val="BodyText"/>
        <w:spacing w:before="2"/>
        <w:rPr>
          <w:sz w:val="17"/>
        </w:rPr>
      </w:pPr>
    </w:p>
    <w:p>
      <w:pPr>
        <w:pStyle w:val="BodyText"/>
        <w:spacing w:line="232" w:lineRule="auto" w:before="1"/>
        <w:ind w:left="200" w:right="272"/>
      </w:pPr>
      <w:r>
        <w:rPr>
          <w:color w:val="231F20"/>
        </w:rPr>
        <w:t>The Committee discussed extensively the potential impact of recent international and domestic economic developments on the outlook for UK activity and inflation. Although the Committee judges that the current level of interest rates is necessary to meet the inflation target, it recognises that deterioration in the international economy could increase the risks of inflation falling below the target. The Committee will continue to monitor these risks.</w:t>
      </w:r>
    </w:p>
    <w:p>
      <w:pPr>
        <w:pStyle w:val="BodyText"/>
        <w:spacing w:before="1"/>
        <w:rPr>
          <w:sz w:val="17"/>
        </w:rPr>
      </w:pPr>
    </w:p>
    <w:p>
      <w:pPr>
        <w:pStyle w:val="BodyText"/>
        <w:spacing w:line="232" w:lineRule="auto"/>
        <w:ind w:left="200" w:right="400"/>
      </w:pPr>
      <w:r>
        <w:rPr>
          <w:color w:val="231F20"/>
        </w:rPr>
        <w:t>The minutes of today’s Monetary Policy Committee meeting will be published on Wednesday 14 October. The minutes of the meeting held in August will be published on Wednesday 16 September.</w:t>
      </w:r>
    </w:p>
    <w:p>
      <w:pPr>
        <w:spacing w:after="0" w:line="232" w:lineRule="auto"/>
        <w:sectPr>
          <w:pgSz w:w="11900" w:h="16840"/>
          <w:pgMar w:header="566" w:footer="597" w:top="760" w:bottom="780" w:left="620" w:right="520"/>
        </w:sectPr>
      </w:pPr>
    </w:p>
    <w:p>
      <w:pPr>
        <w:pStyle w:val="BodyText"/>
        <w:rPr>
          <w:sz w:val="20"/>
        </w:rPr>
      </w:pPr>
    </w:p>
    <w:p>
      <w:pPr>
        <w:pStyle w:val="BodyText"/>
        <w:rPr>
          <w:sz w:val="20"/>
        </w:rPr>
      </w:pPr>
    </w:p>
    <w:p>
      <w:pPr>
        <w:pStyle w:val="BodyText"/>
        <w:spacing w:before="7"/>
        <w:rPr>
          <w:sz w:val="20"/>
        </w:rPr>
      </w:pPr>
    </w:p>
    <w:p>
      <w:pPr>
        <w:pStyle w:val="Heading1"/>
        <w:ind w:left="170"/>
      </w:pPr>
      <w:bookmarkStart w:name="October minutes" w:id="93"/>
      <w:bookmarkEnd w:id="93"/>
      <w:r>
        <w:rPr>
          <w:b w:val="0"/>
        </w:rPr>
      </w:r>
      <w:bookmarkStart w:name="_bookmark35" w:id="94"/>
      <w:bookmarkEnd w:id="94"/>
      <w:r>
        <w:rPr>
          <w:b w:val="0"/>
        </w:rPr>
      </w:r>
      <w:r>
        <w:rPr>
          <w:color w:val="009483"/>
        </w:rPr>
        <w:t>Minutes of the Monetary Policy Committee meeting on 7–8 October 1998</w:t>
      </w:r>
    </w:p>
    <w:p>
      <w:pPr>
        <w:pStyle w:val="BodyText"/>
        <w:spacing w:before="6"/>
        <w:rPr>
          <w:b/>
          <w:sz w:val="28"/>
        </w:rPr>
      </w:pPr>
    </w:p>
    <w:p>
      <w:pPr>
        <w:spacing w:after="0"/>
        <w:rPr>
          <w:sz w:val="28"/>
        </w:rPr>
        <w:sectPr>
          <w:pgSz w:w="11900" w:h="16840"/>
          <w:pgMar w:header="566" w:footer="597" w:top="760" w:bottom="780" w:left="620" w:right="520"/>
        </w:sectPr>
      </w:pPr>
    </w:p>
    <w:p>
      <w:pPr>
        <w:pStyle w:val="ListParagraph"/>
        <w:numPr>
          <w:ilvl w:val="0"/>
          <w:numId w:val="47"/>
        </w:numPr>
        <w:tabs>
          <w:tab w:pos="645" w:val="left" w:leader="none"/>
          <w:tab w:pos="646" w:val="left" w:leader="none"/>
        </w:tabs>
        <w:spacing w:line="232" w:lineRule="auto" w:before="97" w:after="0"/>
        <w:ind w:left="165" w:right="157" w:firstLine="0"/>
        <w:jc w:val="left"/>
        <w:rPr>
          <w:sz w:val="18"/>
        </w:rPr>
      </w:pPr>
      <w:r>
        <w:rPr>
          <w:color w:val="231F20"/>
          <w:sz w:val="18"/>
        </w:rPr>
        <w:t>Before considering the implications of the latest data for its immediate policy decision, the Committee discussed recent developments in the prospects for world output and trade; the </w:t>
      </w:r>
      <w:r>
        <w:rPr>
          <w:color w:val="231F20"/>
          <w:spacing w:val="-5"/>
          <w:sz w:val="18"/>
        </w:rPr>
        <w:t>risk </w:t>
      </w:r>
      <w:r>
        <w:rPr>
          <w:color w:val="231F20"/>
          <w:sz w:val="18"/>
        </w:rPr>
        <w:t>of a credit crunch; movements in financial markets; the revised National Accounts data; and the labour market, including the correction to the earnings figures since May.</w:t>
      </w:r>
    </w:p>
    <w:p>
      <w:pPr>
        <w:pStyle w:val="BodyText"/>
        <w:rPr>
          <w:sz w:val="22"/>
        </w:rPr>
      </w:pPr>
    </w:p>
    <w:p>
      <w:pPr>
        <w:pStyle w:val="Heading6"/>
        <w:ind w:left="165"/>
      </w:pPr>
      <w:r>
        <w:rPr>
          <w:color w:val="009483"/>
        </w:rPr>
        <w:t>The external environment</w:t>
      </w:r>
    </w:p>
    <w:p>
      <w:pPr>
        <w:pStyle w:val="ListParagraph"/>
        <w:numPr>
          <w:ilvl w:val="0"/>
          <w:numId w:val="47"/>
        </w:numPr>
        <w:tabs>
          <w:tab w:pos="645" w:val="left" w:leader="none"/>
          <w:tab w:pos="646" w:val="left" w:leader="none"/>
        </w:tabs>
        <w:spacing w:line="232" w:lineRule="auto" w:before="110" w:after="0"/>
        <w:ind w:left="165" w:right="127" w:firstLine="0"/>
        <w:jc w:val="left"/>
        <w:rPr>
          <w:sz w:val="18"/>
        </w:rPr>
      </w:pPr>
      <w:r>
        <w:rPr>
          <w:color w:val="231F20"/>
          <w:sz w:val="18"/>
        </w:rPr>
        <w:t>The Committee began by discussing recent developments </w:t>
      </w:r>
      <w:r>
        <w:rPr>
          <w:color w:val="231F20"/>
          <w:spacing w:val="-9"/>
          <w:sz w:val="18"/>
        </w:rPr>
        <w:t>in </w:t>
      </w:r>
      <w:r>
        <w:rPr>
          <w:color w:val="231F20"/>
          <w:sz w:val="18"/>
        </w:rPr>
        <w:t>the world economy. These could be broadly grouped under three main headings. First, the prospects for world output and trade had deteriorated over the month and the prospects of lower world inflation and weaker commodity prices had improved; second,</w:t>
      </w:r>
    </w:p>
    <w:p>
      <w:pPr>
        <w:pStyle w:val="BodyText"/>
        <w:spacing w:line="232" w:lineRule="auto"/>
        <w:ind w:left="165" w:right="351"/>
      </w:pPr>
      <w:r>
        <w:rPr>
          <w:color w:val="231F20"/>
        </w:rPr>
        <w:t>the Committee discussed the risks of a credit crunch; third, financial markets had been particularly volatile and there had been significant changes in equity prices, interest and exchange rates.</w:t>
      </w:r>
    </w:p>
    <w:p>
      <w:pPr>
        <w:pStyle w:val="BodyText"/>
      </w:pPr>
    </w:p>
    <w:p>
      <w:pPr>
        <w:pStyle w:val="ListParagraph"/>
        <w:numPr>
          <w:ilvl w:val="0"/>
          <w:numId w:val="48"/>
        </w:numPr>
        <w:tabs>
          <w:tab w:pos="645" w:val="left" w:leader="none"/>
          <w:tab w:pos="646" w:val="left" w:leader="none"/>
        </w:tabs>
        <w:spacing w:line="240" w:lineRule="auto" w:before="1" w:after="0"/>
        <w:ind w:left="645" w:right="0" w:hanging="481"/>
        <w:jc w:val="left"/>
        <w:rPr>
          <w:i/>
          <w:sz w:val="18"/>
        </w:rPr>
      </w:pPr>
      <w:r>
        <w:rPr>
          <w:i/>
          <w:color w:val="009483"/>
          <w:sz w:val="18"/>
        </w:rPr>
        <w:t>Prospects for world output and trade</w:t>
      </w:r>
    </w:p>
    <w:p>
      <w:pPr>
        <w:pStyle w:val="ListParagraph"/>
        <w:numPr>
          <w:ilvl w:val="0"/>
          <w:numId w:val="47"/>
        </w:numPr>
        <w:tabs>
          <w:tab w:pos="645" w:val="left" w:leader="none"/>
          <w:tab w:pos="646" w:val="left" w:leader="none"/>
        </w:tabs>
        <w:spacing w:line="232" w:lineRule="auto" w:before="118" w:after="0"/>
        <w:ind w:left="165" w:right="58" w:firstLine="0"/>
        <w:jc w:val="left"/>
        <w:rPr>
          <w:sz w:val="18"/>
        </w:rPr>
      </w:pPr>
      <w:r>
        <w:rPr>
          <w:color w:val="231F20"/>
          <w:sz w:val="18"/>
        </w:rPr>
        <w:t>The latest International Monetary Fund </w:t>
      </w:r>
      <w:r>
        <w:rPr>
          <w:i/>
          <w:color w:val="231F20"/>
          <w:sz w:val="18"/>
        </w:rPr>
        <w:t>World Economic </w:t>
      </w:r>
      <w:r>
        <w:rPr>
          <w:i/>
          <w:color w:val="231F20"/>
          <w:sz w:val="18"/>
        </w:rPr>
        <w:t>Outlook </w:t>
      </w:r>
      <w:r>
        <w:rPr>
          <w:color w:val="231F20"/>
          <w:sz w:val="18"/>
        </w:rPr>
        <w:t>(IMF </w:t>
      </w:r>
      <w:r>
        <w:rPr>
          <w:i/>
          <w:color w:val="231F20"/>
          <w:sz w:val="18"/>
        </w:rPr>
        <w:t>WEO</w:t>
      </w:r>
      <w:r>
        <w:rPr>
          <w:color w:val="231F20"/>
          <w:sz w:val="18"/>
        </w:rPr>
        <w:t>) projection was for world output growth of 2.0% in 1998 and 2.5% in 1999, while world trade volume was projected to grow by 3.7% and 4.6% respectively. These projections were much lower than published in May, and they implied a sharp slowdown from 1997. There were considerable downside risks that world trade, and hence demand for UK exports, might be even weaker than the IMF was currently projecting for </w:t>
      </w:r>
      <w:r>
        <w:rPr>
          <w:color w:val="231F20"/>
          <w:spacing w:val="-6"/>
          <w:sz w:val="18"/>
        </w:rPr>
        <w:t>the </w:t>
      </w:r>
      <w:r>
        <w:rPr>
          <w:color w:val="231F20"/>
          <w:sz w:val="18"/>
        </w:rPr>
        <w:t>rest of this year and 1999.</w:t>
      </w:r>
    </w:p>
    <w:p>
      <w:pPr>
        <w:pStyle w:val="BodyText"/>
        <w:spacing w:before="9"/>
        <w:rPr>
          <w:sz w:val="16"/>
        </w:rPr>
      </w:pPr>
    </w:p>
    <w:p>
      <w:pPr>
        <w:pStyle w:val="ListParagraph"/>
        <w:numPr>
          <w:ilvl w:val="0"/>
          <w:numId w:val="47"/>
        </w:numPr>
        <w:tabs>
          <w:tab w:pos="645" w:val="left" w:leader="none"/>
          <w:tab w:pos="646" w:val="left" w:leader="none"/>
        </w:tabs>
        <w:spacing w:line="232" w:lineRule="auto" w:before="0" w:after="0"/>
        <w:ind w:left="165" w:right="288" w:firstLine="0"/>
        <w:jc w:val="left"/>
        <w:rPr>
          <w:sz w:val="18"/>
        </w:rPr>
      </w:pPr>
      <w:r>
        <w:rPr>
          <w:color w:val="231F20"/>
          <w:sz w:val="18"/>
        </w:rPr>
        <w:t>The outlook for activity in Japan had, if anything, deteriorated further since the September meeting, though the prospect of progress on banking reform seemed brighter and </w:t>
      </w:r>
      <w:r>
        <w:rPr>
          <w:color w:val="231F20"/>
          <w:spacing w:val="-6"/>
          <w:sz w:val="18"/>
        </w:rPr>
        <w:t>had </w:t>
      </w:r>
      <w:r>
        <w:rPr>
          <w:color w:val="231F20"/>
          <w:sz w:val="18"/>
        </w:rPr>
        <w:t>been reflected in the level of the Nikkei.</w:t>
      </w:r>
    </w:p>
    <w:p>
      <w:pPr>
        <w:pStyle w:val="BodyText"/>
        <w:spacing w:before="1"/>
        <w:rPr>
          <w:sz w:val="17"/>
        </w:rPr>
      </w:pPr>
    </w:p>
    <w:p>
      <w:pPr>
        <w:pStyle w:val="ListParagraph"/>
        <w:numPr>
          <w:ilvl w:val="0"/>
          <w:numId w:val="47"/>
        </w:numPr>
        <w:tabs>
          <w:tab w:pos="645" w:val="left" w:leader="none"/>
          <w:tab w:pos="646" w:val="left" w:leader="none"/>
        </w:tabs>
        <w:spacing w:line="232" w:lineRule="auto" w:before="0" w:after="0"/>
        <w:ind w:left="165" w:right="48" w:firstLine="0"/>
        <w:jc w:val="left"/>
        <w:rPr>
          <w:sz w:val="18"/>
        </w:rPr>
      </w:pPr>
      <w:r>
        <w:rPr>
          <w:color w:val="231F20"/>
          <w:sz w:val="18"/>
        </w:rPr>
        <w:t>Turning to the emerging market economies, the situation in some of the worst affected countries remained difficult, but since the election on 4 October capital outflows from Brazil in particular appeared to have fallen. The implications of further adverse news in Latin America would be serious for the world economic outlook, both because of the size of these economies and their financial </w:t>
      </w:r>
      <w:r>
        <w:rPr>
          <w:color w:val="231F20"/>
          <w:spacing w:val="-4"/>
          <w:sz w:val="18"/>
        </w:rPr>
        <w:t>links </w:t>
      </w:r>
      <w:r>
        <w:rPr>
          <w:color w:val="231F20"/>
          <w:sz w:val="18"/>
        </w:rPr>
        <w:t>with other emerging market and industrialised economies.</w:t>
      </w:r>
    </w:p>
    <w:p>
      <w:pPr>
        <w:pStyle w:val="BodyText"/>
        <w:spacing w:before="5"/>
        <w:rPr>
          <w:sz w:val="16"/>
        </w:rPr>
      </w:pPr>
    </w:p>
    <w:p>
      <w:pPr>
        <w:pStyle w:val="ListParagraph"/>
        <w:numPr>
          <w:ilvl w:val="0"/>
          <w:numId w:val="48"/>
        </w:numPr>
        <w:tabs>
          <w:tab w:pos="645" w:val="left" w:leader="none"/>
          <w:tab w:pos="646" w:val="left" w:leader="none"/>
        </w:tabs>
        <w:spacing w:line="240" w:lineRule="auto" w:before="1" w:after="0"/>
        <w:ind w:left="645" w:right="0" w:hanging="481"/>
        <w:jc w:val="left"/>
        <w:rPr>
          <w:i/>
          <w:sz w:val="18"/>
        </w:rPr>
      </w:pPr>
      <w:r>
        <w:rPr>
          <w:i/>
          <w:color w:val="009483"/>
          <w:sz w:val="18"/>
        </w:rPr>
        <w:t>The risk of a credit crunch</w:t>
      </w:r>
    </w:p>
    <w:p>
      <w:pPr>
        <w:pStyle w:val="ListParagraph"/>
        <w:numPr>
          <w:ilvl w:val="0"/>
          <w:numId w:val="47"/>
        </w:numPr>
        <w:tabs>
          <w:tab w:pos="645" w:val="left" w:leader="none"/>
          <w:tab w:pos="646" w:val="left" w:leader="none"/>
        </w:tabs>
        <w:spacing w:line="232" w:lineRule="auto" w:before="118" w:after="0"/>
        <w:ind w:left="165" w:right="153" w:firstLine="0"/>
        <w:jc w:val="left"/>
        <w:rPr>
          <w:sz w:val="18"/>
        </w:rPr>
      </w:pPr>
      <w:r>
        <w:rPr>
          <w:color w:val="231F20"/>
          <w:sz w:val="18"/>
        </w:rPr>
        <w:t>The Russian default had led to a sea change in perceptions concerning the pricing of risk and the desire for liquidity. </w:t>
      </w:r>
      <w:r>
        <w:rPr>
          <w:color w:val="231F20"/>
          <w:spacing w:val="-3"/>
          <w:sz w:val="18"/>
        </w:rPr>
        <w:t>Spreads </w:t>
      </w:r>
      <w:r>
        <w:rPr>
          <w:color w:val="231F20"/>
          <w:sz w:val="18"/>
        </w:rPr>
        <w:t>on emerging market debt were much higher than in the autumn of 1997, and were close to the levels reached following the Mexican crisis in 1995. Nonetheless, spreads on emerging market debt had fallen slightly during the month. There had been tentative signs that the financial fragility seen in the immediate aftermath of the Russian default might have been easing, but the problems at</w:t>
      </w:r>
    </w:p>
    <w:p>
      <w:pPr>
        <w:pStyle w:val="BodyText"/>
        <w:spacing w:line="232" w:lineRule="auto"/>
        <w:ind w:left="165" w:right="86"/>
      </w:pPr>
      <w:r>
        <w:rPr>
          <w:color w:val="231F20"/>
        </w:rPr>
        <w:t>Long-Term Capital Management (L</w:t>
      </w:r>
      <w:r>
        <w:rPr>
          <w:color w:val="231F20"/>
          <w:sz w:val="14"/>
        </w:rPr>
        <w:t>TCM</w:t>
      </w:r>
      <w:r>
        <w:rPr>
          <w:color w:val="231F20"/>
        </w:rPr>
        <w:t>) had led to a further reassessment by financial markets. In the United States, concerns had emerged that the deterioration in confidence was spreading beyond the financial sector and impacting on credit conditions faced by the industrial and commercial sectors.</w:t>
      </w:r>
    </w:p>
    <w:p>
      <w:pPr>
        <w:pStyle w:val="BodyText"/>
        <w:spacing w:before="3"/>
      </w:pPr>
    </w:p>
    <w:p>
      <w:pPr>
        <w:pStyle w:val="ListParagraph"/>
        <w:numPr>
          <w:ilvl w:val="0"/>
          <w:numId w:val="47"/>
        </w:numPr>
        <w:tabs>
          <w:tab w:pos="645" w:val="left" w:leader="none"/>
          <w:tab w:pos="646" w:val="left" w:leader="none"/>
        </w:tabs>
        <w:spacing w:line="232" w:lineRule="auto" w:before="0" w:after="0"/>
        <w:ind w:left="165" w:right="38" w:firstLine="0"/>
        <w:jc w:val="left"/>
        <w:rPr>
          <w:sz w:val="18"/>
        </w:rPr>
      </w:pPr>
      <w:r>
        <w:rPr>
          <w:color w:val="231F20"/>
          <w:sz w:val="18"/>
        </w:rPr>
        <w:t>In the United Kingdom, although corporate bond yields had actually fallen over the past year and over the past month, there had been a rise in the spread between the yield on corporate bonds and gilts since the previous meeting. Spreads were well above the level of a year ago, reflecting either an increased aversion to risk or a perception of greater risks. Bond issuance by UK companies </w:t>
      </w:r>
      <w:r>
        <w:rPr>
          <w:color w:val="231F20"/>
          <w:spacing w:val="-4"/>
          <w:sz w:val="18"/>
        </w:rPr>
        <w:t>would </w:t>
      </w:r>
      <w:r>
        <w:rPr>
          <w:color w:val="231F20"/>
          <w:sz w:val="18"/>
        </w:rPr>
        <w:t>need to be monitored.</w:t>
      </w:r>
    </w:p>
    <w:p>
      <w:pPr>
        <w:pStyle w:val="ListParagraph"/>
        <w:numPr>
          <w:ilvl w:val="0"/>
          <w:numId w:val="47"/>
        </w:numPr>
        <w:tabs>
          <w:tab w:pos="645" w:val="left" w:leader="none"/>
          <w:tab w:pos="646" w:val="left" w:leader="none"/>
        </w:tabs>
        <w:spacing w:line="232" w:lineRule="auto" w:before="97" w:after="0"/>
        <w:ind w:left="165" w:right="323" w:firstLine="0"/>
        <w:jc w:val="left"/>
        <w:rPr>
          <w:sz w:val="18"/>
        </w:rPr>
      </w:pPr>
      <w:r>
        <w:rPr>
          <w:color w:val="231F20"/>
          <w:sz w:val="18"/>
        </w:rPr>
        <w:br w:type="column"/>
        <w:t>The latest monetary data showed fairly strong growth in bank lending to the corporate sector in August, but it was too early for the most recent developments to be reflected in the published data. Looking back over a longer period, the growth of bank lending to the corporate sector had slowed and may have been related to a slowdown in demand rather than a reduction in supply. Anecdotal evidence suggested that there was no across-the-board tightening of terms for small- or medium-sized corporate customers or households, although over a longer period there had been adjustments for companies exposed to emerging market</w:t>
      </w:r>
      <w:r>
        <w:rPr>
          <w:color w:val="231F20"/>
          <w:spacing w:val="-16"/>
          <w:sz w:val="18"/>
        </w:rPr>
        <w:t> </w:t>
      </w:r>
      <w:r>
        <w:rPr>
          <w:color w:val="231F20"/>
          <w:sz w:val="18"/>
        </w:rPr>
        <w:t>economies.</w:t>
      </w:r>
    </w:p>
    <w:p>
      <w:pPr>
        <w:pStyle w:val="BodyText"/>
        <w:spacing w:before="3"/>
        <w:rPr>
          <w:sz w:val="16"/>
        </w:rPr>
      </w:pPr>
    </w:p>
    <w:p>
      <w:pPr>
        <w:pStyle w:val="ListParagraph"/>
        <w:numPr>
          <w:ilvl w:val="0"/>
          <w:numId w:val="48"/>
        </w:numPr>
        <w:tabs>
          <w:tab w:pos="646" w:val="left" w:leader="none"/>
        </w:tabs>
        <w:spacing w:line="240" w:lineRule="auto" w:before="0" w:after="0"/>
        <w:ind w:left="645" w:right="0" w:hanging="481"/>
        <w:jc w:val="left"/>
        <w:rPr>
          <w:i/>
          <w:sz w:val="18"/>
        </w:rPr>
      </w:pPr>
      <w:r>
        <w:rPr>
          <w:i/>
          <w:color w:val="009483"/>
          <w:sz w:val="18"/>
        </w:rPr>
        <w:t>Movements in financial markets</w:t>
      </w:r>
    </w:p>
    <w:p>
      <w:pPr>
        <w:pStyle w:val="ListParagraph"/>
        <w:numPr>
          <w:ilvl w:val="0"/>
          <w:numId w:val="47"/>
        </w:numPr>
        <w:tabs>
          <w:tab w:pos="645" w:val="left" w:leader="none"/>
          <w:tab w:pos="646" w:val="left" w:leader="none"/>
        </w:tabs>
        <w:spacing w:line="232" w:lineRule="auto" w:before="118" w:after="0"/>
        <w:ind w:left="165" w:right="313" w:firstLine="0"/>
        <w:jc w:val="left"/>
        <w:rPr>
          <w:sz w:val="18"/>
        </w:rPr>
      </w:pPr>
      <w:r>
        <w:rPr>
          <w:color w:val="231F20"/>
          <w:sz w:val="18"/>
        </w:rPr>
        <w:t>The level of interest rates implied by the December short sterling contract had fallen around 25 basis points since the previous meeting, and 100 basis points since the high in mid-June. The fall implied by 1999 contracts was greater still. Gilt yields had also fallen. The fall in UK nominal government bond yields </w:t>
      </w:r>
      <w:r>
        <w:rPr>
          <w:color w:val="231F20"/>
          <w:spacing w:val="-3"/>
          <w:sz w:val="18"/>
        </w:rPr>
        <w:t>looked </w:t>
      </w:r>
      <w:r>
        <w:rPr>
          <w:color w:val="231F20"/>
          <w:sz w:val="18"/>
        </w:rPr>
        <w:t>particularly striking when compared to the much smaller change in the yield on index linked gilts.  The Committee noted that this could reflect a genuine downward revision of implied forward expected inflation rates—which should be considered alongside a possible global revision of inflation expectations. But at least some of it probably reflected liquidity or ‘flight to quality’ effects as portfolios were adjusted, and this part was likely to prove temporary.</w:t>
      </w:r>
    </w:p>
    <w:p>
      <w:pPr>
        <w:pStyle w:val="ListParagraph"/>
        <w:numPr>
          <w:ilvl w:val="0"/>
          <w:numId w:val="47"/>
        </w:numPr>
        <w:tabs>
          <w:tab w:pos="645" w:val="left" w:leader="none"/>
          <w:tab w:pos="646" w:val="left" w:leader="none"/>
        </w:tabs>
        <w:spacing w:line="232" w:lineRule="auto" w:before="170" w:after="0"/>
        <w:ind w:left="165" w:right="313" w:firstLine="0"/>
        <w:jc w:val="left"/>
        <w:rPr>
          <w:sz w:val="18"/>
        </w:rPr>
      </w:pPr>
      <w:r>
        <w:rPr>
          <w:color w:val="231F20"/>
          <w:sz w:val="18"/>
        </w:rPr>
        <w:t>Against the backdrop of a weaker outlook for the demand </w:t>
      </w:r>
      <w:r>
        <w:rPr>
          <w:color w:val="231F20"/>
          <w:spacing w:val="-6"/>
          <w:sz w:val="18"/>
        </w:rPr>
        <w:t>for </w:t>
      </w:r>
      <w:r>
        <w:rPr>
          <w:color w:val="231F20"/>
          <w:sz w:val="18"/>
        </w:rPr>
        <w:t>UK exports than thought at the time of the previous meeting, the Committee assessed the 3</w:t>
      </w:r>
      <w:r>
        <w:rPr>
          <w:color w:val="231F20"/>
          <w:position w:val="6"/>
          <w:sz w:val="9"/>
        </w:rPr>
        <w:t>1</w:t>
      </w:r>
      <w:r>
        <w:rPr>
          <w:color w:val="231F20"/>
          <w:sz w:val="18"/>
        </w:rPr>
        <w:t>/</w:t>
      </w:r>
      <w:r>
        <w:rPr>
          <w:color w:val="231F20"/>
          <w:sz w:val="9"/>
        </w:rPr>
        <w:t>2</w:t>
      </w:r>
      <w:r>
        <w:rPr>
          <w:color w:val="231F20"/>
          <w:sz w:val="18"/>
        </w:rPr>
        <w:t>% fall in the sterling effective exchange rate since the September meeting. (Sterling was around 5% below the assumption used in the August central projection.) It was difficult to gauge the implications for RPIX inflation without identifying the sources of the depreciation, although the fall in sterling against the Deutsche Mark seemed consistent with movements in market expectations of future domestic and foreign short-term interest rates. The implied fall in domestic short-term interest rate expectations and the depreciation of sterling suggested that markets anticipated some degree of monetary easing,</w:t>
      </w:r>
    </w:p>
    <w:p>
      <w:pPr>
        <w:pStyle w:val="BodyText"/>
        <w:spacing w:line="232" w:lineRule="auto"/>
        <w:ind w:left="165" w:right="766"/>
      </w:pPr>
      <w:r>
        <w:rPr>
          <w:color w:val="231F20"/>
        </w:rPr>
        <w:t>which could be already affecting decisions by companies and households.</w:t>
      </w:r>
    </w:p>
    <w:p>
      <w:pPr>
        <w:pStyle w:val="BodyText"/>
        <w:spacing w:before="5"/>
        <w:rPr>
          <w:sz w:val="16"/>
        </w:rPr>
      </w:pPr>
    </w:p>
    <w:p>
      <w:pPr>
        <w:pStyle w:val="ListParagraph"/>
        <w:numPr>
          <w:ilvl w:val="0"/>
          <w:numId w:val="47"/>
        </w:numPr>
        <w:tabs>
          <w:tab w:pos="645" w:val="left" w:leader="none"/>
          <w:tab w:pos="646" w:val="left" w:leader="none"/>
        </w:tabs>
        <w:spacing w:line="232" w:lineRule="auto" w:before="1" w:after="0"/>
        <w:ind w:left="165" w:right="323" w:firstLine="0"/>
        <w:jc w:val="left"/>
        <w:rPr>
          <w:sz w:val="18"/>
        </w:rPr>
      </w:pPr>
      <w:r>
        <w:rPr>
          <w:color w:val="231F20"/>
          <w:sz w:val="18"/>
        </w:rPr>
        <w:t>The dollar had weakened over the past month against the Deutsche Mark and yen. The fall in US equity prices, and the US economy’s exposure to the most heavily affected emerging market economies, might have led markets to anticipate a fall in US interest rates relative to other industrialised economies. This </w:t>
      </w:r>
      <w:r>
        <w:rPr>
          <w:color w:val="231F20"/>
          <w:spacing w:val="-4"/>
          <w:sz w:val="18"/>
        </w:rPr>
        <w:t>would </w:t>
      </w:r>
      <w:r>
        <w:rPr>
          <w:color w:val="231F20"/>
          <w:sz w:val="18"/>
        </w:rPr>
        <w:t>be consistent with some depreciation of the dollar. The dollar fell markedly against the yen during the course of the meeting.</w:t>
      </w:r>
    </w:p>
    <w:p>
      <w:pPr>
        <w:pStyle w:val="BodyText"/>
        <w:spacing w:before="10"/>
        <w:rPr>
          <w:sz w:val="16"/>
        </w:rPr>
      </w:pPr>
    </w:p>
    <w:p>
      <w:pPr>
        <w:pStyle w:val="ListParagraph"/>
        <w:numPr>
          <w:ilvl w:val="0"/>
          <w:numId w:val="47"/>
        </w:numPr>
        <w:tabs>
          <w:tab w:pos="645" w:val="left" w:leader="none"/>
          <w:tab w:pos="646" w:val="left" w:leader="none"/>
        </w:tabs>
        <w:spacing w:line="232" w:lineRule="auto" w:before="0" w:after="0"/>
        <w:ind w:left="165" w:right="328" w:firstLine="0"/>
        <w:jc w:val="left"/>
        <w:rPr>
          <w:sz w:val="18"/>
        </w:rPr>
      </w:pPr>
      <w:r>
        <w:rPr>
          <w:color w:val="231F20"/>
          <w:sz w:val="18"/>
        </w:rPr>
        <w:t>The F</w:t>
      </w:r>
      <w:r>
        <w:rPr>
          <w:color w:val="231F20"/>
          <w:sz w:val="14"/>
        </w:rPr>
        <w:t>T-SE </w:t>
      </w:r>
      <w:r>
        <w:rPr>
          <w:color w:val="231F20"/>
          <w:sz w:val="18"/>
        </w:rPr>
        <w:t>All-Share index had fallen by about 10% since </w:t>
      </w:r>
      <w:r>
        <w:rPr>
          <w:color w:val="231F20"/>
          <w:spacing w:val="-6"/>
          <w:sz w:val="18"/>
        </w:rPr>
        <w:t>the </w:t>
      </w:r>
      <w:r>
        <w:rPr>
          <w:color w:val="231F20"/>
          <w:sz w:val="18"/>
        </w:rPr>
        <w:t>September meeting, and was well below the July peak. The fall was particularly marked in the banking sector. The fall in the</w:t>
      </w:r>
    </w:p>
    <w:p>
      <w:pPr>
        <w:pStyle w:val="BodyText"/>
        <w:spacing w:line="232" w:lineRule="auto"/>
        <w:ind w:left="165" w:right="331"/>
      </w:pPr>
      <w:r>
        <w:rPr>
          <w:color w:val="231F20"/>
        </w:rPr>
        <w:t>F</w:t>
      </w:r>
      <w:r>
        <w:rPr>
          <w:color w:val="231F20"/>
          <w:sz w:val="14"/>
        </w:rPr>
        <w:t>T-SE </w:t>
      </w:r>
      <w:r>
        <w:rPr>
          <w:color w:val="231F20"/>
        </w:rPr>
        <w:t>over the past month had been more than that in the Dow Jones—though the movements in the two indices over the past year had been similar. A fall in equity wealth could have implications for permanent income and hence consumption, as well as the cost of capital and investment. Both would work in the direction of weakening the outlook for output and inflation, as would the recent moderation of house price inflation.</w:t>
      </w:r>
    </w:p>
    <w:p>
      <w:pPr>
        <w:pStyle w:val="BodyText"/>
        <w:rPr>
          <w:sz w:val="20"/>
        </w:rPr>
      </w:pPr>
    </w:p>
    <w:p>
      <w:pPr>
        <w:pStyle w:val="Heading6"/>
        <w:ind w:left="165"/>
      </w:pPr>
      <w:r>
        <w:rPr>
          <w:color w:val="009483"/>
        </w:rPr>
        <w:t>Activity and the revisions to the National Accounts</w:t>
      </w:r>
    </w:p>
    <w:p>
      <w:pPr>
        <w:pStyle w:val="ListParagraph"/>
        <w:numPr>
          <w:ilvl w:val="0"/>
          <w:numId w:val="47"/>
        </w:numPr>
        <w:tabs>
          <w:tab w:pos="645" w:val="left" w:leader="none"/>
          <w:tab w:pos="646" w:val="left" w:leader="none"/>
        </w:tabs>
        <w:spacing w:line="232" w:lineRule="auto" w:before="110" w:after="0"/>
        <w:ind w:left="165" w:right="428" w:firstLine="0"/>
        <w:jc w:val="left"/>
        <w:rPr>
          <w:sz w:val="18"/>
        </w:rPr>
      </w:pPr>
      <w:r>
        <w:rPr>
          <w:color w:val="231F20"/>
          <w:sz w:val="18"/>
        </w:rPr>
        <w:t>The National Accounts had been revised since the previous meeting, following methodological changes, rebasing and incorporation of new data. Although the new headline measure </w:t>
      </w:r>
      <w:r>
        <w:rPr>
          <w:color w:val="231F20"/>
          <w:spacing w:val="-9"/>
          <w:sz w:val="18"/>
        </w:rPr>
        <w:t>of </w:t>
      </w:r>
      <w:r>
        <w:rPr>
          <w:color w:val="231F20"/>
          <w:sz w:val="18"/>
        </w:rPr>
        <w:t>GDP growth at market prices was little changed in the first half of</w:t>
      </w:r>
    </w:p>
    <w:p>
      <w:pPr>
        <w:spacing w:after="0" w:line="232" w:lineRule="auto"/>
        <w:jc w:val="left"/>
        <w:rPr>
          <w:sz w:val="18"/>
        </w:rPr>
        <w:sectPr>
          <w:type w:val="continuous"/>
          <w:pgSz w:w="11900" w:h="16840"/>
          <w:pgMar w:top="1220" w:bottom="280" w:left="620" w:right="520"/>
          <w:cols w:num="2" w:equalWidth="0">
            <w:col w:w="5110" w:space="280"/>
            <w:col w:w="5370"/>
          </w:cols>
        </w:sectPr>
      </w:pPr>
    </w:p>
    <w:p>
      <w:pPr>
        <w:pStyle w:val="BodyText"/>
        <w:rPr>
          <w:sz w:val="20"/>
        </w:rPr>
      </w:pPr>
    </w:p>
    <w:p>
      <w:pPr>
        <w:spacing w:after="0"/>
        <w:rPr>
          <w:sz w:val="20"/>
        </w:rPr>
        <w:sectPr>
          <w:pgSz w:w="11900" w:h="16840"/>
          <w:pgMar w:header="566" w:footer="597" w:top="760" w:bottom="780" w:left="620" w:right="520"/>
        </w:sectPr>
      </w:pPr>
    </w:p>
    <w:p>
      <w:pPr>
        <w:pStyle w:val="BodyText"/>
        <w:spacing w:before="7"/>
        <w:rPr>
          <w:sz w:val="19"/>
        </w:rPr>
      </w:pPr>
    </w:p>
    <w:p>
      <w:pPr>
        <w:pStyle w:val="BodyText"/>
        <w:spacing w:line="232" w:lineRule="auto" w:before="1"/>
        <w:ind w:left="194" w:right="82"/>
      </w:pPr>
      <w:r>
        <w:rPr>
          <w:color w:val="231F20"/>
        </w:rPr>
        <w:t>1998 compared with the previous estimate, growth in gross value added (formerly GDP at factor cost) was faster. The level of GDP on the headline measure had been revised up by just under 2% compared with the earlier estimates, and the average growth rate of GDP had been around 0.2% higher since the start of the decade.</w:t>
      </w:r>
    </w:p>
    <w:p>
      <w:pPr>
        <w:pStyle w:val="BodyText"/>
        <w:spacing w:line="232" w:lineRule="auto"/>
        <w:ind w:left="194" w:right="76"/>
      </w:pPr>
      <w:r>
        <w:rPr>
          <w:color w:val="231F20"/>
        </w:rPr>
        <w:t>The revision to investment suggested that capacity was also higher than previously thought. This made it difficult to judge whether </w:t>
      </w:r>
      <w:r>
        <w:rPr>
          <w:color w:val="231F20"/>
          <w:spacing w:val="-6"/>
        </w:rPr>
        <w:t>the </w:t>
      </w:r>
      <w:r>
        <w:rPr>
          <w:color w:val="231F20"/>
        </w:rPr>
        <w:t>revised data suggested that output was higher relative to the economy’s productive capacity than previously thought. That would need to be assessed in the preparation of the November </w:t>
      </w:r>
      <w:r>
        <w:rPr>
          <w:i/>
          <w:color w:val="231F20"/>
        </w:rPr>
        <w:t>Inflation Report</w:t>
      </w:r>
      <w:r>
        <w:rPr>
          <w:color w:val="231F20"/>
        </w:rPr>
        <w:t>. On balance, revisions to the National Accounts did not significantly alter the Committee’s view of prospects for demand, output and inflation.</w:t>
      </w:r>
    </w:p>
    <w:p>
      <w:pPr>
        <w:pStyle w:val="BodyText"/>
        <w:spacing w:before="5"/>
        <w:rPr>
          <w:sz w:val="16"/>
        </w:rPr>
      </w:pPr>
    </w:p>
    <w:p>
      <w:pPr>
        <w:pStyle w:val="ListParagraph"/>
        <w:numPr>
          <w:ilvl w:val="0"/>
          <w:numId w:val="47"/>
        </w:numPr>
        <w:tabs>
          <w:tab w:pos="674" w:val="left" w:leader="none"/>
          <w:tab w:pos="675" w:val="left" w:leader="none"/>
        </w:tabs>
        <w:spacing w:line="232" w:lineRule="auto" w:before="1" w:after="0"/>
        <w:ind w:left="194" w:right="38" w:firstLine="0"/>
        <w:jc w:val="left"/>
        <w:rPr>
          <w:sz w:val="18"/>
        </w:rPr>
      </w:pPr>
      <w:r>
        <w:rPr>
          <w:color w:val="231F20"/>
          <w:sz w:val="18"/>
        </w:rPr>
        <w:t>Revisions to consumption suggested that growth had </w:t>
      </w:r>
      <w:r>
        <w:rPr>
          <w:color w:val="231F20"/>
          <w:spacing w:val="-3"/>
          <w:sz w:val="18"/>
        </w:rPr>
        <w:t>recently </w:t>
      </w:r>
      <w:r>
        <w:rPr>
          <w:color w:val="231F20"/>
          <w:sz w:val="18"/>
        </w:rPr>
        <w:t>slowed more quickly than previously thought. But investment growth had been revised up, so that final domestic demand growth was only slightly lower through the second half of 1997 and the first half of 1998 than previously estimated. Even after revisions, the recent rise in inventories (stockbuilding) remained difficult to interpret. The Bank’s regional agents had undertaken an informal survey which showed some signs of an undesired accumulation of inventories—especially in finished manufactures—and a desire to unwind those positions. There was a risk of a fall in inventories reducing GDP growth in the second half of 1998, but it was difficult to quantify. The contribution from net trade to GDP growth had been revised up in the second quarter, though it had been erratic from quarter to quarter.</w:t>
      </w:r>
    </w:p>
    <w:p>
      <w:pPr>
        <w:pStyle w:val="BodyText"/>
        <w:spacing w:before="5"/>
        <w:rPr>
          <w:sz w:val="16"/>
        </w:rPr>
      </w:pPr>
    </w:p>
    <w:p>
      <w:pPr>
        <w:pStyle w:val="ListParagraph"/>
        <w:numPr>
          <w:ilvl w:val="0"/>
          <w:numId w:val="47"/>
        </w:numPr>
        <w:tabs>
          <w:tab w:pos="674" w:val="left" w:leader="none"/>
          <w:tab w:pos="675" w:val="left" w:leader="none"/>
        </w:tabs>
        <w:spacing w:line="232" w:lineRule="auto" w:before="0" w:after="0"/>
        <w:ind w:left="194" w:right="78" w:firstLine="0"/>
        <w:jc w:val="left"/>
        <w:rPr>
          <w:sz w:val="18"/>
        </w:rPr>
      </w:pPr>
      <w:r>
        <w:rPr>
          <w:color w:val="231F20"/>
          <w:sz w:val="18"/>
        </w:rPr>
        <w:t>The latest activity indicators for the third quarter appeared consistent with the August </w:t>
      </w:r>
      <w:r>
        <w:rPr>
          <w:i/>
          <w:color w:val="231F20"/>
          <w:sz w:val="18"/>
        </w:rPr>
        <w:t>Inflation Report </w:t>
      </w:r>
      <w:r>
        <w:rPr>
          <w:color w:val="231F20"/>
          <w:sz w:val="18"/>
        </w:rPr>
        <w:t>central projection. But looking forward, the prospects for demand and output seemed weaker than at the time of the previous meeting on account of both external and domestic news. The evidence from domestic consumer and business surveys was almost uniformly weak. The picture from the surveys was confirmed by the reports from the Bank’s regional Agents which had shown a marked deterioration </w:t>
      </w:r>
      <w:r>
        <w:rPr>
          <w:color w:val="231F20"/>
          <w:spacing w:val="-9"/>
          <w:sz w:val="18"/>
        </w:rPr>
        <w:t>in </w:t>
      </w:r>
      <w:r>
        <w:rPr>
          <w:color w:val="231F20"/>
          <w:sz w:val="18"/>
        </w:rPr>
        <w:t>business sentiment over recent months.</w:t>
      </w:r>
    </w:p>
    <w:p>
      <w:pPr>
        <w:pStyle w:val="BodyText"/>
        <w:rPr>
          <w:sz w:val="20"/>
        </w:rPr>
      </w:pPr>
    </w:p>
    <w:p>
      <w:pPr>
        <w:pStyle w:val="Heading6"/>
        <w:ind w:left="194"/>
      </w:pPr>
      <w:r>
        <w:rPr>
          <w:color w:val="009483"/>
        </w:rPr>
        <w:t>The labour market</w:t>
      </w:r>
    </w:p>
    <w:p>
      <w:pPr>
        <w:pStyle w:val="ListParagraph"/>
        <w:numPr>
          <w:ilvl w:val="0"/>
          <w:numId w:val="47"/>
        </w:numPr>
        <w:tabs>
          <w:tab w:pos="674" w:val="left" w:leader="none"/>
          <w:tab w:pos="675" w:val="left" w:leader="none"/>
        </w:tabs>
        <w:spacing w:line="232" w:lineRule="auto" w:before="110" w:after="0"/>
        <w:ind w:left="194" w:right="108" w:firstLine="0"/>
        <w:jc w:val="left"/>
        <w:rPr>
          <w:sz w:val="18"/>
        </w:rPr>
      </w:pPr>
      <w:r>
        <w:rPr>
          <w:color w:val="231F20"/>
          <w:sz w:val="18"/>
        </w:rPr>
        <w:t>There was evidence of continuing tightness in the labour market, with unemployment continuing to fall on both the LFS </w:t>
      </w:r>
      <w:r>
        <w:rPr>
          <w:color w:val="231F20"/>
          <w:spacing w:val="-6"/>
          <w:sz w:val="18"/>
        </w:rPr>
        <w:t>and </w:t>
      </w:r>
      <w:r>
        <w:rPr>
          <w:color w:val="231F20"/>
          <w:sz w:val="18"/>
        </w:rPr>
        <w:t>claimant-count measures. Employment was still rising on the LFS measure, although hours worked had been flat. The lags between output and employment, and output growth having remained close to trend in the first half of the year, could explain why unemployment had continued to fall. Reports of recent job losses were likely to relate to the period after that covered by the latest data.</w:t>
      </w:r>
    </w:p>
    <w:p>
      <w:pPr>
        <w:pStyle w:val="BodyText"/>
        <w:spacing w:before="9"/>
        <w:rPr>
          <w:sz w:val="16"/>
        </w:rPr>
      </w:pPr>
    </w:p>
    <w:p>
      <w:pPr>
        <w:pStyle w:val="ListParagraph"/>
        <w:numPr>
          <w:ilvl w:val="0"/>
          <w:numId w:val="47"/>
        </w:numPr>
        <w:tabs>
          <w:tab w:pos="674" w:val="left" w:leader="none"/>
          <w:tab w:pos="675" w:val="left" w:leader="none"/>
        </w:tabs>
        <w:spacing w:line="232" w:lineRule="auto" w:before="0" w:after="0"/>
        <w:ind w:left="194" w:right="128" w:firstLine="0"/>
        <w:jc w:val="left"/>
        <w:rPr>
          <w:sz w:val="18"/>
        </w:rPr>
      </w:pPr>
      <w:r>
        <w:rPr>
          <w:color w:val="231F20"/>
          <w:sz w:val="18"/>
        </w:rPr>
        <w:t>The Committee then turned to the corrections to average earnings growth for May, June and July announced by the ONS </w:t>
      </w:r>
      <w:r>
        <w:rPr>
          <w:color w:val="231F20"/>
          <w:spacing w:val="-7"/>
          <w:sz w:val="18"/>
        </w:rPr>
        <w:t>on </w:t>
      </w:r>
      <w:r>
        <w:rPr>
          <w:color w:val="231F20"/>
          <w:sz w:val="18"/>
        </w:rPr>
        <w:t>6 October. At the time of the September meeting, the extent of </w:t>
      </w:r>
      <w:r>
        <w:rPr>
          <w:color w:val="231F20"/>
          <w:spacing w:val="-6"/>
          <w:sz w:val="18"/>
        </w:rPr>
        <w:t>the </w:t>
      </w:r>
      <w:r>
        <w:rPr>
          <w:color w:val="231F20"/>
          <w:sz w:val="18"/>
        </w:rPr>
        <w:t>fall in annual earnings growth between May and June had been surprising, and the Committee had concluded that if subsequently confirmed by later data it would be good news about domestically generated inflationary pressure. However, the subsequent correction of these figures meant that the fall in earnings growth was less sharp. But there was considerable uncertainty about the reliability of official data on earnings growth. The correction related to the treatment of new firms included in the sample from April 1998 onwards, which had lower levels of average earnings than the firms already in the sample. The number of new firms surveyed in some sectors appeared to be material. Even on the corrected data there remained a puzzle concerning the fall in the contribution from regular pay.</w:t>
      </w:r>
    </w:p>
    <w:p>
      <w:pPr>
        <w:pStyle w:val="BodyText"/>
      </w:pPr>
    </w:p>
    <w:p>
      <w:pPr>
        <w:pStyle w:val="ListParagraph"/>
        <w:numPr>
          <w:ilvl w:val="0"/>
          <w:numId w:val="47"/>
        </w:numPr>
        <w:tabs>
          <w:tab w:pos="674" w:val="left" w:leader="none"/>
          <w:tab w:pos="675" w:val="left" w:leader="none"/>
        </w:tabs>
        <w:spacing w:line="232" w:lineRule="auto" w:before="1" w:after="0"/>
        <w:ind w:left="194" w:right="268" w:firstLine="0"/>
        <w:jc w:val="left"/>
        <w:rPr>
          <w:sz w:val="18"/>
        </w:rPr>
      </w:pPr>
      <w:r>
        <w:rPr>
          <w:color w:val="231F20"/>
          <w:sz w:val="18"/>
        </w:rPr>
        <w:t>Given the correction, and the fact that these figures were likely to change again on 14 October when the ONS released rebased estimates of the Average Earnings Index, the Committee felt more uncertain than usual about the interpretation of the</w:t>
      </w:r>
    </w:p>
    <w:p>
      <w:pPr>
        <w:pStyle w:val="BodyText"/>
        <w:spacing w:before="7"/>
        <w:rPr>
          <w:sz w:val="19"/>
        </w:rPr>
      </w:pPr>
      <w:r>
        <w:rPr/>
        <w:br w:type="column"/>
      </w:r>
      <w:r>
        <w:rPr>
          <w:sz w:val="19"/>
        </w:rPr>
      </w:r>
    </w:p>
    <w:p>
      <w:pPr>
        <w:pStyle w:val="BodyText"/>
        <w:spacing w:line="232" w:lineRule="auto" w:before="1"/>
        <w:ind w:left="194" w:right="284"/>
      </w:pPr>
      <w:r>
        <w:rPr>
          <w:color w:val="231F20"/>
        </w:rPr>
        <w:t>earnings figures. The Committee also noted that there were no signs of a fall in settlements, which had continued to edge up on </w:t>
      </w:r>
      <w:r>
        <w:rPr>
          <w:color w:val="231F20"/>
          <w:spacing w:val="-6"/>
        </w:rPr>
        <w:t>the </w:t>
      </w:r>
      <w:r>
        <w:rPr>
          <w:color w:val="231F20"/>
        </w:rPr>
        <w:t>twelve-month employment-weighted measure most directly comparable to the annual earnings growth figures.</w:t>
      </w:r>
    </w:p>
    <w:p>
      <w:pPr>
        <w:pStyle w:val="BodyText"/>
        <w:spacing w:before="4"/>
        <w:rPr>
          <w:sz w:val="20"/>
        </w:rPr>
      </w:pPr>
    </w:p>
    <w:p>
      <w:pPr>
        <w:pStyle w:val="Heading6"/>
        <w:spacing w:line="266" w:lineRule="auto"/>
        <w:ind w:left="194" w:right="468"/>
      </w:pPr>
      <w:r>
        <w:rPr>
          <w:color w:val="009483"/>
        </w:rPr>
        <w:t>The consequences for the Committee’s output </w:t>
      </w:r>
      <w:r>
        <w:rPr>
          <w:color w:val="009483"/>
          <w:spacing w:val="-6"/>
        </w:rPr>
        <w:t>and </w:t>
      </w:r>
      <w:r>
        <w:rPr>
          <w:color w:val="009483"/>
        </w:rPr>
        <w:t>inflation</w:t>
      </w:r>
      <w:r>
        <w:rPr>
          <w:color w:val="009483"/>
          <w:spacing w:val="-1"/>
        </w:rPr>
        <w:t> </w:t>
      </w:r>
      <w:r>
        <w:rPr>
          <w:color w:val="009483"/>
        </w:rPr>
        <w:t>projections</w:t>
      </w:r>
    </w:p>
    <w:p>
      <w:pPr>
        <w:pStyle w:val="ListParagraph"/>
        <w:numPr>
          <w:ilvl w:val="0"/>
          <w:numId w:val="47"/>
        </w:numPr>
        <w:tabs>
          <w:tab w:pos="674" w:val="left" w:leader="none"/>
          <w:tab w:pos="675" w:val="left" w:leader="none"/>
        </w:tabs>
        <w:spacing w:line="232" w:lineRule="auto" w:before="81" w:after="0"/>
        <w:ind w:left="194" w:right="285" w:firstLine="0"/>
        <w:jc w:val="left"/>
        <w:rPr>
          <w:sz w:val="18"/>
        </w:rPr>
      </w:pPr>
      <w:r>
        <w:rPr>
          <w:color w:val="231F20"/>
          <w:sz w:val="18"/>
        </w:rPr>
        <w:t>Overall, the global outlook appeared weaker than it had a month ago, and the links from developments in emerging market economies to the industrial economies were becoming stronger and more apparent. In particular, recent developments raised the question of a credit crunch in the United States. There had been a flight to industrial countries’ government debt from corporate debt, as well as from emerging market economies, with a resulting rise in spreads. The order of magnitude of the financial risks in the </w:t>
      </w:r>
      <w:r>
        <w:rPr>
          <w:color w:val="231F20"/>
          <w:spacing w:val="-3"/>
          <w:sz w:val="18"/>
        </w:rPr>
        <w:t>United </w:t>
      </w:r>
      <w:r>
        <w:rPr>
          <w:color w:val="231F20"/>
          <w:sz w:val="18"/>
        </w:rPr>
        <w:t>States currently seemed greater than in the United Kingdom. It </w:t>
      </w:r>
      <w:r>
        <w:rPr>
          <w:color w:val="231F20"/>
          <w:spacing w:val="-6"/>
          <w:sz w:val="18"/>
        </w:rPr>
        <w:t>was </w:t>
      </w:r>
      <w:r>
        <w:rPr>
          <w:color w:val="231F20"/>
          <w:sz w:val="18"/>
        </w:rPr>
        <w:t>not clear that the signs of financial fragility in global financial markets would persist. But even if signs of fragility dissipated, there could be significant effects on world activity from the fall in equity prices and the shifts in business and consumer confidence that had already occurred.</w:t>
      </w:r>
    </w:p>
    <w:p>
      <w:pPr>
        <w:pStyle w:val="ListParagraph"/>
        <w:numPr>
          <w:ilvl w:val="0"/>
          <w:numId w:val="47"/>
        </w:numPr>
        <w:tabs>
          <w:tab w:pos="674" w:val="left" w:leader="none"/>
          <w:tab w:pos="675" w:val="left" w:leader="none"/>
        </w:tabs>
        <w:spacing w:line="232" w:lineRule="auto" w:before="169" w:after="0"/>
        <w:ind w:left="194" w:right="290" w:firstLine="0"/>
        <w:jc w:val="left"/>
        <w:rPr>
          <w:sz w:val="18"/>
        </w:rPr>
      </w:pPr>
      <w:r>
        <w:rPr>
          <w:color w:val="231F20"/>
          <w:sz w:val="18"/>
        </w:rPr>
        <w:t>While there had been significant news affecting the outlook for activity during the month, there was no clear message from data on prices and costs. Inflation had turned out broadly as expected at the time of the August </w:t>
      </w:r>
      <w:r>
        <w:rPr>
          <w:i/>
          <w:color w:val="231F20"/>
          <w:sz w:val="18"/>
        </w:rPr>
        <w:t>Inflation Report</w:t>
      </w:r>
      <w:r>
        <w:rPr>
          <w:color w:val="231F20"/>
          <w:sz w:val="18"/>
        </w:rPr>
        <w:t>, and had remained surprisingly stable over recent years despite large movements in </w:t>
      </w:r>
      <w:r>
        <w:rPr>
          <w:color w:val="231F20"/>
          <w:spacing w:val="-6"/>
          <w:sz w:val="18"/>
        </w:rPr>
        <w:t>the </w:t>
      </w:r>
      <w:r>
        <w:rPr>
          <w:color w:val="231F20"/>
          <w:sz w:val="18"/>
        </w:rPr>
        <w:t>exchange rate and activity. There was uncertainty concerning the news in the corrected earnings data. Furthermore, the Committee had to take into account the causes and effect of the depreciation of sterling since the September meeting.</w:t>
      </w:r>
    </w:p>
    <w:p>
      <w:pPr>
        <w:pStyle w:val="BodyText"/>
        <w:spacing w:before="1"/>
        <w:rPr>
          <w:sz w:val="20"/>
        </w:rPr>
      </w:pPr>
    </w:p>
    <w:p>
      <w:pPr>
        <w:pStyle w:val="Heading6"/>
        <w:ind w:left="194"/>
      </w:pPr>
      <w:r>
        <w:rPr>
          <w:color w:val="009483"/>
        </w:rPr>
        <w:t>The immediate policy decision</w:t>
      </w:r>
    </w:p>
    <w:p>
      <w:pPr>
        <w:pStyle w:val="ListParagraph"/>
        <w:numPr>
          <w:ilvl w:val="0"/>
          <w:numId w:val="47"/>
        </w:numPr>
        <w:tabs>
          <w:tab w:pos="674" w:val="left" w:leader="none"/>
          <w:tab w:pos="675" w:val="left" w:leader="none"/>
        </w:tabs>
        <w:spacing w:line="232" w:lineRule="auto" w:before="109" w:after="0"/>
        <w:ind w:left="194" w:right="409" w:firstLine="0"/>
        <w:jc w:val="left"/>
        <w:rPr>
          <w:sz w:val="18"/>
        </w:rPr>
      </w:pPr>
      <w:r>
        <w:rPr>
          <w:color w:val="231F20"/>
          <w:sz w:val="18"/>
        </w:rPr>
        <w:t>The Committee noted that it could take account of the analysis and opinion of outside commentators, but had to reach </w:t>
      </w:r>
      <w:r>
        <w:rPr>
          <w:color w:val="231F20"/>
          <w:spacing w:val="-6"/>
          <w:sz w:val="18"/>
        </w:rPr>
        <w:t>its </w:t>
      </w:r>
      <w:r>
        <w:rPr>
          <w:color w:val="231F20"/>
          <w:sz w:val="18"/>
        </w:rPr>
        <w:t>own assessment, in line with its remit.</w:t>
      </w:r>
    </w:p>
    <w:p>
      <w:pPr>
        <w:pStyle w:val="BodyText"/>
        <w:spacing w:before="2"/>
        <w:rPr>
          <w:sz w:val="17"/>
        </w:rPr>
      </w:pPr>
    </w:p>
    <w:p>
      <w:pPr>
        <w:pStyle w:val="ListParagraph"/>
        <w:numPr>
          <w:ilvl w:val="0"/>
          <w:numId w:val="47"/>
        </w:numPr>
        <w:tabs>
          <w:tab w:pos="674" w:val="left" w:leader="none"/>
          <w:tab w:pos="675" w:val="left" w:leader="none"/>
        </w:tabs>
        <w:spacing w:line="232" w:lineRule="auto" w:before="0" w:after="0"/>
        <w:ind w:left="194" w:right="329" w:firstLine="0"/>
        <w:jc w:val="left"/>
        <w:rPr>
          <w:sz w:val="18"/>
        </w:rPr>
      </w:pPr>
      <w:r>
        <w:rPr>
          <w:color w:val="231F20"/>
          <w:sz w:val="18"/>
        </w:rPr>
        <w:t>The Committee recognised that recent financial turbulence introduced new downside risks to the outlook for output in the industrial countries as a whole. That effect would be taken into account in the Committee’s assessment of the prospects of hitting the inflation target in the United Kingdom. Moreover, an early reduction in UK interest rates might, following the easing of </w:t>
      </w:r>
      <w:r>
        <w:rPr>
          <w:color w:val="231F20"/>
          <w:spacing w:val="-3"/>
          <w:sz w:val="18"/>
        </w:rPr>
        <w:t>policy </w:t>
      </w:r>
      <w:r>
        <w:rPr>
          <w:color w:val="231F20"/>
          <w:sz w:val="18"/>
        </w:rPr>
        <w:t>in the United States, help to reduce current turbulence in financial markets.</w:t>
      </w:r>
    </w:p>
    <w:p>
      <w:pPr>
        <w:pStyle w:val="ListParagraph"/>
        <w:numPr>
          <w:ilvl w:val="0"/>
          <w:numId w:val="47"/>
        </w:numPr>
        <w:tabs>
          <w:tab w:pos="674" w:val="left" w:leader="none"/>
          <w:tab w:pos="675" w:val="left" w:leader="none"/>
        </w:tabs>
        <w:spacing w:line="232" w:lineRule="auto" w:before="174" w:after="0"/>
        <w:ind w:left="194" w:right="274" w:firstLine="0"/>
        <w:jc w:val="left"/>
        <w:rPr>
          <w:sz w:val="18"/>
        </w:rPr>
      </w:pPr>
      <w:r>
        <w:rPr>
          <w:color w:val="231F20"/>
          <w:sz w:val="18"/>
        </w:rPr>
        <w:t>Although there had been little news in the GDP revisions </w:t>
      </w:r>
      <w:r>
        <w:rPr>
          <w:color w:val="231F20"/>
          <w:spacing w:val="-6"/>
          <w:sz w:val="18"/>
        </w:rPr>
        <w:t>and </w:t>
      </w:r>
      <w:r>
        <w:rPr>
          <w:color w:val="231F20"/>
          <w:sz w:val="18"/>
        </w:rPr>
        <w:t>latest monthly indicators, the domestic survey evidence, together with the weaker outlook for world activity, suggested that the prospects for UK activity had deteriorated. The Committee concluded that the slowdown in aggregate demand was likely to be greater, and more protracted, than thought at the time of the August </w:t>
      </w:r>
      <w:r>
        <w:rPr>
          <w:i/>
          <w:color w:val="231F20"/>
          <w:sz w:val="18"/>
        </w:rPr>
        <w:t>Inflation Report</w:t>
      </w:r>
      <w:r>
        <w:rPr>
          <w:color w:val="231F20"/>
          <w:sz w:val="18"/>
        </w:rPr>
        <w:t>. The extent of the deterioration was uncertain, and would need to be quantified in the context of the November forecast round. Some of the relevant factors—such as developments in credit markets—were particularly difficult to quantify. Looking forward, the expected sharper and more prolonged slowdown in aggregate demand, together with the latest price and cost data, had probably reduced or removed the ‘hump’ in the central projection for inflation made in August, and increased the risk of inflation falling below the target of 2.5% looking two years or so ahead.</w:t>
      </w:r>
    </w:p>
    <w:p>
      <w:pPr>
        <w:pStyle w:val="BodyText"/>
        <w:spacing w:before="4"/>
        <w:rPr>
          <w:sz w:val="16"/>
        </w:rPr>
      </w:pPr>
    </w:p>
    <w:p>
      <w:pPr>
        <w:pStyle w:val="ListParagraph"/>
        <w:numPr>
          <w:ilvl w:val="0"/>
          <w:numId w:val="47"/>
        </w:numPr>
        <w:tabs>
          <w:tab w:pos="674" w:val="left" w:leader="none"/>
          <w:tab w:pos="675" w:val="left" w:leader="none"/>
        </w:tabs>
        <w:spacing w:line="232" w:lineRule="auto" w:before="0" w:after="0"/>
        <w:ind w:left="194" w:right="349" w:firstLine="0"/>
        <w:jc w:val="left"/>
        <w:rPr>
          <w:sz w:val="18"/>
        </w:rPr>
      </w:pPr>
      <w:r>
        <w:rPr>
          <w:color w:val="231F20"/>
          <w:sz w:val="18"/>
        </w:rPr>
        <w:t>There was a tension between the ONS data, which showed the economy to be broadly on the track expected at the time of the August </w:t>
      </w:r>
      <w:r>
        <w:rPr>
          <w:i/>
          <w:color w:val="231F20"/>
          <w:sz w:val="18"/>
        </w:rPr>
        <w:t>Inflation Report</w:t>
      </w:r>
      <w:r>
        <w:rPr>
          <w:color w:val="231F20"/>
          <w:sz w:val="18"/>
        </w:rPr>
        <w:t>, and the weak survey data. It was difficult to know how much weight to place on the surveys.</w:t>
      </w:r>
    </w:p>
    <w:p>
      <w:pPr>
        <w:pStyle w:val="ListParagraph"/>
        <w:numPr>
          <w:ilvl w:val="0"/>
          <w:numId w:val="47"/>
        </w:numPr>
        <w:tabs>
          <w:tab w:pos="674" w:val="left" w:leader="none"/>
          <w:tab w:pos="675" w:val="left" w:leader="none"/>
        </w:tabs>
        <w:spacing w:line="232" w:lineRule="auto" w:before="177" w:after="0"/>
        <w:ind w:left="194" w:right="334" w:firstLine="0"/>
        <w:jc w:val="left"/>
        <w:rPr>
          <w:sz w:val="18"/>
        </w:rPr>
      </w:pPr>
      <w:r>
        <w:rPr>
          <w:color w:val="231F20"/>
          <w:sz w:val="18"/>
        </w:rPr>
        <w:t>One argument was that more weight should be placed on </w:t>
      </w:r>
      <w:r>
        <w:rPr>
          <w:color w:val="231F20"/>
          <w:spacing w:val="-6"/>
          <w:sz w:val="18"/>
        </w:rPr>
        <w:t>the </w:t>
      </w:r>
      <w:r>
        <w:rPr>
          <w:color w:val="231F20"/>
          <w:sz w:val="18"/>
        </w:rPr>
        <w:t>published data than the recent weakness in surveys—which might</w:t>
      </w:r>
    </w:p>
    <w:p>
      <w:pPr>
        <w:spacing w:after="0" w:line="232" w:lineRule="auto"/>
        <w:jc w:val="left"/>
        <w:rPr>
          <w:sz w:val="18"/>
        </w:rPr>
        <w:sectPr>
          <w:type w:val="continuous"/>
          <w:pgSz w:w="11900" w:h="16840"/>
          <w:pgMar w:top="1220" w:bottom="280" w:left="620" w:right="520"/>
          <w:cols w:num="2" w:equalWidth="0">
            <w:col w:w="5139" w:space="251"/>
            <w:col w:w="5370"/>
          </w:cols>
        </w:sectPr>
      </w:pPr>
    </w:p>
    <w:p>
      <w:pPr>
        <w:pStyle w:val="BodyText"/>
        <w:rPr>
          <w:sz w:val="20"/>
        </w:rPr>
      </w:pPr>
    </w:p>
    <w:p>
      <w:pPr>
        <w:spacing w:after="0"/>
        <w:rPr>
          <w:sz w:val="20"/>
        </w:rPr>
        <w:sectPr>
          <w:pgSz w:w="11900" w:h="16840"/>
          <w:pgMar w:header="566" w:footer="597" w:top="760" w:bottom="780" w:left="620" w:right="520"/>
        </w:sectPr>
      </w:pPr>
    </w:p>
    <w:p>
      <w:pPr>
        <w:pStyle w:val="BodyText"/>
        <w:spacing w:before="7"/>
        <w:rPr>
          <w:sz w:val="19"/>
        </w:rPr>
      </w:pPr>
    </w:p>
    <w:p>
      <w:pPr>
        <w:pStyle w:val="BodyText"/>
        <w:spacing w:line="232" w:lineRule="auto" w:before="1"/>
        <w:ind w:left="185" w:right="38"/>
      </w:pPr>
      <w:r>
        <w:rPr>
          <w:color w:val="231F20"/>
        </w:rPr>
        <w:t>not persist. If some of the deterioration in sentiment concerning prospects for the world economy also proved to be overdone, the profile for UK inflation might not change significantly compared with the August </w:t>
      </w:r>
      <w:r>
        <w:rPr>
          <w:i/>
          <w:color w:val="231F20"/>
        </w:rPr>
        <w:t>Report </w:t>
      </w:r>
      <w:r>
        <w:rPr>
          <w:color w:val="231F20"/>
        </w:rPr>
        <w:t>central projection. On this view, the degree of monetary easing required at the present time was small, especially given the fall of sterling. But it was necessary to take into account market expectations of a loosening: taking no action might further dent confidence, thus increasing the downside risks </w:t>
      </w:r>
      <w:r>
        <w:rPr>
          <w:color w:val="231F20"/>
          <w:spacing w:val="-9"/>
        </w:rPr>
        <w:t>to </w:t>
      </w:r>
      <w:r>
        <w:rPr>
          <w:color w:val="231F20"/>
        </w:rPr>
        <w:t>activity and inflation. These considerations pointed to an interest rate cut of 25 basis points.</w:t>
      </w:r>
    </w:p>
    <w:p>
      <w:pPr>
        <w:pStyle w:val="BodyText"/>
        <w:spacing w:before="8"/>
        <w:rPr>
          <w:sz w:val="16"/>
        </w:rPr>
      </w:pPr>
    </w:p>
    <w:p>
      <w:pPr>
        <w:pStyle w:val="ListParagraph"/>
        <w:numPr>
          <w:ilvl w:val="0"/>
          <w:numId w:val="47"/>
        </w:numPr>
        <w:tabs>
          <w:tab w:pos="665" w:val="left" w:leader="none"/>
          <w:tab w:pos="666" w:val="left" w:leader="none"/>
        </w:tabs>
        <w:spacing w:line="232" w:lineRule="auto" w:before="0" w:after="0"/>
        <w:ind w:left="185" w:right="83" w:firstLine="0"/>
        <w:jc w:val="left"/>
        <w:rPr>
          <w:sz w:val="18"/>
        </w:rPr>
      </w:pPr>
      <w:r>
        <w:rPr>
          <w:color w:val="231F20"/>
          <w:sz w:val="18"/>
        </w:rPr>
        <w:t>Another argument suggested that the case for an interest </w:t>
      </w:r>
      <w:r>
        <w:rPr>
          <w:color w:val="231F20"/>
          <w:spacing w:val="-5"/>
          <w:sz w:val="18"/>
        </w:rPr>
        <w:t>rate </w:t>
      </w:r>
      <w:r>
        <w:rPr>
          <w:color w:val="231F20"/>
          <w:sz w:val="18"/>
        </w:rPr>
        <w:t>cut was clearer. The weakness in surveys during the past few months now seemed uniform, and the sharp deterioration in sentiment was confirmed by the Bank’s regional Agencies. It was difficult to discount this evidence and together with the overseas news it could significantly change the outlook for inflation. At the same time there had also been some easing from the fall in the exchange rate and short-term real interest rate expectations. These arguments also suggested that a reduction in interest rates of</w:t>
      </w:r>
    </w:p>
    <w:p>
      <w:pPr>
        <w:pStyle w:val="BodyText"/>
        <w:spacing w:line="232" w:lineRule="auto"/>
        <w:ind w:left="185" w:right="38"/>
      </w:pPr>
      <w:r>
        <w:rPr>
          <w:color w:val="231F20"/>
        </w:rPr>
        <w:t>25 basis points was warranted. There were, as yet, no clear signs of a credit crunch in the UK, but if they emerged, a larger cut in rates might be required.</w:t>
      </w:r>
    </w:p>
    <w:p>
      <w:pPr>
        <w:pStyle w:val="BodyText"/>
        <w:spacing w:before="6"/>
        <w:rPr>
          <w:sz w:val="16"/>
        </w:rPr>
      </w:pPr>
    </w:p>
    <w:p>
      <w:pPr>
        <w:pStyle w:val="ListParagraph"/>
        <w:numPr>
          <w:ilvl w:val="0"/>
          <w:numId w:val="49"/>
        </w:numPr>
        <w:tabs>
          <w:tab w:pos="665" w:val="left" w:leader="none"/>
          <w:tab w:pos="666" w:val="left" w:leader="none"/>
        </w:tabs>
        <w:spacing w:line="232" w:lineRule="auto" w:before="1" w:after="0"/>
        <w:ind w:left="185" w:right="68" w:firstLine="0"/>
        <w:jc w:val="left"/>
        <w:rPr>
          <w:sz w:val="18"/>
        </w:rPr>
      </w:pPr>
      <w:r>
        <w:rPr>
          <w:color w:val="231F20"/>
          <w:sz w:val="18"/>
        </w:rPr>
        <w:t>On a further argument, the current conjuncture might warrant a larger cut in interest rates than 25 basis points. </w:t>
      </w:r>
      <w:r>
        <w:rPr>
          <w:color w:val="231F20"/>
          <w:spacing w:val="-3"/>
          <w:sz w:val="18"/>
        </w:rPr>
        <w:t>However, </w:t>
      </w:r>
      <w:r>
        <w:rPr>
          <w:color w:val="231F20"/>
          <w:sz w:val="18"/>
        </w:rPr>
        <w:t>there had been a great deal of volatility in financial markets, and some of the current signs of financial fragility might dissipate. Moreover, it was difficult to form a quantitative view of how the deterioration in the world economy, GDP revisions, fall in sterling, earnings revisions and domestic survey evidence would affect the projection of inflation two years or so ahead. There was a risk that a large reduction in interest rates might have to be partly reversed. The best course, because of the uncertainties, was to cut interest rates by 25 basis points, and review the outlook in the context of the quarterly forecast round in November.</w:t>
      </w:r>
    </w:p>
    <w:p>
      <w:pPr>
        <w:pStyle w:val="BodyText"/>
        <w:spacing w:before="6"/>
        <w:rPr>
          <w:sz w:val="16"/>
        </w:rPr>
      </w:pPr>
    </w:p>
    <w:p>
      <w:pPr>
        <w:pStyle w:val="ListParagraph"/>
        <w:numPr>
          <w:ilvl w:val="0"/>
          <w:numId w:val="49"/>
        </w:numPr>
        <w:tabs>
          <w:tab w:pos="665" w:val="left" w:leader="none"/>
          <w:tab w:pos="666" w:val="left" w:leader="none"/>
        </w:tabs>
        <w:spacing w:line="232" w:lineRule="auto" w:before="0" w:after="0"/>
        <w:ind w:left="185" w:right="148" w:firstLine="0"/>
        <w:jc w:val="left"/>
        <w:rPr>
          <w:sz w:val="18"/>
        </w:rPr>
      </w:pPr>
      <w:r>
        <w:rPr>
          <w:color w:val="231F20"/>
          <w:sz w:val="18"/>
        </w:rPr>
        <w:t>On a fourth argument, the deterioration in prospects for </w:t>
      </w:r>
      <w:r>
        <w:rPr>
          <w:color w:val="231F20"/>
          <w:spacing w:val="-9"/>
          <w:sz w:val="18"/>
        </w:rPr>
        <w:t>UK </w:t>
      </w:r>
      <w:r>
        <w:rPr>
          <w:color w:val="231F20"/>
          <w:sz w:val="18"/>
        </w:rPr>
        <w:t>output were such that a 25 basis point reduction in interest rates</w:t>
      </w:r>
    </w:p>
    <w:p>
      <w:pPr>
        <w:pStyle w:val="BodyText"/>
        <w:spacing w:before="7"/>
        <w:rPr>
          <w:sz w:val="19"/>
        </w:rPr>
      </w:pPr>
      <w:r>
        <w:rPr/>
        <w:br w:type="column"/>
      </w:r>
      <w:r>
        <w:rPr>
          <w:sz w:val="19"/>
        </w:rPr>
      </w:r>
    </w:p>
    <w:p>
      <w:pPr>
        <w:pStyle w:val="BodyText"/>
        <w:spacing w:line="232" w:lineRule="auto" w:before="1"/>
        <w:ind w:left="185" w:right="393"/>
      </w:pPr>
      <w:r>
        <w:rPr>
          <w:color w:val="231F20"/>
        </w:rPr>
        <w:t>would be insufficient to stop a more substantial fall in output and rise in unemployment. Together with the likely further weakening of external prices, this would lead to inflation undershooting the target. Even without a credit crunch, the latest IMF WEO projections might seriously underestimate the extent of the slowdown in world trade and world growth. Therefore, the deterioration in the external demand for UK goods and services could be large. More weight could also be attached to the possibility of an inventory adjustment, and to tentative reports that domestic credit conditions were tightening. On this view the chances of a UK recession next year had substantially increased. The current level of real short-term interest rates was too high both domestically and in comparison with other G7 countries,</w:t>
      </w:r>
    </w:p>
    <w:p>
      <w:pPr>
        <w:pStyle w:val="BodyText"/>
        <w:spacing w:line="232" w:lineRule="auto"/>
        <w:ind w:left="185" w:right="736"/>
      </w:pPr>
      <w:r>
        <w:rPr>
          <w:color w:val="231F20"/>
        </w:rPr>
        <w:t>and a reduction in interest rates of at least 50 basis points was required.</w:t>
      </w:r>
    </w:p>
    <w:p>
      <w:pPr>
        <w:pStyle w:val="BodyText"/>
        <w:spacing w:before="4"/>
        <w:rPr>
          <w:sz w:val="16"/>
        </w:rPr>
      </w:pPr>
    </w:p>
    <w:p>
      <w:pPr>
        <w:pStyle w:val="ListParagraph"/>
        <w:numPr>
          <w:ilvl w:val="0"/>
          <w:numId w:val="49"/>
        </w:numPr>
        <w:tabs>
          <w:tab w:pos="665" w:val="left" w:leader="none"/>
          <w:tab w:pos="666" w:val="left" w:leader="none"/>
        </w:tabs>
        <w:spacing w:line="232" w:lineRule="auto" w:before="0" w:after="0"/>
        <w:ind w:left="185" w:right="378" w:firstLine="0"/>
        <w:jc w:val="left"/>
        <w:rPr>
          <w:sz w:val="18"/>
        </w:rPr>
      </w:pPr>
      <w:r>
        <w:rPr>
          <w:color w:val="231F20"/>
          <w:sz w:val="18"/>
        </w:rPr>
        <w:t>The Governor invited members of the Committee to vote </w:t>
      </w:r>
      <w:r>
        <w:rPr>
          <w:color w:val="231F20"/>
          <w:spacing w:val="-9"/>
          <w:sz w:val="18"/>
        </w:rPr>
        <w:t>on </w:t>
      </w:r>
      <w:r>
        <w:rPr>
          <w:color w:val="231F20"/>
          <w:sz w:val="18"/>
        </w:rPr>
        <w:t>the proposition that the Bank’s repo rate be cut by 25 basis points to 7.25% this month. Seven members of the Committee (the Governor, Mervyn King, David Clementi, Alan Budd, Charles Goodhart, Ian Plenderleith and John Vickers) voted for the proposition, and two (Willem Buiter and DeAnne Julius) voted against, preferring a larger cut in interest rates.</w:t>
      </w:r>
    </w:p>
    <w:p>
      <w:pPr>
        <w:pStyle w:val="ListParagraph"/>
        <w:numPr>
          <w:ilvl w:val="0"/>
          <w:numId w:val="49"/>
        </w:numPr>
        <w:tabs>
          <w:tab w:pos="665" w:val="left" w:leader="none"/>
          <w:tab w:pos="666" w:val="left" w:leader="none"/>
        </w:tabs>
        <w:spacing w:line="400" w:lineRule="exact" w:before="38" w:after="0"/>
        <w:ind w:left="185" w:right="668" w:firstLine="0"/>
        <w:jc w:val="left"/>
        <w:rPr>
          <w:sz w:val="18"/>
        </w:rPr>
      </w:pPr>
      <w:r>
        <w:rPr>
          <w:color w:val="231F20"/>
          <w:sz w:val="18"/>
        </w:rPr>
        <w:t>The following members of the Committee were </w:t>
      </w:r>
      <w:r>
        <w:rPr>
          <w:color w:val="231F20"/>
          <w:spacing w:val="-3"/>
          <w:sz w:val="18"/>
        </w:rPr>
        <w:t>present: </w:t>
      </w:r>
      <w:r>
        <w:rPr>
          <w:color w:val="231F20"/>
          <w:sz w:val="18"/>
        </w:rPr>
        <w:t>Eddie George, Governor</w:t>
      </w:r>
    </w:p>
    <w:p>
      <w:pPr>
        <w:pStyle w:val="BodyText"/>
        <w:spacing w:line="155" w:lineRule="exact"/>
        <w:ind w:left="185"/>
      </w:pPr>
      <w:r>
        <w:rPr>
          <w:color w:val="231F20"/>
        </w:rPr>
        <w:t>Mervyn King, Deputy Governor responsible for monetary policy</w:t>
      </w:r>
    </w:p>
    <w:p>
      <w:pPr>
        <w:pStyle w:val="BodyText"/>
        <w:spacing w:line="232" w:lineRule="auto" w:before="1"/>
        <w:ind w:left="185" w:right="881"/>
      </w:pPr>
      <w:r>
        <w:rPr>
          <w:color w:val="231F20"/>
        </w:rPr>
        <w:t>David Clementi, Deputy Governor responsible for financial stability</w:t>
      </w:r>
    </w:p>
    <w:p>
      <w:pPr>
        <w:pStyle w:val="BodyText"/>
        <w:spacing w:line="232" w:lineRule="auto"/>
        <w:ind w:left="185" w:right="3900"/>
      </w:pPr>
      <w:r>
        <w:rPr>
          <w:color w:val="231F20"/>
        </w:rPr>
        <w:t>Alan Budd Willem Buiter Charles Goodhart DeAnne Julius Ian Plenderleith John Vickers</w:t>
      </w:r>
    </w:p>
    <w:p>
      <w:pPr>
        <w:pStyle w:val="BodyText"/>
        <w:spacing w:before="10"/>
        <w:rPr>
          <w:sz w:val="16"/>
        </w:rPr>
      </w:pPr>
    </w:p>
    <w:p>
      <w:pPr>
        <w:pStyle w:val="ListParagraph"/>
        <w:numPr>
          <w:ilvl w:val="0"/>
          <w:numId w:val="49"/>
        </w:numPr>
        <w:tabs>
          <w:tab w:pos="665" w:val="left" w:leader="none"/>
          <w:tab w:pos="666" w:val="left" w:leader="none"/>
        </w:tabs>
        <w:spacing w:line="232" w:lineRule="auto" w:before="0" w:after="0"/>
        <w:ind w:left="185" w:right="1238" w:firstLine="0"/>
        <w:jc w:val="left"/>
        <w:rPr>
          <w:sz w:val="18"/>
        </w:rPr>
      </w:pPr>
      <w:r>
        <w:rPr>
          <w:color w:val="231F20"/>
          <w:sz w:val="18"/>
        </w:rPr>
        <w:t>Gus O’Donnell was also present as the </w:t>
      </w:r>
      <w:r>
        <w:rPr>
          <w:color w:val="231F20"/>
          <w:spacing w:val="-3"/>
          <w:sz w:val="18"/>
        </w:rPr>
        <w:t>Treasury </w:t>
      </w:r>
      <w:r>
        <w:rPr>
          <w:color w:val="231F20"/>
          <w:sz w:val="18"/>
        </w:rPr>
        <w:t>representative.</w:t>
      </w:r>
    </w:p>
    <w:p>
      <w:pPr>
        <w:spacing w:after="0" w:line="232" w:lineRule="auto"/>
        <w:jc w:val="left"/>
        <w:rPr>
          <w:sz w:val="18"/>
        </w:rPr>
        <w:sectPr>
          <w:type w:val="continuous"/>
          <w:pgSz w:w="11900" w:h="16840"/>
          <w:pgMar w:top="1220" w:bottom="280" w:left="620" w:right="520"/>
          <w:cols w:num="2" w:equalWidth="0">
            <w:col w:w="5115" w:space="265"/>
            <w:col w:w="5380"/>
          </w:cols>
        </w:sectPr>
      </w:pPr>
    </w:p>
    <w:p>
      <w:pPr>
        <w:pStyle w:val="BodyText"/>
        <w:rPr>
          <w:sz w:val="20"/>
        </w:rPr>
      </w:pPr>
    </w:p>
    <w:p>
      <w:pPr>
        <w:pStyle w:val="BodyText"/>
        <w:rPr>
          <w:sz w:val="20"/>
        </w:rPr>
      </w:pPr>
    </w:p>
    <w:p>
      <w:pPr>
        <w:pStyle w:val="BodyText"/>
        <w:spacing w:before="1"/>
        <w:rPr>
          <w:sz w:val="16"/>
        </w:rPr>
      </w:pPr>
    </w:p>
    <w:p>
      <w:pPr>
        <w:pStyle w:val="Heading1"/>
      </w:pPr>
      <w:r>
        <w:rPr>
          <w:color w:val="009483"/>
        </w:rPr>
        <w:t>Annex: Summary of data presented by Bank staff</w:t>
      </w:r>
    </w:p>
    <w:p>
      <w:pPr>
        <w:pStyle w:val="BodyText"/>
        <w:rPr>
          <w:b/>
          <w:sz w:val="20"/>
        </w:rPr>
      </w:pPr>
    </w:p>
    <w:p>
      <w:pPr>
        <w:spacing w:after="0"/>
        <w:rPr>
          <w:sz w:val="20"/>
        </w:rPr>
        <w:sectPr>
          <w:pgSz w:w="11900" w:h="16840"/>
          <w:pgMar w:header="566" w:footer="597" w:top="760" w:bottom="780" w:left="620" w:right="520"/>
        </w:sectPr>
      </w:pPr>
    </w:p>
    <w:p>
      <w:pPr>
        <w:pStyle w:val="BodyText"/>
        <w:spacing w:before="7"/>
        <w:rPr>
          <w:b/>
          <w:sz w:val="20"/>
        </w:rPr>
      </w:pPr>
    </w:p>
    <w:p>
      <w:pPr>
        <w:pStyle w:val="BodyText"/>
        <w:tabs>
          <w:tab w:pos="684" w:val="left" w:leader="none"/>
        </w:tabs>
        <w:spacing w:line="232" w:lineRule="auto"/>
        <w:ind w:left="204" w:right="113"/>
      </w:pPr>
      <w:r>
        <w:rPr>
          <w:color w:val="231F20"/>
        </w:rPr>
        <w:t>1</w:t>
        <w:tab/>
        <w:t>This Annex summarises the analysis presented by the Bank staff to the Monetary Policy Committee on 1 October 1998, in advance of its meeting. At the start of the Committee meeting itself, members were made aware of information that had subsequently become available, and that information is included </w:t>
      </w:r>
      <w:r>
        <w:rPr>
          <w:color w:val="231F20"/>
          <w:spacing w:val="-9"/>
        </w:rPr>
        <w:t>in </w:t>
      </w:r>
      <w:r>
        <w:rPr>
          <w:color w:val="231F20"/>
        </w:rPr>
        <w:t>the Annex.</w:t>
      </w:r>
    </w:p>
    <w:p>
      <w:pPr>
        <w:pStyle w:val="BodyText"/>
        <w:rPr>
          <w:sz w:val="22"/>
        </w:rPr>
      </w:pPr>
    </w:p>
    <w:p>
      <w:pPr>
        <w:pStyle w:val="Heading6"/>
        <w:numPr>
          <w:ilvl w:val="0"/>
          <w:numId w:val="50"/>
        </w:numPr>
        <w:tabs>
          <w:tab w:pos="684" w:val="left" w:leader="none"/>
          <w:tab w:pos="685" w:val="left" w:leader="none"/>
        </w:tabs>
        <w:spacing w:line="240" w:lineRule="auto" w:before="0" w:after="0"/>
        <w:ind w:left="684" w:right="0" w:hanging="481"/>
        <w:jc w:val="left"/>
      </w:pPr>
      <w:r>
        <w:rPr>
          <w:color w:val="009483"/>
        </w:rPr>
        <w:t>Financial</w:t>
      </w:r>
      <w:r>
        <w:rPr>
          <w:color w:val="009483"/>
          <w:spacing w:val="-1"/>
        </w:rPr>
        <w:t> </w:t>
      </w:r>
      <w:r>
        <w:rPr>
          <w:color w:val="009483"/>
        </w:rPr>
        <w:t>markets</w:t>
      </w:r>
    </w:p>
    <w:p>
      <w:pPr>
        <w:spacing w:before="105"/>
        <w:ind w:left="204" w:right="0" w:firstLine="0"/>
        <w:jc w:val="left"/>
        <w:rPr>
          <w:i/>
          <w:sz w:val="18"/>
        </w:rPr>
      </w:pPr>
      <w:r>
        <w:rPr>
          <w:i/>
          <w:color w:val="009483"/>
          <w:sz w:val="18"/>
        </w:rPr>
        <w:t>Foreign exchange</w:t>
      </w:r>
    </w:p>
    <w:p>
      <w:pPr>
        <w:pStyle w:val="BodyText"/>
        <w:tabs>
          <w:tab w:pos="684" w:val="left" w:leader="none"/>
        </w:tabs>
        <w:spacing w:line="232" w:lineRule="auto" w:before="118"/>
        <w:ind w:left="204" w:right="88"/>
      </w:pPr>
      <w:r>
        <w:rPr>
          <w:color w:val="231F20"/>
        </w:rPr>
        <w:t>2</w:t>
        <w:tab/>
        <w:t>September had been dominated by cuts in US and Japanese interest rates and by market concerns about deteriorating credit quality in many overseas markets. The Bank of Japan had cut interest rates on 9 September, guiding call money rates down by 25 basis points to just 0.25% and the Federal Reserve had cut its target fed funds rate on 29 September, also by 25 basis points, to 5</w:t>
      </w:r>
      <w:r>
        <w:rPr>
          <w:color w:val="231F20"/>
          <w:position w:val="6"/>
          <w:sz w:val="9"/>
        </w:rPr>
        <w:t>1</w:t>
      </w:r>
      <w:r>
        <w:rPr>
          <w:color w:val="231F20"/>
        </w:rPr>
        <w:t>/</w:t>
      </w:r>
      <w:r>
        <w:rPr>
          <w:color w:val="231F20"/>
          <w:sz w:val="9"/>
        </w:rPr>
        <w:t>4</w:t>
      </w:r>
      <w:r>
        <w:rPr>
          <w:color w:val="231F20"/>
        </w:rPr>
        <w:t>%. The dollar had weakened against the Deutsche Mark during the month, but had changed by less against the yen until 7 </w:t>
      </w:r>
      <w:r>
        <w:rPr>
          <w:color w:val="231F20"/>
          <w:spacing w:val="-3"/>
        </w:rPr>
        <w:t>October, </w:t>
      </w:r>
      <w:r>
        <w:rPr>
          <w:color w:val="231F20"/>
        </w:rPr>
        <w:t>when it fell very sharply. Until then, the dollar’s weakness had probably reflected a number of factors: falling equity prices;</w:t>
      </w:r>
    </w:p>
    <w:p>
      <w:pPr>
        <w:pStyle w:val="BodyText"/>
        <w:spacing w:line="232" w:lineRule="auto"/>
        <w:ind w:left="204" w:right="57"/>
      </w:pPr>
      <w:r>
        <w:rPr>
          <w:color w:val="231F20"/>
        </w:rPr>
        <w:t>politics and policy; and events in Latin America. Most prospective EMU countries’ currencies had been stable. But several other currencies, such as those in Scandinavia, had at times come under pressure, with bond yields falling by less than in Germany.</w:t>
      </w:r>
    </w:p>
    <w:p>
      <w:pPr>
        <w:pStyle w:val="BodyText"/>
        <w:spacing w:before="2"/>
      </w:pPr>
    </w:p>
    <w:p>
      <w:pPr>
        <w:pStyle w:val="ListParagraph"/>
        <w:numPr>
          <w:ilvl w:val="0"/>
          <w:numId w:val="51"/>
        </w:numPr>
        <w:tabs>
          <w:tab w:pos="684" w:val="left" w:leader="none"/>
          <w:tab w:pos="685" w:val="left" w:leader="none"/>
        </w:tabs>
        <w:spacing w:line="232" w:lineRule="auto" w:before="0" w:after="0"/>
        <w:ind w:left="204" w:right="138" w:firstLine="0"/>
        <w:jc w:val="left"/>
        <w:rPr>
          <w:sz w:val="18"/>
        </w:rPr>
      </w:pPr>
      <w:r>
        <w:rPr>
          <w:color w:val="231F20"/>
          <w:sz w:val="18"/>
        </w:rPr>
        <w:t>In effective terms, sterling had fallen from 103.3 at the </w:t>
      </w:r>
      <w:r>
        <w:rPr>
          <w:color w:val="231F20"/>
          <w:spacing w:val="-5"/>
          <w:sz w:val="18"/>
        </w:rPr>
        <w:t>time </w:t>
      </w:r>
      <w:r>
        <w:rPr>
          <w:color w:val="231F20"/>
          <w:sz w:val="18"/>
        </w:rPr>
        <w:t>of the previous MPC meeting to 99.8 (at cob 7 October). It had fallen from DM 2.8670 to DM 2.7370 against the Deutsche Mark. Domestic economic data releases had generally had little effect on the pound. Early in the month, the press notice following the September MPC meeting had been seen as an important signal by the market. The apparent change in sentiment about UK interest rates—that they would fall further and faster—had probably accounted for much of sterling’s fall.</w:t>
      </w:r>
    </w:p>
    <w:p>
      <w:pPr>
        <w:pStyle w:val="BodyText"/>
        <w:spacing w:before="4"/>
        <w:rPr>
          <w:sz w:val="16"/>
        </w:rPr>
      </w:pPr>
    </w:p>
    <w:p>
      <w:pPr>
        <w:spacing w:before="0"/>
        <w:ind w:left="204" w:right="0" w:firstLine="0"/>
        <w:jc w:val="left"/>
        <w:rPr>
          <w:i/>
          <w:sz w:val="18"/>
        </w:rPr>
      </w:pPr>
      <w:r>
        <w:rPr>
          <w:i/>
          <w:color w:val="009483"/>
          <w:sz w:val="18"/>
        </w:rPr>
        <w:t>Government bond and money markets</w:t>
      </w:r>
    </w:p>
    <w:p>
      <w:pPr>
        <w:pStyle w:val="ListParagraph"/>
        <w:numPr>
          <w:ilvl w:val="0"/>
          <w:numId w:val="51"/>
        </w:numPr>
        <w:tabs>
          <w:tab w:pos="684" w:val="left" w:leader="none"/>
          <w:tab w:pos="685" w:val="left" w:leader="none"/>
        </w:tabs>
        <w:spacing w:line="232" w:lineRule="auto" w:before="118" w:after="0"/>
        <w:ind w:left="204" w:right="153" w:firstLine="0"/>
        <w:jc w:val="left"/>
        <w:rPr>
          <w:sz w:val="18"/>
        </w:rPr>
      </w:pPr>
      <w:r>
        <w:rPr>
          <w:color w:val="231F20"/>
          <w:sz w:val="18"/>
        </w:rPr>
        <w:t>International events had affected domestic bond and </w:t>
      </w:r>
      <w:r>
        <w:rPr>
          <w:color w:val="231F20"/>
          <w:spacing w:val="-4"/>
          <w:sz w:val="18"/>
        </w:rPr>
        <w:t>money </w:t>
      </w:r>
      <w:r>
        <w:rPr>
          <w:color w:val="231F20"/>
          <w:sz w:val="18"/>
        </w:rPr>
        <w:t>markets. Overall, bond markets had rallied strongly, as markets retreated from risk, and money market rates eased.</w:t>
      </w:r>
    </w:p>
    <w:p>
      <w:pPr>
        <w:pStyle w:val="BodyText"/>
        <w:spacing w:before="2"/>
        <w:rPr>
          <w:sz w:val="17"/>
        </w:rPr>
      </w:pPr>
    </w:p>
    <w:p>
      <w:pPr>
        <w:pStyle w:val="ListParagraph"/>
        <w:numPr>
          <w:ilvl w:val="0"/>
          <w:numId w:val="51"/>
        </w:numPr>
        <w:tabs>
          <w:tab w:pos="684" w:val="left" w:leader="none"/>
          <w:tab w:pos="685" w:val="left" w:leader="none"/>
        </w:tabs>
        <w:spacing w:line="232" w:lineRule="auto" w:before="0" w:after="0"/>
        <w:ind w:left="204" w:right="53" w:firstLine="0"/>
        <w:jc w:val="left"/>
        <w:rPr>
          <w:sz w:val="18"/>
        </w:rPr>
      </w:pPr>
      <w:r>
        <w:rPr>
          <w:color w:val="231F20"/>
          <w:sz w:val="18"/>
        </w:rPr>
        <w:t>Domestic economic data releases had had little influence on the market. Short-term interest rate expectations had been correlated with changes in the F</w:t>
      </w:r>
      <w:r>
        <w:rPr>
          <w:color w:val="231F20"/>
          <w:sz w:val="14"/>
        </w:rPr>
        <w:t>T-SE </w:t>
      </w:r>
      <w:r>
        <w:rPr>
          <w:color w:val="231F20"/>
          <w:sz w:val="18"/>
        </w:rPr>
        <w:t>100 during the month, as markets speculated about the potential response of the MPC to sharp falls in equity prices. Implied interest rates from three-month sterling futures prices for most of 1999 and 2000 had fallen by about 40 basis points since the previous MPC meeting. There had been less of a fall at the longer end of the money-market curve, with implied rates falling by around 25 basis points.</w:t>
      </w:r>
    </w:p>
    <w:p>
      <w:pPr>
        <w:pStyle w:val="BodyText"/>
        <w:spacing w:before="9"/>
        <w:rPr>
          <w:sz w:val="16"/>
        </w:rPr>
      </w:pPr>
    </w:p>
    <w:p>
      <w:pPr>
        <w:pStyle w:val="ListParagraph"/>
        <w:numPr>
          <w:ilvl w:val="0"/>
          <w:numId w:val="51"/>
        </w:numPr>
        <w:tabs>
          <w:tab w:pos="684" w:val="left" w:leader="none"/>
          <w:tab w:pos="685" w:val="left" w:leader="none"/>
        </w:tabs>
        <w:spacing w:line="232" w:lineRule="auto" w:before="0" w:after="0"/>
        <w:ind w:left="204" w:right="38" w:firstLine="0"/>
        <w:jc w:val="left"/>
        <w:rPr>
          <w:sz w:val="18"/>
        </w:rPr>
      </w:pPr>
      <w:r>
        <w:rPr>
          <w:color w:val="231F20"/>
          <w:sz w:val="18"/>
        </w:rPr>
        <w:t>Market anecdote suggested that credit conditions had tightened in the wholesale interbank market in London. Unsecured interbank rates had widened a little relative to repo at three months, though less than in the fourth quarter of 1997. Bid-offer spreads in the gilt market had also widened over the month, and the long end of the gilt yield curve had been heavily squeezed.  Implied volatility on options on three-month sterling futures and on the </w:t>
      </w:r>
      <w:r>
        <w:rPr>
          <w:color w:val="231F20"/>
          <w:spacing w:val="-5"/>
          <w:sz w:val="18"/>
        </w:rPr>
        <w:t>long </w:t>
      </w:r>
      <w:r>
        <w:rPr>
          <w:color w:val="231F20"/>
          <w:sz w:val="18"/>
        </w:rPr>
        <w:t>gilt had risen sharply (though volatility on the three-month contract had fallen back in the days before the October MPC meeting).</w:t>
      </w:r>
    </w:p>
    <w:p>
      <w:pPr>
        <w:pStyle w:val="BodyText"/>
        <w:spacing w:before="6"/>
      </w:pPr>
    </w:p>
    <w:p>
      <w:pPr>
        <w:pStyle w:val="ListParagraph"/>
        <w:numPr>
          <w:ilvl w:val="0"/>
          <w:numId w:val="51"/>
        </w:numPr>
        <w:tabs>
          <w:tab w:pos="684" w:val="left" w:leader="none"/>
          <w:tab w:pos="685" w:val="left" w:leader="none"/>
        </w:tabs>
        <w:spacing w:line="232" w:lineRule="auto" w:before="0" w:after="0"/>
        <w:ind w:left="204" w:right="83" w:firstLine="0"/>
        <w:jc w:val="left"/>
        <w:rPr>
          <w:sz w:val="18"/>
        </w:rPr>
      </w:pPr>
      <w:r>
        <w:rPr>
          <w:color w:val="231F20"/>
          <w:sz w:val="18"/>
        </w:rPr>
        <w:t>The flight from risk had been accompanied by a sharp fall </w:t>
      </w:r>
      <w:r>
        <w:rPr>
          <w:color w:val="231F20"/>
          <w:spacing w:val="-9"/>
          <w:sz w:val="18"/>
        </w:rPr>
        <w:t>in </w:t>
      </w:r>
      <w:r>
        <w:rPr>
          <w:color w:val="231F20"/>
          <w:sz w:val="18"/>
        </w:rPr>
        <w:t>gilt yields, particularly at the long end. Thirty-year gross redemption gilt yields had fallen to 4.38% (at cob 7 October), compared with 5.02% at the time of the previous MPC meeting. Because of the extreme market movements, it was more difficult</w:t>
      </w:r>
    </w:p>
    <w:p>
      <w:pPr>
        <w:pStyle w:val="BodyText"/>
        <w:spacing w:before="7"/>
        <w:rPr>
          <w:sz w:val="20"/>
        </w:rPr>
      </w:pPr>
      <w:r>
        <w:rPr/>
        <w:br w:type="column"/>
      </w:r>
      <w:r>
        <w:rPr>
          <w:sz w:val="20"/>
        </w:rPr>
      </w:r>
    </w:p>
    <w:p>
      <w:pPr>
        <w:pStyle w:val="BodyText"/>
        <w:spacing w:line="232" w:lineRule="auto"/>
        <w:ind w:left="204" w:right="352"/>
      </w:pPr>
      <w:r>
        <w:rPr>
          <w:color w:val="231F20"/>
        </w:rPr>
        <w:t>than usual to interpret the large fall in implied market expectations of inflation derived by comparing conventional and index-linked gilt yields. Index-linked bonds had underperformed over the month, largely because they were seen as less liquid than conventionals, and perhaps also because of supply effects (the prospects of an IG auction).</w:t>
      </w:r>
    </w:p>
    <w:p>
      <w:pPr>
        <w:pStyle w:val="BodyText"/>
        <w:spacing w:before="3"/>
      </w:pPr>
    </w:p>
    <w:p>
      <w:pPr>
        <w:spacing w:before="0"/>
        <w:ind w:left="204" w:right="0" w:firstLine="0"/>
        <w:jc w:val="left"/>
        <w:rPr>
          <w:i/>
          <w:sz w:val="18"/>
        </w:rPr>
      </w:pPr>
      <w:r>
        <w:rPr>
          <w:i/>
          <w:color w:val="009483"/>
          <w:sz w:val="18"/>
        </w:rPr>
        <w:t>Corporate debt and equity markets</w:t>
      </w:r>
    </w:p>
    <w:p>
      <w:pPr>
        <w:pStyle w:val="ListParagraph"/>
        <w:numPr>
          <w:ilvl w:val="0"/>
          <w:numId w:val="51"/>
        </w:numPr>
        <w:tabs>
          <w:tab w:pos="684" w:val="left" w:leader="none"/>
          <w:tab w:pos="685" w:val="left" w:leader="none"/>
        </w:tabs>
        <w:spacing w:line="232" w:lineRule="auto" w:before="119" w:after="0"/>
        <w:ind w:left="204" w:right="359" w:firstLine="0"/>
        <w:jc w:val="left"/>
        <w:rPr>
          <w:sz w:val="18"/>
        </w:rPr>
      </w:pPr>
      <w:r>
        <w:rPr>
          <w:color w:val="231F20"/>
          <w:sz w:val="18"/>
        </w:rPr>
        <w:t>Equity prices had fallen sharply since the previous MPC meeting. There had been larger falls in continental Europe than in the United Kingdom or the United States (the Eurostoxx index </w:t>
      </w:r>
      <w:r>
        <w:rPr>
          <w:color w:val="231F20"/>
          <w:spacing w:val="-6"/>
          <w:sz w:val="18"/>
        </w:rPr>
        <w:t>had </w:t>
      </w:r>
      <w:r>
        <w:rPr>
          <w:color w:val="231F20"/>
          <w:sz w:val="18"/>
        </w:rPr>
        <w:t>fallen by 16.5% while the F</w:t>
      </w:r>
      <w:r>
        <w:rPr>
          <w:color w:val="231F20"/>
          <w:sz w:val="14"/>
        </w:rPr>
        <w:t>T-SE </w:t>
      </w:r>
      <w:r>
        <w:rPr>
          <w:color w:val="231F20"/>
          <w:sz w:val="18"/>
        </w:rPr>
        <w:t>100 had fallen by</w:t>
      </w:r>
      <w:r>
        <w:rPr>
          <w:color w:val="231F20"/>
          <w:spacing w:val="9"/>
          <w:sz w:val="18"/>
        </w:rPr>
        <w:t> </w:t>
      </w:r>
      <w:r>
        <w:rPr>
          <w:color w:val="231F20"/>
          <w:sz w:val="18"/>
        </w:rPr>
        <w:t>9.1%).</w:t>
      </w:r>
    </w:p>
    <w:p>
      <w:pPr>
        <w:pStyle w:val="BodyText"/>
        <w:spacing w:before="9"/>
      </w:pPr>
    </w:p>
    <w:p>
      <w:pPr>
        <w:pStyle w:val="ListParagraph"/>
        <w:numPr>
          <w:ilvl w:val="0"/>
          <w:numId w:val="51"/>
        </w:numPr>
        <w:tabs>
          <w:tab w:pos="684" w:val="left" w:leader="none"/>
          <w:tab w:pos="685" w:val="left" w:leader="none"/>
        </w:tabs>
        <w:spacing w:line="232" w:lineRule="auto" w:before="1" w:after="0"/>
        <w:ind w:left="204" w:right="315" w:firstLine="0"/>
        <w:jc w:val="left"/>
        <w:rPr>
          <w:sz w:val="18"/>
        </w:rPr>
      </w:pPr>
      <w:r>
        <w:rPr>
          <w:color w:val="231F20"/>
          <w:sz w:val="18"/>
        </w:rPr>
        <w:t>The </w:t>
      </w:r>
      <w:r>
        <w:rPr>
          <w:i/>
          <w:color w:val="231F20"/>
          <w:sz w:val="18"/>
        </w:rPr>
        <w:t>financials </w:t>
      </w:r>
      <w:r>
        <w:rPr>
          <w:color w:val="231F20"/>
          <w:sz w:val="18"/>
        </w:rPr>
        <w:t>sector of the F</w:t>
      </w:r>
      <w:r>
        <w:rPr>
          <w:color w:val="231F20"/>
          <w:sz w:val="14"/>
        </w:rPr>
        <w:t>T-SE </w:t>
      </w:r>
      <w:r>
        <w:rPr>
          <w:color w:val="231F20"/>
          <w:sz w:val="18"/>
        </w:rPr>
        <w:t>All-Share index had fallen by 13% since the previous MPC meeting and the </w:t>
      </w:r>
      <w:r>
        <w:rPr>
          <w:i/>
          <w:color w:val="231F20"/>
          <w:sz w:val="18"/>
        </w:rPr>
        <w:t>general </w:t>
      </w:r>
      <w:r>
        <w:rPr>
          <w:i/>
          <w:color w:val="231F20"/>
          <w:sz w:val="18"/>
        </w:rPr>
        <w:t>industrials </w:t>
      </w:r>
      <w:r>
        <w:rPr>
          <w:color w:val="231F20"/>
          <w:sz w:val="18"/>
        </w:rPr>
        <w:t>and </w:t>
      </w:r>
      <w:r>
        <w:rPr>
          <w:i/>
          <w:color w:val="231F20"/>
          <w:sz w:val="18"/>
        </w:rPr>
        <w:t>consumer goods </w:t>
      </w:r>
      <w:r>
        <w:rPr>
          <w:color w:val="231F20"/>
          <w:sz w:val="18"/>
        </w:rPr>
        <w:t>sectors by around 10%. Since the peak in the F</w:t>
      </w:r>
      <w:r>
        <w:rPr>
          <w:color w:val="231F20"/>
          <w:sz w:val="14"/>
        </w:rPr>
        <w:t>T-SE </w:t>
      </w:r>
      <w:r>
        <w:rPr>
          <w:color w:val="231F20"/>
          <w:sz w:val="18"/>
        </w:rPr>
        <w:t>All-Share on 20 July, the </w:t>
      </w:r>
      <w:r>
        <w:rPr>
          <w:i/>
          <w:color w:val="231F20"/>
          <w:sz w:val="18"/>
        </w:rPr>
        <w:t>financials </w:t>
      </w:r>
      <w:r>
        <w:rPr>
          <w:color w:val="231F20"/>
          <w:sz w:val="18"/>
        </w:rPr>
        <w:t>and </w:t>
      </w:r>
      <w:r>
        <w:rPr>
          <w:i/>
          <w:color w:val="231F20"/>
          <w:sz w:val="18"/>
        </w:rPr>
        <w:t>services </w:t>
      </w:r>
      <w:r>
        <w:rPr>
          <w:color w:val="231F20"/>
          <w:sz w:val="18"/>
        </w:rPr>
        <w:t>sectors had been the main contributors to the fall of 22.5% in the index. There had been more company profit warnings in September 1998 than a year earlier, with a greater proportion </w:t>
      </w:r>
      <w:r>
        <w:rPr>
          <w:color w:val="231F20"/>
          <w:spacing w:val="-3"/>
          <w:sz w:val="18"/>
        </w:rPr>
        <w:t>citing </w:t>
      </w:r>
      <w:r>
        <w:rPr>
          <w:color w:val="231F20"/>
          <w:sz w:val="18"/>
        </w:rPr>
        <w:t>emerging market turmoil and weaker UK domestic demand as factors behind the warning.</w:t>
      </w:r>
    </w:p>
    <w:p>
      <w:pPr>
        <w:pStyle w:val="BodyText"/>
        <w:spacing w:before="5"/>
      </w:pPr>
    </w:p>
    <w:p>
      <w:pPr>
        <w:pStyle w:val="ListParagraph"/>
        <w:numPr>
          <w:ilvl w:val="0"/>
          <w:numId w:val="51"/>
        </w:numPr>
        <w:tabs>
          <w:tab w:pos="684" w:val="left" w:leader="none"/>
          <w:tab w:pos="685" w:val="left" w:leader="none"/>
        </w:tabs>
        <w:spacing w:line="232" w:lineRule="auto" w:before="1" w:after="0"/>
        <w:ind w:left="204" w:right="299" w:firstLine="0"/>
        <w:jc w:val="left"/>
        <w:rPr>
          <w:sz w:val="18"/>
        </w:rPr>
      </w:pPr>
      <w:r>
        <w:rPr>
          <w:color w:val="231F20"/>
          <w:sz w:val="18"/>
        </w:rPr>
        <w:t>Measures of the riskiness of corporate lending had increased during the month. Credit spreads over gilts for a range of UK companies had widened since the previous MPC meeting and £</w:t>
      </w:r>
      <w:r>
        <w:rPr>
          <w:color w:val="231F20"/>
          <w:spacing w:val="1"/>
          <w:sz w:val="18"/>
        </w:rPr>
        <w:t> </w:t>
      </w:r>
      <w:r>
        <w:rPr>
          <w:color w:val="231F20"/>
          <w:spacing w:val="-6"/>
          <w:sz w:val="18"/>
        </w:rPr>
        <w:t>and</w:t>
      </w:r>
    </w:p>
    <w:p>
      <w:pPr>
        <w:pStyle w:val="BodyText"/>
        <w:spacing w:line="232" w:lineRule="auto"/>
        <w:ind w:left="204" w:right="507"/>
      </w:pPr>
      <w:r>
        <w:rPr>
          <w:color w:val="231F20"/>
        </w:rPr>
        <w:t>$ swap spreads over gilts and Treasuries had increased further. Real borrowing costs on high-rated debt had probably risen over the month.</w:t>
      </w:r>
    </w:p>
    <w:p>
      <w:pPr>
        <w:pStyle w:val="BodyText"/>
        <w:spacing w:before="6"/>
        <w:rPr>
          <w:sz w:val="16"/>
        </w:rPr>
      </w:pPr>
    </w:p>
    <w:p>
      <w:pPr>
        <w:spacing w:before="0"/>
        <w:ind w:left="204" w:right="0" w:firstLine="0"/>
        <w:jc w:val="left"/>
        <w:rPr>
          <w:i/>
          <w:sz w:val="18"/>
        </w:rPr>
      </w:pPr>
      <w:r>
        <w:rPr>
          <w:i/>
          <w:color w:val="009483"/>
          <w:sz w:val="18"/>
        </w:rPr>
        <w:t>Emerging markets</w:t>
      </w:r>
    </w:p>
    <w:p>
      <w:pPr>
        <w:pStyle w:val="ListParagraph"/>
        <w:numPr>
          <w:ilvl w:val="0"/>
          <w:numId w:val="51"/>
        </w:numPr>
        <w:tabs>
          <w:tab w:pos="684" w:val="left" w:leader="none"/>
          <w:tab w:pos="685" w:val="left" w:leader="none"/>
        </w:tabs>
        <w:spacing w:line="232" w:lineRule="auto" w:before="118" w:after="0"/>
        <w:ind w:left="204" w:right="319" w:firstLine="0"/>
        <w:jc w:val="left"/>
        <w:rPr>
          <w:sz w:val="18"/>
        </w:rPr>
      </w:pPr>
      <w:r>
        <w:rPr>
          <w:color w:val="231F20"/>
          <w:sz w:val="18"/>
        </w:rPr>
        <w:t>There had been some improvement in emerging-market sentiment since the previous MPC meeting. And markets </w:t>
      </w:r>
      <w:r>
        <w:rPr>
          <w:color w:val="231F20"/>
          <w:spacing w:val="-3"/>
          <w:sz w:val="18"/>
        </w:rPr>
        <w:t>appeared </w:t>
      </w:r>
      <w:r>
        <w:rPr>
          <w:color w:val="231F20"/>
          <w:sz w:val="18"/>
        </w:rPr>
        <w:t>to have begun to differentiate risks between countries and regions better.</w:t>
      </w:r>
    </w:p>
    <w:p>
      <w:pPr>
        <w:pStyle w:val="BodyText"/>
        <w:spacing w:before="1"/>
        <w:rPr>
          <w:sz w:val="17"/>
        </w:rPr>
      </w:pPr>
    </w:p>
    <w:p>
      <w:pPr>
        <w:pStyle w:val="ListParagraph"/>
        <w:numPr>
          <w:ilvl w:val="0"/>
          <w:numId w:val="51"/>
        </w:numPr>
        <w:tabs>
          <w:tab w:pos="684" w:val="left" w:leader="none"/>
          <w:tab w:pos="685" w:val="left" w:leader="none"/>
        </w:tabs>
        <w:spacing w:line="232" w:lineRule="auto" w:before="0" w:after="0"/>
        <w:ind w:left="204" w:right="354" w:firstLine="0"/>
        <w:jc w:val="left"/>
        <w:rPr>
          <w:sz w:val="18"/>
        </w:rPr>
      </w:pPr>
      <w:r>
        <w:rPr>
          <w:color w:val="231F20"/>
          <w:sz w:val="18"/>
        </w:rPr>
        <w:t>Emerging-market US dollar bond spreads over US Treasuries had initially fallen to around 1,200 basis points from around 1,400 basis points at the previous MPC meeting but had since edged back up to around 1,300 basis points. The cost of US dollar borrowing remained some 800 basis points higher than </w:t>
      </w:r>
      <w:r>
        <w:rPr>
          <w:color w:val="231F20"/>
          <w:spacing w:val="-4"/>
          <w:sz w:val="18"/>
        </w:rPr>
        <w:t>prior </w:t>
      </w:r>
      <w:r>
        <w:rPr>
          <w:color w:val="231F20"/>
          <w:sz w:val="18"/>
        </w:rPr>
        <w:t>to the Russian crisis. Local currency borrowing costs had also increased. And there was evidence of credit-rationing for some international banks in the London market.</w:t>
      </w:r>
    </w:p>
    <w:p>
      <w:pPr>
        <w:pStyle w:val="BodyText"/>
        <w:spacing w:before="10"/>
        <w:rPr>
          <w:sz w:val="16"/>
        </w:rPr>
      </w:pPr>
    </w:p>
    <w:p>
      <w:pPr>
        <w:pStyle w:val="ListParagraph"/>
        <w:numPr>
          <w:ilvl w:val="0"/>
          <w:numId w:val="51"/>
        </w:numPr>
        <w:tabs>
          <w:tab w:pos="684" w:val="left" w:leader="none"/>
          <w:tab w:pos="685" w:val="left" w:leader="none"/>
        </w:tabs>
        <w:spacing w:line="232" w:lineRule="auto" w:before="0" w:after="0"/>
        <w:ind w:left="204" w:right="265" w:firstLine="0"/>
        <w:jc w:val="left"/>
        <w:rPr>
          <w:sz w:val="18"/>
        </w:rPr>
      </w:pPr>
      <w:r>
        <w:rPr>
          <w:color w:val="231F20"/>
          <w:sz w:val="18"/>
        </w:rPr>
        <w:t>Emerging market equity prices had recovered a little. This was principally because of gains in Latin America; stock market prices in Asia and Eastern Europe, including Russia, had remained relatively flat. Compared with other Latin American countries, Brazilian stock prices had weakened and bond spreads had widened, reflecting concern about Brazil’s fiscal position, </w:t>
      </w:r>
      <w:r>
        <w:rPr>
          <w:color w:val="231F20"/>
          <w:spacing w:val="-3"/>
          <w:sz w:val="18"/>
        </w:rPr>
        <w:t>worsened </w:t>
      </w:r>
      <w:r>
        <w:rPr>
          <w:color w:val="231F20"/>
          <w:sz w:val="18"/>
        </w:rPr>
        <w:t>by the rise in short-term interest rates.</w:t>
      </w:r>
    </w:p>
    <w:p>
      <w:pPr>
        <w:pStyle w:val="BodyText"/>
        <w:spacing w:before="11"/>
        <w:rPr>
          <w:sz w:val="16"/>
        </w:rPr>
      </w:pPr>
    </w:p>
    <w:p>
      <w:pPr>
        <w:pStyle w:val="ListParagraph"/>
        <w:numPr>
          <w:ilvl w:val="0"/>
          <w:numId w:val="51"/>
        </w:numPr>
        <w:tabs>
          <w:tab w:pos="684" w:val="left" w:leader="none"/>
          <w:tab w:pos="685" w:val="left" w:leader="none"/>
        </w:tabs>
        <w:spacing w:line="232" w:lineRule="auto" w:before="0" w:after="0"/>
        <w:ind w:left="204" w:right="494" w:firstLine="0"/>
        <w:jc w:val="left"/>
        <w:rPr>
          <w:sz w:val="18"/>
        </w:rPr>
      </w:pPr>
      <w:r>
        <w:rPr>
          <w:color w:val="231F20"/>
          <w:sz w:val="18"/>
        </w:rPr>
        <w:t>The on-balance sheet exposure of UK banks to Latin America totalled $21.5 billion in December 1997 ($4.6 billion </w:t>
      </w:r>
      <w:r>
        <w:rPr>
          <w:color w:val="231F20"/>
          <w:spacing w:val="-9"/>
          <w:sz w:val="18"/>
        </w:rPr>
        <w:t>of </w:t>
      </w:r>
      <w:r>
        <w:rPr>
          <w:color w:val="231F20"/>
          <w:sz w:val="18"/>
        </w:rPr>
        <w:t>which was to Brazil)—about one third of that of US banks. But these were likely to be lower-bound estimates, because they excluded off-balance sheet exposures and indirect exposures via other counterparties.</w:t>
      </w:r>
    </w:p>
    <w:p>
      <w:pPr>
        <w:pStyle w:val="BodyText"/>
        <w:spacing w:before="3"/>
        <w:rPr>
          <w:sz w:val="20"/>
        </w:rPr>
      </w:pPr>
    </w:p>
    <w:p>
      <w:pPr>
        <w:pStyle w:val="Heading6"/>
        <w:numPr>
          <w:ilvl w:val="0"/>
          <w:numId w:val="50"/>
        </w:numPr>
        <w:tabs>
          <w:tab w:pos="684" w:val="left" w:leader="none"/>
          <w:tab w:pos="685" w:val="left" w:leader="none"/>
        </w:tabs>
        <w:spacing w:line="240" w:lineRule="auto" w:before="0" w:after="0"/>
        <w:ind w:left="684" w:right="0" w:hanging="481"/>
        <w:jc w:val="left"/>
      </w:pPr>
      <w:r>
        <w:rPr>
          <w:color w:val="009483"/>
        </w:rPr>
        <w:t>The international</w:t>
      </w:r>
      <w:r>
        <w:rPr>
          <w:color w:val="009483"/>
          <w:spacing w:val="-1"/>
        </w:rPr>
        <w:t> </w:t>
      </w:r>
      <w:r>
        <w:rPr>
          <w:color w:val="009483"/>
        </w:rPr>
        <w:t>economy</w:t>
      </w:r>
    </w:p>
    <w:p>
      <w:pPr>
        <w:pStyle w:val="ListParagraph"/>
        <w:numPr>
          <w:ilvl w:val="0"/>
          <w:numId w:val="51"/>
        </w:numPr>
        <w:tabs>
          <w:tab w:pos="684" w:val="left" w:leader="none"/>
          <w:tab w:pos="685" w:val="left" w:leader="none"/>
        </w:tabs>
        <w:spacing w:line="232" w:lineRule="auto" w:before="109" w:after="0"/>
        <w:ind w:left="204" w:right="449" w:firstLine="0"/>
        <w:jc w:val="left"/>
        <w:rPr>
          <w:sz w:val="18"/>
        </w:rPr>
      </w:pPr>
      <w:r>
        <w:rPr>
          <w:color w:val="231F20"/>
          <w:sz w:val="18"/>
        </w:rPr>
        <w:t>In the United States, consumption had risen by 4.7% in </w:t>
      </w:r>
      <w:r>
        <w:rPr>
          <w:color w:val="231F20"/>
          <w:spacing w:val="-6"/>
          <w:sz w:val="18"/>
        </w:rPr>
        <w:t>the </w:t>
      </w:r>
      <w:r>
        <w:rPr>
          <w:color w:val="231F20"/>
          <w:sz w:val="18"/>
        </w:rPr>
        <w:t>year to August, despite recent falls in consumer confidence. But industrial production had weakened, even after adjusting for the</w:t>
      </w:r>
    </w:p>
    <w:p>
      <w:pPr>
        <w:spacing w:after="0" w:line="232" w:lineRule="auto"/>
        <w:jc w:val="left"/>
        <w:rPr>
          <w:sz w:val="18"/>
        </w:rPr>
        <w:sectPr>
          <w:type w:val="continuous"/>
          <w:pgSz w:w="11900" w:h="16840"/>
          <w:pgMar w:top="1220" w:bottom="280" w:left="620" w:right="520"/>
          <w:cols w:num="2" w:equalWidth="0">
            <w:col w:w="5134" w:space="251"/>
            <w:col w:w="5375"/>
          </w:cols>
        </w:sectPr>
      </w:pPr>
    </w:p>
    <w:p>
      <w:pPr>
        <w:pStyle w:val="BodyText"/>
        <w:rPr>
          <w:sz w:val="20"/>
        </w:rPr>
      </w:pPr>
    </w:p>
    <w:p>
      <w:pPr>
        <w:spacing w:after="0"/>
        <w:rPr>
          <w:sz w:val="20"/>
        </w:rPr>
        <w:sectPr>
          <w:pgSz w:w="11900" w:h="16840"/>
          <w:pgMar w:header="566" w:footer="597" w:top="760" w:bottom="780" w:left="620" w:right="520"/>
        </w:sectPr>
      </w:pPr>
    </w:p>
    <w:p>
      <w:pPr>
        <w:pStyle w:val="BodyText"/>
        <w:spacing w:before="7"/>
        <w:rPr>
          <w:sz w:val="19"/>
        </w:rPr>
      </w:pPr>
    </w:p>
    <w:p>
      <w:pPr>
        <w:pStyle w:val="BodyText"/>
        <w:spacing w:line="232" w:lineRule="auto" w:before="1"/>
        <w:ind w:left="165"/>
      </w:pPr>
      <w:r>
        <w:rPr>
          <w:color w:val="231F20"/>
        </w:rPr>
        <w:t>General Motors strike, and business confidence had fallen. In July, export volumes were 3.5% lower than a year earlier, and the trade deficit had continued to widen. Consumer price inflation was 1.7% in August, restrained by falling import prices (down by 6.4% on a year earlier).</w:t>
      </w:r>
    </w:p>
    <w:p>
      <w:pPr>
        <w:pStyle w:val="BodyText"/>
        <w:rPr>
          <w:sz w:val="17"/>
        </w:rPr>
      </w:pPr>
    </w:p>
    <w:p>
      <w:pPr>
        <w:pStyle w:val="ListParagraph"/>
        <w:numPr>
          <w:ilvl w:val="0"/>
          <w:numId w:val="51"/>
        </w:numPr>
        <w:tabs>
          <w:tab w:pos="645" w:val="left" w:leader="none"/>
          <w:tab w:pos="646" w:val="left" w:leader="none"/>
        </w:tabs>
        <w:spacing w:line="232" w:lineRule="auto" w:before="0" w:after="0"/>
        <w:ind w:left="165" w:right="58" w:firstLine="0"/>
        <w:jc w:val="left"/>
        <w:rPr>
          <w:sz w:val="18"/>
        </w:rPr>
      </w:pPr>
      <w:r>
        <w:rPr>
          <w:color w:val="231F20"/>
          <w:sz w:val="18"/>
        </w:rPr>
        <w:t>In the prospective euro area, GDP had risen by 0.5% in Q2, down from 0.7% in Q1. This was largely because of special factors, such as strong German consumption in Q1 in advance of a VAT increase. Underlying growth had remained strong (GDP is estimated to have risen by around 3% in the year to 1998 H1) with more accounted for by growth of domestic demand. However, there had been a build-up of inventories in Germany and Italy, which surveys suggested was involuntary. And industrial confidence indicators for Germany and France fell in August. Consumer confidence continued to rise in the prospective euro </w:t>
      </w:r>
      <w:r>
        <w:rPr>
          <w:color w:val="231F20"/>
          <w:spacing w:val="-5"/>
          <w:sz w:val="18"/>
        </w:rPr>
        <w:t>area </w:t>
      </w:r>
      <w:r>
        <w:rPr>
          <w:color w:val="231F20"/>
          <w:sz w:val="18"/>
        </w:rPr>
        <w:t>in July, but at a slower rate. Harmonised consumer price inflation remained subdued in August, at 1.2%.</w:t>
      </w:r>
    </w:p>
    <w:p>
      <w:pPr>
        <w:pStyle w:val="BodyText"/>
        <w:spacing w:before="7"/>
        <w:rPr>
          <w:sz w:val="16"/>
        </w:rPr>
      </w:pPr>
    </w:p>
    <w:p>
      <w:pPr>
        <w:pStyle w:val="ListParagraph"/>
        <w:numPr>
          <w:ilvl w:val="0"/>
          <w:numId w:val="51"/>
        </w:numPr>
        <w:tabs>
          <w:tab w:pos="645" w:val="left" w:leader="none"/>
          <w:tab w:pos="646" w:val="left" w:leader="none"/>
        </w:tabs>
        <w:spacing w:line="232" w:lineRule="auto" w:before="0" w:after="0"/>
        <w:ind w:left="165" w:right="118" w:firstLine="0"/>
        <w:jc w:val="left"/>
        <w:rPr>
          <w:sz w:val="18"/>
        </w:rPr>
      </w:pPr>
      <w:r>
        <w:rPr>
          <w:color w:val="231F20"/>
          <w:sz w:val="18"/>
        </w:rPr>
        <w:t>In Japan, GDP had fallen by 0.8% in 1998 Q2, due to weak domestic demand. There was little evidence of the April fiscal stimulus in Q2: final public demand had contributed negatively </w:t>
      </w:r>
      <w:r>
        <w:rPr>
          <w:color w:val="231F20"/>
          <w:spacing w:val="-7"/>
          <w:sz w:val="18"/>
        </w:rPr>
        <w:t>to </w:t>
      </w:r>
      <w:r>
        <w:rPr>
          <w:color w:val="231F20"/>
          <w:sz w:val="18"/>
        </w:rPr>
        <w:t>growth. According to the September Tankan survey, manufacturers’ confidence had weakened further, and inventories remained above desired levels. Although broad money growth remained robust, both consumer and wholesale prices fell in the year to August (by 0.3% and 0.2% respectively). Bank lending to business also fell in the year to August (by 2.3%), and firms in the Tankan survey have reported that banks have become ‘less </w:t>
      </w:r>
      <w:r>
        <w:rPr>
          <w:color w:val="231F20"/>
          <w:spacing w:val="-3"/>
          <w:sz w:val="18"/>
        </w:rPr>
        <w:t>willing </w:t>
      </w:r>
      <w:r>
        <w:rPr>
          <w:color w:val="231F20"/>
          <w:sz w:val="18"/>
        </w:rPr>
        <w:t>to lend’.</w:t>
      </w:r>
    </w:p>
    <w:p>
      <w:pPr>
        <w:pStyle w:val="BodyText"/>
        <w:spacing w:before="7"/>
        <w:rPr>
          <w:sz w:val="16"/>
        </w:rPr>
      </w:pPr>
    </w:p>
    <w:p>
      <w:pPr>
        <w:pStyle w:val="ListParagraph"/>
        <w:numPr>
          <w:ilvl w:val="0"/>
          <w:numId w:val="51"/>
        </w:numPr>
        <w:tabs>
          <w:tab w:pos="645" w:val="left" w:leader="none"/>
          <w:tab w:pos="646" w:val="left" w:leader="none"/>
        </w:tabs>
        <w:spacing w:line="232" w:lineRule="auto" w:before="0" w:after="0"/>
        <w:ind w:left="165" w:right="38" w:firstLine="0"/>
        <w:jc w:val="left"/>
        <w:rPr>
          <w:sz w:val="18"/>
        </w:rPr>
      </w:pPr>
      <w:r>
        <w:rPr>
          <w:color w:val="231F20"/>
          <w:sz w:val="18"/>
        </w:rPr>
        <w:t>For the G7 as a whole, the external balance seemed likely to reduce growth as demand in emerging markets slowed down. Eastern Europe as a whole constituted Germany’s second-largest export market. The United States was particularly exposed to </w:t>
      </w:r>
      <w:r>
        <w:rPr>
          <w:color w:val="231F20"/>
          <w:spacing w:val="-4"/>
          <w:sz w:val="18"/>
        </w:rPr>
        <w:t>Latin </w:t>
      </w:r>
      <w:r>
        <w:rPr>
          <w:color w:val="231F20"/>
          <w:sz w:val="18"/>
        </w:rPr>
        <w:t>America.  Brazil alone accounted for 44% of Latin American output and 3% of world output. The IMF had revised down its projections for world growth for 1998 by 1.1 percentage points to 2.0% since May, and had also revised down its projection for G7 growth in 1999 to 1.9%. In particular, the IMF’s projection of UK growth in 1999 had fallen by 0.9 percentage points since May.</w:t>
      </w:r>
    </w:p>
    <w:p>
      <w:pPr>
        <w:pStyle w:val="BodyText"/>
        <w:spacing w:before="9"/>
        <w:rPr>
          <w:sz w:val="21"/>
        </w:rPr>
      </w:pPr>
    </w:p>
    <w:p>
      <w:pPr>
        <w:pStyle w:val="Heading6"/>
        <w:numPr>
          <w:ilvl w:val="0"/>
          <w:numId w:val="50"/>
        </w:numPr>
        <w:tabs>
          <w:tab w:pos="645" w:val="left" w:leader="none"/>
          <w:tab w:pos="646" w:val="left" w:leader="none"/>
        </w:tabs>
        <w:spacing w:line="240" w:lineRule="auto" w:before="0" w:after="0"/>
        <w:ind w:left="645" w:right="0" w:hanging="481"/>
        <w:jc w:val="left"/>
      </w:pPr>
      <w:r>
        <w:rPr>
          <w:color w:val="009483"/>
        </w:rPr>
        <w:t>Monetary conditions</w:t>
      </w:r>
    </w:p>
    <w:p>
      <w:pPr>
        <w:pStyle w:val="ListParagraph"/>
        <w:numPr>
          <w:ilvl w:val="0"/>
          <w:numId w:val="51"/>
        </w:numPr>
        <w:tabs>
          <w:tab w:pos="645" w:val="left" w:leader="none"/>
          <w:tab w:pos="646" w:val="left" w:leader="none"/>
        </w:tabs>
        <w:spacing w:line="232" w:lineRule="auto" w:before="109" w:after="0"/>
        <w:ind w:left="165" w:right="82" w:firstLine="0"/>
        <w:jc w:val="left"/>
        <w:rPr>
          <w:sz w:val="18"/>
        </w:rPr>
      </w:pPr>
      <w:r>
        <w:rPr>
          <w:color w:val="231F20"/>
          <w:sz w:val="18"/>
        </w:rPr>
        <w:t>Notes and coin had grown by 0.5% on the month and by 5.7% in the past twelve months, after adjusting for the </w:t>
      </w:r>
      <w:r>
        <w:rPr>
          <w:color w:val="231F20"/>
          <w:spacing w:val="-2"/>
          <w:sz w:val="18"/>
        </w:rPr>
        <w:t>introduction </w:t>
      </w:r>
      <w:r>
        <w:rPr>
          <w:color w:val="231F20"/>
          <w:sz w:val="18"/>
        </w:rPr>
        <w:t>of the new 50p and £2 coins.</w:t>
      </w:r>
    </w:p>
    <w:p>
      <w:pPr>
        <w:pStyle w:val="BodyText"/>
        <w:spacing w:before="2"/>
        <w:rPr>
          <w:sz w:val="17"/>
        </w:rPr>
      </w:pPr>
    </w:p>
    <w:p>
      <w:pPr>
        <w:pStyle w:val="ListParagraph"/>
        <w:numPr>
          <w:ilvl w:val="0"/>
          <w:numId w:val="51"/>
        </w:numPr>
        <w:tabs>
          <w:tab w:pos="645" w:val="left" w:leader="none"/>
          <w:tab w:pos="646" w:val="left" w:leader="none"/>
        </w:tabs>
        <w:spacing w:line="232" w:lineRule="auto" w:before="1" w:after="0"/>
        <w:ind w:left="165" w:right="87" w:firstLine="0"/>
        <w:jc w:val="left"/>
        <w:rPr>
          <w:sz w:val="18"/>
        </w:rPr>
      </w:pPr>
      <w:r>
        <w:rPr>
          <w:color w:val="231F20"/>
          <w:sz w:val="18"/>
        </w:rPr>
        <w:t>The twelve-month growth rate of broad money had fallen to 8.8% in August, its lowest since September 1995. The £0.4 </w:t>
      </w:r>
      <w:r>
        <w:rPr>
          <w:color w:val="231F20"/>
          <w:spacing w:val="-3"/>
          <w:sz w:val="18"/>
        </w:rPr>
        <w:t>billion </w:t>
      </w:r>
      <w:r>
        <w:rPr>
          <w:color w:val="231F20"/>
          <w:sz w:val="18"/>
        </w:rPr>
        <w:t>fall in wholesale M4 in August had more than accounted for the slight fall in aggregate M4 (£0.3 billion). Retail M4 inflows had also been weak, with the three- and six-month annualised growth rates falling back below 5%. Personal sector M4 had grown by only 0.2% over the month, and the twelve-month rate had fallen to 6.3%.</w:t>
      </w:r>
    </w:p>
    <w:p>
      <w:pPr>
        <w:pStyle w:val="BodyText"/>
        <w:spacing w:before="9"/>
        <w:rPr>
          <w:sz w:val="16"/>
        </w:rPr>
      </w:pPr>
    </w:p>
    <w:p>
      <w:pPr>
        <w:pStyle w:val="ListParagraph"/>
        <w:numPr>
          <w:ilvl w:val="0"/>
          <w:numId w:val="51"/>
        </w:numPr>
        <w:tabs>
          <w:tab w:pos="645" w:val="left" w:leader="none"/>
          <w:tab w:pos="646" w:val="left" w:leader="none"/>
        </w:tabs>
        <w:spacing w:line="232" w:lineRule="auto" w:before="0" w:after="0"/>
        <w:ind w:left="165" w:right="138" w:firstLine="0"/>
        <w:jc w:val="left"/>
        <w:rPr>
          <w:sz w:val="18"/>
        </w:rPr>
      </w:pPr>
      <w:r>
        <w:rPr>
          <w:color w:val="231F20"/>
          <w:sz w:val="18"/>
        </w:rPr>
        <w:t>ICCs’ M4 had again grown strongly in August. The three- and six-month annualised growth rates had been above 10%. By contrast, growth in OFIs’ M4 had fallen in August, part of which had been accounted for by a fall in repo transactions following </w:t>
      </w:r>
      <w:r>
        <w:rPr>
          <w:color w:val="231F20"/>
          <w:spacing w:val="-6"/>
          <w:sz w:val="18"/>
        </w:rPr>
        <w:t>the </w:t>
      </w:r>
      <w:r>
        <w:rPr>
          <w:color w:val="231F20"/>
          <w:sz w:val="18"/>
        </w:rPr>
        <w:t>large rise in July.</w:t>
      </w:r>
    </w:p>
    <w:p>
      <w:pPr>
        <w:pStyle w:val="BodyText"/>
        <w:spacing w:before="1"/>
        <w:rPr>
          <w:sz w:val="17"/>
        </w:rPr>
      </w:pPr>
    </w:p>
    <w:p>
      <w:pPr>
        <w:pStyle w:val="ListParagraph"/>
        <w:numPr>
          <w:ilvl w:val="0"/>
          <w:numId w:val="51"/>
        </w:numPr>
        <w:tabs>
          <w:tab w:pos="645" w:val="left" w:leader="none"/>
          <w:tab w:pos="646" w:val="left" w:leader="none"/>
        </w:tabs>
        <w:spacing w:line="232" w:lineRule="auto" w:before="0" w:after="0"/>
        <w:ind w:left="165" w:right="82" w:firstLine="0"/>
        <w:jc w:val="left"/>
        <w:rPr>
          <w:sz w:val="18"/>
        </w:rPr>
      </w:pPr>
      <w:r>
        <w:rPr>
          <w:color w:val="231F20"/>
          <w:sz w:val="18"/>
        </w:rPr>
        <w:t>M4 lending had remained robust at 0.7%; the </w:t>
      </w:r>
      <w:r>
        <w:rPr>
          <w:color w:val="231F20"/>
          <w:spacing w:val="-2"/>
          <w:sz w:val="18"/>
        </w:rPr>
        <w:t>twelve-month </w:t>
      </w:r>
      <w:r>
        <w:rPr>
          <w:color w:val="231F20"/>
          <w:sz w:val="18"/>
        </w:rPr>
        <w:t>growth rate had risen to 8.7% in August. Within the total, lending to persons had shown no signs of slowing.</w:t>
      </w:r>
    </w:p>
    <w:p>
      <w:pPr>
        <w:pStyle w:val="BodyText"/>
        <w:spacing w:before="2"/>
        <w:rPr>
          <w:sz w:val="17"/>
        </w:rPr>
      </w:pPr>
    </w:p>
    <w:p>
      <w:pPr>
        <w:pStyle w:val="ListParagraph"/>
        <w:numPr>
          <w:ilvl w:val="0"/>
          <w:numId w:val="51"/>
        </w:numPr>
        <w:tabs>
          <w:tab w:pos="645" w:val="left" w:leader="none"/>
          <w:tab w:pos="646" w:val="left" w:leader="none"/>
        </w:tabs>
        <w:spacing w:line="232" w:lineRule="auto" w:before="0" w:after="0"/>
        <w:ind w:left="165" w:right="162" w:firstLine="0"/>
        <w:jc w:val="left"/>
        <w:rPr>
          <w:sz w:val="18"/>
        </w:rPr>
      </w:pPr>
      <w:r>
        <w:rPr>
          <w:color w:val="231F20"/>
          <w:sz w:val="18"/>
        </w:rPr>
        <w:t>Growth in total secured lending had been 5.8% in August, broadly in line with growth in the previous year. The number of loans approved for house purchase had fallen by 5,000 in August. Total unsecured lending had continued to be strong in August, at 1.5%. The twelve-month growth in net credit card borrowing</w:t>
      </w:r>
      <w:r>
        <w:rPr>
          <w:color w:val="231F20"/>
          <w:spacing w:val="1"/>
          <w:sz w:val="18"/>
        </w:rPr>
        <w:t> </w:t>
      </w:r>
      <w:r>
        <w:rPr>
          <w:color w:val="231F20"/>
          <w:spacing w:val="-6"/>
          <w:sz w:val="18"/>
        </w:rPr>
        <w:t>had</w:t>
      </w:r>
    </w:p>
    <w:p>
      <w:pPr>
        <w:pStyle w:val="BodyText"/>
        <w:spacing w:before="7"/>
        <w:rPr>
          <w:sz w:val="19"/>
        </w:rPr>
      </w:pPr>
      <w:r>
        <w:rPr/>
        <w:br w:type="column"/>
      </w:r>
      <w:r>
        <w:rPr>
          <w:sz w:val="19"/>
        </w:rPr>
      </w:r>
    </w:p>
    <w:p>
      <w:pPr>
        <w:pStyle w:val="BodyText"/>
        <w:spacing w:line="232" w:lineRule="auto" w:before="1"/>
        <w:ind w:left="165" w:right="376"/>
      </w:pPr>
      <w:r>
        <w:rPr>
          <w:color w:val="231F20"/>
        </w:rPr>
        <w:t>increased further to 26.1%. The Bank’s estimate of mortgage equity withdrawal had remained negative in Q2.</w:t>
      </w:r>
    </w:p>
    <w:p>
      <w:pPr>
        <w:pStyle w:val="BodyText"/>
        <w:spacing w:before="11"/>
      </w:pPr>
    </w:p>
    <w:p>
      <w:pPr>
        <w:pStyle w:val="ListParagraph"/>
        <w:numPr>
          <w:ilvl w:val="0"/>
          <w:numId w:val="51"/>
        </w:numPr>
        <w:tabs>
          <w:tab w:pos="645" w:val="left" w:leader="none"/>
          <w:tab w:pos="646" w:val="left" w:leader="none"/>
        </w:tabs>
        <w:spacing w:line="232" w:lineRule="auto" w:before="0" w:after="0"/>
        <w:ind w:left="165" w:right="582" w:firstLine="0"/>
        <w:jc w:val="left"/>
        <w:rPr>
          <w:sz w:val="18"/>
        </w:rPr>
      </w:pPr>
      <w:r>
        <w:rPr>
          <w:color w:val="231F20"/>
          <w:sz w:val="18"/>
        </w:rPr>
        <w:t>M4 lending to ICCs had been relatively robust in </w:t>
      </w:r>
      <w:r>
        <w:rPr>
          <w:color w:val="231F20"/>
          <w:spacing w:val="-3"/>
          <w:sz w:val="18"/>
        </w:rPr>
        <w:t>August. </w:t>
      </w:r>
      <w:r>
        <w:rPr>
          <w:color w:val="231F20"/>
          <w:sz w:val="18"/>
        </w:rPr>
        <w:t>Data from the Major British Banking Groups suggested that the manufacturing sector had repaid debt in three of the last four months. ICCs’ financial deficit had widened further in Q2, to</w:t>
      </w:r>
    </w:p>
    <w:p>
      <w:pPr>
        <w:pStyle w:val="BodyText"/>
        <w:spacing w:line="232" w:lineRule="auto"/>
        <w:ind w:left="165" w:right="450"/>
      </w:pPr>
      <w:r>
        <w:rPr>
          <w:color w:val="231F20"/>
        </w:rPr>
        <w:t>£4.7 billion. However, within the total deficit, their net sterling recourse to banks (M4 lending minus M4 flows) had fallen, while their net capital issues and foreign-currency borrowing had increased.</w:t>
      </w:r>
    </w:p>
    <w:p>
      <w:pPr>
        <w:pStyle w:val="BodyText"/>
        <w:spacing w:before="7"/>
      </w:pPr>
    </w:p>
    <w:p>
      <w:pPr>
        <w:pStyle w:val="ListParagraph"/>
        <w:numPr>
          <w:ilvl w:val="0"/>
          <w:numId w:val="51"/>
        </w:numPr>
        <w:tabs>
          <w:tab w:pos="645" w:val="left" w:leader="none"/>
          <w:tab w:pos="646" w:val="left" w:leader="none"/>
        </w:tabs>
        <w:spacing w:line="232" w:lineRule="auto" w:before="0" w:after="0"/>
        <w:ind w:left="165" w:right="388" w:firstLine="0"/>
        <w:jc w:val="left"/>
        <w:rPr>
          <w:sz w:val="18"/>
        </w:rPr>
      </w:pPr>
      <w:r>
        <w:rPr>
          <w:color w:val="231F20"/>
          <w:sz w:val="18"/>
        </w:rPr>
        <w:t>M4 lending to OFIs had weakened in August; this had </w:t>
      </w:r>
      <w:r>
        <w:rPr>
          <w:color w:val="231F20"/>
          <w:spacing w:val="-5"/>
          <w:sz w:val="18"/>
        </w:rPr>
        <w:t>been </w:t>
      </w:r>
      <w:r>
        <w:rPr>
          <w:color w:val="231F20"/>
          <w:sz w:val="18"/>
        </w:rPr>
        <w:t>accounted for by a fall in reverse repo transactions with the M4 private sector.</w:t>
      </w:r>
    </w:p>
    <w:p>
      <w:pPr>
        <w:pStyle w:val="BodyText"/>
        <w:spacing w:before="10"/>
      </w:pPr>
    </w:p>
    <w:p>
      <w:pPr>
        <w:pStyle w:val="ListParagraph"/>
        <w:numPr>
          <w:ilvl w:val="0"/>
          <w:numId w:val="51"/>
        </w:numPr>
        <w:tabs>
          <w:tab w:pos="645" w:val="left" w:leader="none"/>
          <w:tab w:pos="646" w:val="left" w:leader="none"/>
        </w:tabs>
        <w:spacing w:line="232" w:lineRule="auto" w:before="1" w:after="0"/>
        <w:ind w:left="165" w:right="484" w:firstLine="0"/>
        <w:jc w:val="left"/>
        <w:rPr>
          <w:sz w:val="18"/>
        </w:rPr>
      </w:pPr>
      <w:r>
        <w:rPr>
          <w:color w:val="231F20"/>
          <w:sz w:val="18"/>
        </w:rPr>
        <w:t>Turning to price indicators of monetary conditions, there had been little overall change on the month in retail interest </w:t>
      </w:r>
      <w:r>
        <w:rPr>
          <w:color w:val="231F20"/>
          <w:spacing w:val="-3"/>
          <w:sz w:val="18"/>
        </w:rPr>
        <w:t>rates. </w:t>
      </w:r>
      <w:r>
        <w:rPr>
          <w:color w:val="231F20"/>
          <w:sz w:val="18"/>
        </w:rPr>
        <w:t>The rates on two and five-year fixed-rate mortgages had fallen slightly.</w:t>
      </w:r>
    </w:p>
    <w:p>
      <w:pPr>
        <w:pStyle w:val="BodyText"/>
        <w:spacing w:before="6"/>
        <w:rPr>
          <w:sz w:val="20"/>
        </w:rPr>
      </w:pPr>
    </w:p>
    <w:p>
      <w:pPr>
        <w:pStyle w:val="ListParagraph"/>
        <w:numPr>
          <w:ilvl w:val="0"/>
          <w:numId w:val="51"/>
        </w:numPr>
        <w:tabs>
          <w:tab w:pos="645" w:val="left" w:leader="none"/>
          <w:tab w:pos="646" w:val="left" w:leader="none"/>
        </w:tabs>
        <w:spacing w:line="232" w:lineRule="auto" w:before="0" w:after="0"/>
        <w:ind w:left="165" w:right="403" w:firstLine="0"/>
        <w:jc w:val="left"/>
        <w:rPr>
          <w:sz w:val="18"/>
        </w:rPr>
      </w:pPr>
      <w:r>
        <w:rPr>
          <w:color w:val="231F20"/>
          <w:sz w:val="18"/>
        </w:rPr>
        <w:t>Estimates of short maturity real rates, derived using Consensus Economics short-term inflation expectations with a rolling horizon, had fallen by 42 and 34 basis points between </w:t>
      </w:r>
      <w:r>
        <w:rPr>
          <w:color w:val="231F20"/>
          <w:spacing w:val="-4"/>
          <w:sz w:val="18"/>
        </w:rPr>
        <w:t>early </w:t>
      </w:r>
      <w:r>
        <w:rPr>
          <w:color w:val="231F20"/>
          <w:sz w:val="18"/>
        </w:rPr>
        <w:t>June and early September at the 12 and 24-month horizons, to 4.53% and 3.73%, respectively.</w:t>
      </w:r>
    </w:p>
    <w:p>
      <w:pPr>
        <w:pStyle w:val="BodyText"/>
        <w:spacing w:before="1"/>
        <w:rPr>
          <w:sz w:val="20"/>
        </w:rPr>
      </w:pPr>
    </w:p>
    <w:p>
      <w:pPr>
        <w:pStyle w:val="ListParagraph"/>
        <w:numPr>
          <w:ilvl w:val="0"/>
          <w:numId w:val="51"/>
        </w:numPr>
        <w:tabs>
          <w:tab w:pos="645" w:val="left" w:leader="none"/>
          <w:tab w:pos="646" w:val="left" w:leader="none"/>
        </w:tabs>
        <w:spacing w:line="203" w:lineRule="exact" w:before="1" w:after="0"/>
        <w:ind w:left="645" w:right="0" w:hanging="481"/>
        <w:jc w:val="left"/>
        <w:rPr>
          <w:sz w:val="18"/>
        </w:rPr>
      </w:pPr>
      <w:r>
        <w:rPr>
          <w:color w:val="231F20"/>
          <w:sz w:val="18"/>
        </w:rPr>
        <w:t>RPIX inflation expectations with respect to a fixed</w:t>
      </w:r>
    </w:p>
    <w:p>
      <w:pPr>
        <w:pStyle w:val="BodyText"/>
        <w:spacing w:line="232" w:lineRule="auto" w:before="1"/>
        <w:ind w:left="165" w:right="321"/>
      </w:pPr>
      <w:r>
        <w:rPr>
          <w:color w:val="231F20"/>
        </w:rPr>
        <w:t>end-point, as surveyed by HM Treasury and Merrill Lynch, had fallen on the month; on the Consensus Economics survey, they had remained unchanged. Professionals’ two-year spot inflation expectations with a rolling horizon, as surveyed by Barclays B</w:t>
      </w:r>
      <w:r>
        <w:rPr>
          <w:color w:val="231F20"/>
          <w:sz w:val="14"/>
        </w:rPr>
        <w:t>ASIX </w:t>
      </w:r>
      <w:r>
        <w:rPr>
          <w:color w:val="231F20"/>
        </w:rPr>
        <w:t>and Consensus Economics, had fallen between Q2 and Q3. Mean inflation expectations of the general public at 12 and 24 months ahead, as surveyed by B</w:t>
      </w:r>
      <w:r>
        <w:rPr>
          <w:color w:val="231F20"/>
          <w:sz w:val="14"/>
        </w:rPr>
        <w:t>ASIX</w:t>
      </w:r>
      <w:r>
        <w:rPr>
          <w:color w:val="231F20"/>
        </w:rPr>
        <w:t>, had risen slightly on the quarter. But this partly reflected an increase in outliers at the high end of the distributions: the modes of the survey distributions had both fallen, to 3% from 4%.</w:t>
      </w:r>
    </w:p>
    <w:p>
      <w:pPr>
        <w:pStyle w:val="BodyText"/>
        <w:spacing w:before="5"/>
        <w:rPr>
          <w:sz w:val="23"/>
        </w:rPr>
      </w:pPr>
    </w:p>
    <w:p>
      <w:pPr>
        <w:pStyle w:val="Heading6"/>
        <w:numPr>
          <w:ilvl w:val="0"/>
          <w:numId w:val="50"/>
        </w:numPr>
        <w:tabs>
          <w:tab w:pos="645" w:val="left" w:leader="none"/>
          <w:tab w:pos="646" w:val="left" w:leader="none"/>
        </w:tabs>
        <w:spacing w:line="240" w:lineRule="auto" w:before="1" w:after="0"/>
        <w:ind w:left="645" w:right="0" w:hanging="481"/>
        <w:jc w:val="left"/>
      </w:pPr>
      <w:r>
        <w:rPr>
          <w:color w:val="009483"/>
        </w:rPr>
        <w:t>Demand and output</w:t>
      </w:r>
    </w:p>
    <w:p>
      <w:pPr>
        <w:spacing w:before="124"/>
        <w:ind w:left="165" w:right="0" w:firstLine="0"/>
        <w:jc w:val="left"/>
        <w:rPr>
          <w:i/>
          <w:sz w:val="18"/>
        </w:rPr>
      </w:pPr>
      <w:r>
        <w:rPr>
          <w:i/>
          <w:color w:val="009483"/>
          <w:sz w:val="18"/>
        </w:rPr>
        <w:t>National Accounts revisions</w:t>
      </w:r>
    </w:p>
    <w:p>
      <w:pPr>
        <w:pStyle w:val="ListParagraph"/>
        <w:numPr>
          <w:ilvl w:val="0"/>
          <w:numId w:val="51"/>
        </w:numPr>
        <w:tabs>
          <w:tab w:pos="645" w:val="left" w:leader="none"/>
          <w:tab w:pos="646" w:val="left" w:leader="none"/>
        </w:tabs>
        <w:spacing w:line="232" w:lineRule="auto" w:before="138" w:after="0"/>
        <w:ind w:left="165" w:right="293" w:firstLine="0"/>
        <w:jc w:val="left"/>
        <w:rPr>
          <w:sz w:val="18"/>
        </w:rPr>
      </w:pPr>
      <w:r>
        <w:rPr>
          <w:color w:val="231F20"/>
          <w:sz w:val="18"/>
        </w:rPr>
        <w:t>The national accounts release for 1998 Q2 had been accompanied by substantial revisions to earlier data. These had resulted partly from a variety of statistical changes:  the introduction of the new European System of Accounts (ESA 95); improved methodology for measuring government output at constant prices; rebasing to 1995 prices; the completion of the </w:t>
      </w:r>
      <w:r>
        <w:rPr>
          <w:color w:val="231F20"/>
          <w:spacing w:val="-6"/>
          <w:sz w:val="18"/>
        </w:rPr>
        <w:t>new </w:t>
      </w:r>
      <w:r>
        <w:rPr>
          <w:color w:val="231F20"/>
          <w:sz w:val="18"/>
        </w:rPr>
        <w:t>Inter-departmental Business Register; the annual input-output reconciliation of the accounts for 1996; and re-balancing of 1989–95 data. In addition, there had been the usual revisions to the most recent estimates of growth based on new information.</w:t>
      </w:r>
    </w:p>
    <w:p>
      <w:pPr>
        <w:pStyle w:val="BodyText"/>
        <w:spacing w:before="2"/>
        <w:rPr>
          <w:sz w:val="20"/>
        </w:rPr>
      </w:pPr>
    </w:p>
    <w:p>
      <w:pPr>
        <w:pStyle w:val="ListParagraph"/>
        <w:numPr>
          <w:ilvl w:val="0"/>
          <w:numId w:val="51"/>
        </w:numPr>
        <w:tabs>
          <w:tab w:pos="645" w:val="left" w:leader="none"/>
          <w:tab w:pos="646" w:val="left" w:leader="none"/>
        </w:tabs>
        <w:spacing w:line="232" w:lineRule="auto" w:before="0" w:after="0"/>
        <w:ind w:left="165" w:right="513" w:firstLine="0"/>
        <w:jc w:val="left"/>
        <w:rPr>
          <w:sz w:val="18"/>
        </w:rPr>
      </w:pPr>
      <w:r>
        <w:rPr>
          <w:color w:val="231F20"/>
          <w:sz w:val="18"/>
        </w:rPr>
        <w:t>Overall, the level of real GDP at market prices in 1998 </w:t>
      </w:r>
      <w:r>
        <w:rPr>
          <w:color w:val="231F20"/>
          <w:spacing w:val="-9"/>
          <w:sz w:val="18"/>
        </w:rPr>
        <w:t>Q2 </w:t>
      </w:r>
      <w:r>
        <w:rPr>
          <w:color w:val="231F20"/>
          <w:sz w:val="18"/>
        </w:rPr>
        <w:t>was around 2% higher than had been previously recorded. This was concentrated on the latest ten years. Revisions prior to then had reduced the level of GDP, reflecting the introduction of</w:t>
      </w:r>
    </w:p>
    <w:p>
      <w:pPr>
        <w:pStyle w:val="BodyText"/>
        <w:spacing w:line="232" w:lineRule="auto"/>
        <w:ind w:left="165" w:right="321"/>
      </w:pPr>
      <w:r>
        <w:rPr>
          <w:color w:val="231F20"/>
        </w:rPr>
        <w:t>ESA 95, the new European System of Accounts. But the impact on the annual growth rates in years before 1987 was not significant.</w:t>
      </w:r>
    </w:p>
    <w:p>
      <w:pPr>
        <w:pStyle w:val="BodyText"/>
        <w:spacing w:line="232" w:lineRule="auto"/>
        <w:ind w:left="165" w:right="516"/>
      </w:pPr>
      <w:r>
        <w:rPr>
          <w:color w:val="231F20"/>
        </w:rPr>
        <w:t>Revisions to the latest decade were largely accounted for by new data and statistical changes other than ESA 95 or rebasing.</w:t>
      </w:r>
    </w:p>
    <w:p>
      <w:pPr>
        <w:pStyle w:val="BodyText"/>
        <w:spacing w:before="4"/>
        <w:rPr>
          <w:sz w:val="20"/>
        </w:rPr>
      </w:pPr>
    </w:p>
    <w:p>
      <w:pPr>
        <w:pStyle w:val="ListParagraph"/>
        <w:numPr>
          <w:ilvl w:val="0"/>
          <w:numId w:val="51"/>
        </w:numPr>
        <w:tabs>
          <w:tab w:pos="645" w:val="left" w:leader="none"/>
          <w:tab w:pos="646" w:val="left" w:leader="none"/>
        </w:tabs>
        <w:spacing w:line="232" w:lineRule="auto" w:before="0" w:after="0"/>
        <w:ind w:left="165" w:right="293" w:firstLine="0"/>
        <w:jc w:val="left"/>
        <w:rPr>
          <w:sz w:val="18"/>
        </w:rPr>
      </w:pPr>
      <w:r>
        <w:rPr>
          <w:color w:val="231F20"/>
          <w:sz w:val="18"/>
        </w:rPr>
        <w:t>Investment spending was significantly higher than previously recorded over 1995–98. Only a small part of this had reflected the inclusion of new categories of spending, such as computer software, introduced as part of ESA 95. Rebasing to 1995 prices had reduced the investment deflator and so increased real investment between 1995–97, due to a higher weight being assigned to IT expenditure, where prices had been falling. Additional expenditure had also been recorded, following the use of</w:t>
      </w:r>
    </w:p>
    <w:p>
      <w:pPr>
        <w:spacing w:after="0" w:line="232" w:lineRule="auto"/>
        <w:jc w:val="left"/>
        <w:rPr>
          <w:sz w:val="18"/>
        </w:rPr>
        <w:sectPr>
          <w:type w:val="continuous"/>
          <w:pgSz w:w="11900" w:h="16840"/>
          <w:pgMar w:top="1220" w:bottom="280" w:left="620" w:right="520"/>
          <w:cols w:num="2" w:equalWidth="0">
            <w:col w:w="5080" w:space="310"/>
            <w:col w:w="5370"/>
          </w:cols>
        </w:sectPr>
      </w:pPr>
    </w:p>
    <w:p>
      <w:pPr>
        <w:pStyle w:val="BodyText"/>
        <w:rPr>
          <w:sz w:val="20"/>
        </w:rPr>
      </w:pPr>
    </w:p>
    <w:p>
      <w:pPr>
        <w:spacing w:after="0"/>
        <w:rPr>
          <w:sz w:val="20"/>
        </w:rPr>
        <w:sectPr>
          <w:pgSz w:w="11900" w:h="16840"/>
          <w:pgMar w:header="566" w:footer="597" w:top="760" w:bottom="780" w:left="620" w:right="520"/>
        </w:sectPr>
      </w:pPr>
    </w:p>
    <w:p>
      <w:pPr>
        <w:pStyle w:val="BodyText"/>
        <w:spacing w:before="7"/>
        <w:rPr>
          <w:sz w:val="19"/>
        </w:rPr>
      </w:pPr>
    </w:p>
    <w:p>
      <w:pPr>
        <w:pStyle w:val="BodyText"/>
        <w:spacing w:line="232" w:lineRule="auto" w:before="1"/>
        <w:ind w:left="174" w:right="265"/>
      </w:pPr>
      <w:r>
        <w:rPr>
          <w:color w:val="231F20"/>
        </w:rPr>
        <w:t>annual benchmarking surveys as part of the input-output reconciliation for 1996. As a consequence of these revisions to investment, the (real) business investment to GDP ratio was now higher than its previous peak in the late 1980s.</w:t>
      </w:r>
    </w:p>
    <w:p>
      <w:pPr>
        <w:pStyle w:val="ListParagraph"/>
        <w:numPr>
          <w:ilvl w:val="0"/>
          <w:numId w:val="51"/>
        </w:numPr>
        <w:tabs>
          <w:tab w:pos="654" w:val="left" w:leader="none"/>
          <w:tab w:pos="655" w:val="left" w:leader="none"/>
        </w:tabs>
        <w:spacing w:line="232" w:lineRule="auto" w:before="177" w:after="0"/>
        <w:ind w:left="174" w:right="38" w:firstLine="0"/>
        <w:jc w:val="left"/>
        <w:rPr>
          <w:sz w:val="18"/>
        </w:rPr>
      </w:pPr>
      <w:r>
        <w:rPr>
          <w:color w:val="231F20"/>
          <w:sz w:val="18"/>
        </w:rPr>
        <w:t>Consumption expenditure during the 1990/91 recession had been revised to be higher than had been previously recorded but </w:t>
      </w:r>
      <w:r>
        <w:rPr>
          <w:color w:val="231F20"/>
          <w:spacing w:val="-6"/>
          <w:sz w:val="18"/>
        </w:rPr>
        <w:t>had </w:t>
      </w:r>
      <w:r>
        <w:rPr>
          <w:color w:val="231F20"/>
          <w:sz w:val="18"/>
        </w:rPr>
        <w:t>been weaker in recent years. Lower growth in spending on services and durables had been partly offset by stronger growth in</w:t>
      </w:r>
    </w:p>
    <w:p>
      <w:pPr>
        <w:pStyle w:val="BodyText"/>
        <w:spacing w:line="232" w:lineRule="auto"/>
        <w:ind w:left="174" w:right="176"/>
      </w:pPr>
      <w:r>
        <w:rPr>
          <w:color w:val="231F20"/>
        </w:rPr>
        <w:t>non-durables spending. These changes had largely reflected information from new annual retail sales benchmarking surveys. Alongside revisions to household spending, there had also been downward revisions to disposable income and to the profile of the saving ratio. But these changes had largely reflected the</w:t>
      </w:r>
    </w:p>
    <w:p>
      <w:pPr>
        <w:pStyle w:val="BodyText"/>
        <w:spacing w:line="232" w:lineRule="auto"/>
        <w:ind w:left="174" w:right="396"/>
      </w:pPr>
      <w:r>
        <w:rPr>
          <w:color w:val="231F20"/>
        </w:rPr>
        <w:t>re-classification of partnership income from the personal to the corporate sector.</w:t>
      </w:r>
    </w:p>
    <w:p>
      <w:pPr>
        <w:pStyle w:val="ListParagraph"/>
        <w:numPr>
          <w:ilvl w:val="0"/>
          <w:numId w:val="51"/>
        </w:numPr>
        <w:tabs>
          <w:tab w:pos="654" w:val="left" w:leader="none"/>
          <w:tab w:pos="655" w:val="left" w:leader="none"/>
        </w:tabs>
        <w:spacing w:line="203" w:lineRule="exact" w:before="166" w:after="0"/>
        <w:ind w:left="654" w:right="0" w:hanging="481"/>
        <w:jc w:val="left"/>
        <w:rPr>
          <w:sz w:val="18"/>
        </w:rPr>
      </w:pPr>
      <w:r>
        <w:rPr>
          <w:color w:val="231F20"/>
          <w:sz w:val="18"/>
        </w:rPr>
        <w:t>Government consumption had grown at a faster rate in</w:t>
      </w:r>
    </w:p>
    <w:p>
      <w:pPr>
        <w:pStyle w:val="BodyText"/>
        <w:spacing w:line="232" w:lineRule="auto" w:before="2"/>
        <w:ind w:left="174" w:right="81"/>
      </w:pPr>
      <w:r>
        <w:rPr>
          <w:color w:val="231F20"/>
        </w:rPr>
        <w:t>1998 Q1 than previously recorded, partly because of changes to the measures of productivity growth. But this remained an area of uncertainty and measurement difficulty.</w:t>
      </w:r>
    </w:p>
    <w:p>
      <w:pPr>
        <w:pStyle w:val="ListParagraph"/>
        <w:numPr>
          <w:ilvl w:val="0"/>
          <w:numId w:val="51"/>
        </w:numPr>
        <w:tabs>
          <w:tab w:pos="654" w:val="left" w:leader="none"/>
          <w:tab w:pos="655" w:val="left" w:leader="none"/>
        </w:tabs>
        <w:spacing w:line="232" w:lineRule="auto" w:before="177" w:after="0"/>
        <w:ind w:left="174" w:right="143" w:firstLine="0"/>
        <w:jc w:val="left"/>
        <w:rPr>
          <w:sz w:val="18"/>
        </w:rPr>
      </w:pPr>
      <w:r>
        <w:rPr>
          <w:color w:val="231F20"/>
          <w:sz w:val="18"/>
        </w:rPr>
        <w:t>The overall trade picture had not been changed </w:t>
      </w:r>
      <w:r>
        <w:rPr>
          <w:color w:val="231F20"/>
          <w:spacing w:val="-2"/>
          <w:sz w:val="18"/>
        </w:rPr>
        <w:t>significantly </w:t>
      </w:r>
      <w:r>
        <w:rPr>
          <w:color w:val="231F20"/>
          <w:sz w:val="18"/>
        </w:rPr>
        <w:t>by revisions, other than in the latest year. The current account surplus in 1997 was now recorded at £8 billion compared with</w:t>
      </w:r>
    </w:p>
    <w:p>
      <w:pPr>
        <w:pStyle w:val="BodyText"/>
        <w:spacing w:line="232" w:lineRule="auto"/>
        <w:ind w:left="174" w:right="176"/>
      </w:pPr>
      <w:r>
        <w:rPr>
          <w:color w:val="231F20"/>
        </w:rPr>
        <w:t>£4.5 billion previously, largely owing to a higher services </w:t>
      </w:r>
      <w:r>
        <w:rPr>
          <w:color w:val="231F20"/>
          <w:spacing w:val="-3"/>
        </w:rPr>
        <w:t>surplus. </w:t>
      </w:r>
      <w:r>
        <w:rPr>
          <w:color w:val="231F20"/>
        </w:rPr>
        <w:t>The constant-price trade balance (goods and services) had continued to fall in recent quarters, but less sharply than had been previously recorded, largely because of higher service exports.</w:t>
      </w:r>
    </w:p>
    <w:p>
      <w:pPr>
        <w:pStyle w:val="BodyText"/>
        <w:spacing w:line="232" w:lineRule="auto"/>
        <w:ind w:left="174" w:right="46"/>
      </w:pPr>
      <w:r>
        <w:rPr>
          <w:color w:val="231F20"/>
        </w:rPr>
        <w:t>Goods exports and imports had both been revised upwards. Revisions to exports had increased the estimated UK share of world imports and particularly EU imports, but a large fall over the past year had remained evident.</w:t>
      </w:r>
    </w:p>
    <w:p>
      <w:pPr>
        <w:pStyle w:val="ListParagraph"/>
        <w:numPr>
          <w:ilvl w:val="0"/>
          <w:numId w:val="51"/>
        </w:numPr>
        <w:tabs>
          <w:tab w:pos="654" w:val="left" w:leader="none"/>
          <w:tab w:pos="655" w:val="left" w:leader="none"/>
        </w:tabs>
        <w:spacing w:line="232" w:lineRule="auto" w:before="172" w:after="0"/>
        <w:ind w:left="174" w:right="38" w:firstLine="0"/>
        <w:jc w:val="left"/>
        <w:rPr>
          <w:sz w:val="18"/>
        </w:rPr>
      </w:pPr>
      <w:r>
        <w:rPr>
          <w:color w:val="231F20"/>
          <w:sz w:val="18"/>
        </w:rPr>
        <w:t>On the output side of the national accounts, growth in services output had been revised upwards in 1996 and 1997, primarily owing to higher government services output. However, annual growth in services output in 1998 Q2 had been little </w:t>
      </w:r>
      <w:r>
        <w:rPr>
          <w:color w:val="231F20"/>
          <w:spacing w:val="-3"/>
          <w:sz w:val="18"/>
        </w:rPr>
        <w:t>changed </w:t>
      </w:r>
      <w:r>
        <w:rPr>
          <w:color w:val="231F20"/>
          <w:sz w:val="18"/>
        </w:rPr>
        <w:t>at 3.8%, compared with 3.6% previously. Annual growth in manufacturing output had been revised to 0.7% in 1998 Q2, from</w:t>
      </w:r>
    </w:p>
    <w:p>
      <w:pPr>
        <w:pStyle w:val="BodyText"/>
        <w:spacing w:line="232" w:lineRule="auto"/>
        <w:ind w:left="174"/>
      </w:pPr>
      <w:r>
        <w:rPr>
          <w:color w:val="231F20"/>
        </w:rPr>
        <w:t>-0.1% previously. And growth in 1997 had been revised down. A clear contrast remained between ONS and survey data in recent years.</w:t>
      </w:r>
    </w:p>
    <w:p>
      <w:pPr>
        <w:pStyle w:val="ListParagraph"/>
        <w:numPr>
          <w:ilvl w:val="0"/>
          <w:numId w:val="51"/>
        </w:numPr>
        <w:tabs>
          <w:tab w:pos="654" w:val="left" w:leader="none"/>
          <w:tab w:pos="655" w:val="left" w:leader="none"/>
        </w:tabs>
        <w:spacing w:line="232" w:lineRule="auto" w:before="173" w:after="0"/>
        <w:ind w:left="174" w:right="38" w:firstLine="0"/>
        <w:jc w:val="left"/>
        <w:rPr>
          <w:sz w:val="18"/>
        </w:rPr>
      </w:pPr>
      <w:r>
        <w:rPr>
          <w:color w:val="231F20"/>
          <w:sz w:val="18"/>
        </w:rPr>
        <w:t>It was noted that the revised data had, to varying degrees, resolved some of the puzzles in the data in recent years, particularly the relatively slow growth in investment prior to the latest</w:t>
      </w:r>
      <w:r>
        <w:rPr>
          <w:color w:val="231F20"/>
          <w:spacing w:val="-17"/>
          <w:sz w:val="18"/>
        </w:rPr>
        <w:t> </w:t>
      </w:r>
      <w:r>
        <w:rPr>
          <w:color w:val="231F20"/>
          <w:sz w:val="18"/>
        </w:rPr>
        <w:t>revisions.</w:t>
      </w:r>
    </w:p>
    <w:p>
      <w:pPr>
        <w:pStyle w:val="BodyText"/>
        <w:spacing w:before="8"/>
        <w:rPr>
          <w:sz w:val="16"/>
        </w:rPr>
      </w:pPr>
    </w:p>
    <w:p>
      <w:pPr>
        <w:spacing w:before="0"/>
        <w:ind w:left="174" w:right="0" w:firstLine="0"/>
        <w:jc w:val="left"/>
        <w:rPr>
          <w:i/>
          <w:sz w:val="18"/>
        </w:rPr>
      </w:pPr>
      <w:r>
        <w:rPr>
          <w:i/>
          <w:color w:val="009483"/>
          <w:sz w:val="18"/>
        </w:rPr>
        <w:t>Recent data</w:t>
      </w:r>
    </w:p>
    <w:p>
      <w:pPr>
        <w:pStyle w:val="ListParagraph"/>
        <w:numPr>
          <w:ilvl w:val="0"/>
          <w:numId w:val="51"/>
        </w:numPr>
        <w:tabs>
          <w:tab w:pos="654" w:val="left" w:leader="none"/>
          <w:tab w:pos="655" w:val="left" w:leader="none"/>
        </w:tabs>
        <w:spacing w:line="232" w:lineRule="auto" w:before="118" w:after="0"/>
        <w:ind w:left="174" w:right="43" w:firstLine="0"/>
        <w:jc w:val="left"/>
        <w:rPr>
          <w:sz w:val="18"/>
        </w:rPr>
      </w:pPr>
      <w:r>
        <w:rPr>
          <w:color w:val="231F20"/>
          <w:sz w:val="18"/>
        </w:rPr>
        <w:t>In 1998, quarterly growth in GDP at market prices was unrevised at 0.5% in Q2 and 0.8% in Q1 (though annual growth </w:t>
      </w:r>
      <w:r>
        <w:rPr>
          <w:color w:val="231F20"/>
          <w:spacing w:val="-6"/>
          <w:sz w:val="18"/>
        </w:rPr>
        <w:t>had </w:t>
      </w:r>
      <w:r>
        <w:rPr>
          <w:color w:val="231F20"/>
          <w:sz w:val="18"/>
        </w:rPr>
        <w:t>been revised to 3.0% from 2.6%, following stronger growth in 1997 than previously recorded). But domestic demand growth in</w:t>
      </w:r>
    </w:p>
    <w:p>
      <w:pPr>
        <w:pStyle w:val="BodyText"/>
        <w:spacing w:line="232" w:lineRule="auto"/>
        <w:ind w:left="174" w:right="261"/>
      </w:pPr>
      <w:r>
        <w:rPr>
          <w:color w:val="231F20"/>
        </w:rPr>
        <w:t>1998 Q2 had been revised from 0.6% to 0.3% and final domestic demand had grown by 0.1% in 1998 Q2.</w:t>
      </w:r>
    </w:p>
    <w:p>
      <w:pPr>
        <w:pStyle w:val="ListParagraph"/>
        <w:numPr>
          <w:ilvl w:val="0"/>
          <w:numId w:val="51"/>
        </w:numPr>
        <w:tabs>
          <w:tab w:pos="654" w:val="left" w:leader="none"/>
          <w:tab w:pos="655" w:val="left" w:leader="none"/>
        </w:tabs>
        <w:spacing w:line="232" w:lineRule="auto" w:before="176" w:after="0"/>
        <w:ind w:left="174" w:right="43" w:firstLine="0"/>
        <w:jc w:val="left"/>
        <w:rPr>
          <w:sz w:val="18"/>
        </w:rPr>
      </w:pPr>
      <w:r>
        <w:rPr>
          <w:color w:val="231F20"/>
          <w:sz w:val="18"/>
        </w:rPr>
        <w:t>Consumption had increased by 0.4% in 1998 Q2, compared with 0.5% in 1998 Q1. Services spending had fallen by 0.2%, having grown by more than 1% in the previous two quarters. Durables spending had also fallen over the quarter, mirroring weak car registrations data, while non-durables spending had grown by 1.1% after falling in 1998 Q1. The quarterly pattern of household spending had been very erratic in the past year, and the extent of </w:t>
      </w:r>
      <w:r>
        <w:rPr>
          <w:color w:val="231F20"/>
          <w:spacing w:val="-6"/>
          <w:sz w:val="18"/>
        </w:rPr>
        <w:t>the </w:t>
      </w:r>
      <w:r>
        <w:rPr>
          <w:color w:val="231F20"/>
          <w:sz w:val="18"/>
        </w:rPr>
        <w:t>slowdown in the second quarter might have been exaggerated by relatively poor weather. Nonetheless, a slowdown in the growth of spending had remained evident.</w:t>
      </w:r>
    </w:p>
    <w:p>
      <w:pPr>
        <w:pStyle w:val="BodyText"/>
        <w:spacing w:before="8"/>
        <w:rPr>
          <w:sz w:val="16"/>
        </w:rPr>
      </w:pPr>
    </w:p>
    <w:p>
      <w:pPr>
        <w:pStyle w:val="ListParagraph"/>
        <w:numPr>
          <w:ilvl w:val="0"/>
          <w:numId w:val="51"/>
        </w:numPr>
        <w:tabs>
          <w:tab w:pos="655" w:val="left" w:leader="none"/>
        </w:tabs>
        <w:spacing w:line="232" w:lineRule="auto" w:before="0" w:after="0"/>
        <w:ind w:left="174" w:right="88" w:firstLine="0"/>
        <w:jc w:val="both"/>
        <w:rPr>
          <w:sz w:val="18"/>
        </w:rPr>
      </w:pPr>
      <w:r>
        <w:rPr>
          <w:color w:val="231F20"/>
          <w:sz w:val="18"/>
        </w:rPr>
        <w:t>Weak final domestic demand had also been accounted for </w:t>
      </w:r>
      <w:r>
        <w:rPr>
          <w:color w:val="231F20"/>
          <w:spacing w:val="-9"/>
          <w:sz w:val="18"/>
        </w:rPr>
        <w:t>by </w:t>
      </w:r>
      <w:r>
        <w:rPr>
          <w:color w:val="231F20"/>
          <w:sz w:val="18"/>
        </w:rPr>
        <w:t>a 1.4% fall in investment in 1998 Q2. After an erratically high </w:t>
      </w:r>
      <w:r>
        <w:rPr>
          <w:color w:val="231F20"/>
          <w:spacing w:val="-4"/>
          <w:sz w:val="18"/>
        </w:rPr>
        <w:t>first </w:t>
      </w:r>
      <w:r>
        <w:rPr>
          <w:color w:val="231F20"/>
          <w:sz w:val="18"/>
        </w:rPr>
        <w:t>quarter, business investment had fallen by 2.7% (revised up from</w:t>
      </w:r>
    </w:p>
    <w:p>
      <w:pPr>
        <w:pStyle w:val="BodyText"/>
        <w:spacing w:line="232" w:lineRule="auto"/>
        <w:ind w:left="174" w:right="148"/>
        <w:jc w:val="both"/>
      </w:pPr>
      <w:r>
        <w:rPr>
          <w:color w:val="231F20"/>
        </w:rPr>
        <w:t>-5.5%), of which -1.8 percentage points had been accounted for by a fall in private services investment.</w:t>
      </w:r>
    </w:p>
    <w:p>
      <w:pPr>
        <w:pStyle w:val="BodyText"/>
        <w:spacing w:before="7"/>
        <w:rPr>
          <w:sz w:val="19"/>
        </w:rPr>
      </w:pPr>
      <w:r>
        <w:rPr/>
        <w:br w:type="column"/>
      </w:r>
      <w:r>
        <w:rPr>
          <w:sz w:val="19"/>
        </w:rPr>
      </w:r>
    </w:p>
    <w:p>
      <w:pPr>
        <w:pStyle w:val="ListParagraph"/>
        <w:numPr>
          <w:ilvl w:val="0"/>
          <w:numId w:val="51"/>
        </w:numPr>
        <w:tabs>
          <w:tab w:pos="654" w:val="left" w:leader="none"/>
          <w:tab w:pos="655" w:val="left" w:leader="none"/>
        </w:tabs>
        <w:spacing w:line="232" w:lineRule="auto" w:before="0" w:after="0"/>
        <w:ind w:left="174" w:right="329" w:firstLine="0"/>
        <w:jc w:val="left"/>
        <w:rPr>
          <w:sz w:val="18"/>
        </w:rPr>
      </w:pPr>
      <w:r>
        <w:rPr>
          <w:color w:val="231F20"/>
          <w:sz w:val="18"/>
        </w:rPr>
        <w:t>Inventories had increased by £1,597 million in 1998 Q2, </w:t>
      </w:r>
      <w:r>
        <w:rPr>
          <w:color w:val="231F20"/>
          <w:spacing w:val="-6"/>
          <w:sz w:val="18"/>
        </w:rPr>
        <w:t>and </w:t>
      </w:r>
      <w:r>
        <w:rPr>
          <w:color w:val="231F20"/>
          <w:sz w:val="18"/>
        </w:rPr>
        <w:t>by £777 million excluding the quarterly alignment adjustment.</w:t>
      </w:r>
    </w:p>
    <w:p>
      <w:pPr>
        <w:pStyle w:val="BodyText"/>
        <w:spacing w:line="232" w:lineRule="auto"/>
        <w:ind w:left="174" w:right="720"/>
      </w:pPr>
      <w:r>
        <w:rPr>
          <w:color w:val="231F20"/>
        </w:rPr>
        <w:t>There had been a large increase in manufacturing stocks (+£357 million) and a second quarterly rise in retailing stocks</w:t>
      </w:r>
    </w:p>
    <w:p>
      <w:pPr>
        <w:pStyle w:val="BodyText"/>
        <w:spacing w:line="232" w:lineRule="auto"/>
        <w:ind w:left="174" w:right="291"/>
      </w:pPr>
      <w:r>
        <w:rPr>
          <w:color w:val="231F20"/>
        </w:rPr>
        <w:t>(+£278 million). Overall, inventories contributed 0.3 percentage points to GDP growth in 1998 Q2.</w:t>
      </w:r>
    </w:p>
    <w:p>
      <w:pPr>
        <w:pStyle w:val="BodyText"/>
        <w:spacing w:before="6"/>
        <w:rPr>
          <w:sz w:val="20"/>
        </w:rPr>
      </w:pPr>
    </w:p>
    <w:p>
      <w:pPr>
        <w:pStyle w:val="ListParagraph"/>
        <w:numPr>
          <w:ilvl w:val="0"/>
          <w:numId w:val="51"/>
        </w:numPr>
        <w:tabs>
          <w:tab w:pos="654" w:val="left" w:leader="none"/>
          <w:tab w:pos="655" w:val="left" w:leader="none"/>
        </w:tabs>
        <w:spacing w:line="232" w:lineRule="auto" w:before="0" w:after="0"/>
        <w:ind w:left="174" w:right="269" w:firstLine="0"/>
        <w:jc w:val="left"/>
        <w:rPr>
          <w:sz w:val="18"/>
        </w:rPr>
      </w:pPr>
      <w:r>
        <w:rPr>
          <w:color w:val="231F20"/>
          <w:sz w:val="18"/>
        </w:rPr>
        <w:t>There had been only limited data covering the third quarter. Retail sales volumes had risen by 0.4% in August, following July’s revised 1.1% increase. There had been the first two consecutive monthly rises since mid 1997. Growth in 1998 Q3 was expected to exceed that in 1998 Q2, but with an underlying slowdown in demand remaining evident. Consumer confidence had risen </w:t>
      </w:r>
      <w:r>
        <w:rPr>
          <w:color w:val="231F20"/>
          <w:spacing w:val="-3"/>
          <w:sz w:val="18"/>
        </w:rPr>
        <w:t>slightly </w:t>
      </w:r>
      <w:r>
        <w:rPr>
          <w:color w:val="231F20"/>
          <w:sz w:val="18"/>
        </w:rPr>
        <w:t>in September, to -2.8 percentage points in the GFK survey, though it had remained weaker than its level over the past two years. The M</w:t>
      </w:r>
      <w:r>
        <w:rPr>
          <w:color w:val="231F20"/>
          <w:sz w:val="14"/>
        </w:rPr>
        <w:t>ORI </w:t>
      </w:r>
      <w:r>
        <w:rPr>
          <w:color w:val="231F20"/>
          <w:sz w:val="18"/>
        </w:rPr>
        <w:t>survey had weakened further in August, falling to -27</w:t>
      </w:r>
      <w:r>
        <w:rPr>
          <w:color w:val="231F20"/>
          <w:spacing w:val="9"/>
          <w:sz w:val="18"/>
        </w:rPr>
        <w:t> </w:t>
      </w:r>
      <w:r>
        <w:rPr>
          <w:color w:val="231F20"/>
          <w:sz w:val="18"/>
        </w:rPr>
        <w:t>from</w:t>
      </w:r>
    </w:p>
    <w:p>
      <w:pPr>
        <w:pStyle w:val="BodyText"/>
        <w:spacing w:line="195" w:lineRule="exact"/>
        <w:ind w:left="174"/>
      </w:pPr>
      <w:r>
        <w:rPr>
          <w:color w:val="231F20"/>
        </w:rPr>
        <w:t>-21 in July, well below its average level since 1992.</w:t>
      </w:r>
    </w:p>
    <w:p>
      <w:pPr>
        <w:pStyle w:val="BodyText"/>
        <w:spacing w:before="8"/>
        <w:rPr>
          <w:sz w:val="20"/>
        </w:rPr>
      </w:pPr>
    </w:p>
    <w:p>
      <w:pPr>
        <w:pStyle w:val="ListParagraph"/>
        <w:numPr>
          <w:ilvl w:val="0"/>
          <w:numId w:val="51"/>
        </w:numPr>
        <w:tabs>
          <w:tab w:pos="654" w:val="left" w:leader="none"/>
          <w:tab w:pos="655" w:val="left" w:leader="none"/>
        </w:tabs>
        <w:spacing w:line="232" w:lineRule="auto" w:before="0" w:after="0"/>
        <w:ind w:left="174" w:right="270" w:firstLine="0"/>
        <w:jc w:val="left"/>
        <w:rPr>
          <w:sz w:val="18"/>
        </w:rPr>
      </w:pPr>
      <w:r>
        <w:rPr>
          <w:color w:val="231F20"/>
          <w:sz w:val="18"/>
        </w:rPr>
        <w:t>The housing market had continued to show signs of moderating. The Nationwide house price index had fallen again in September (by 0.2%), to 7.5% above its level a year earlier. The Halifax index had risen in September (by 0.3%), to 5.4% higher than a year earlier. Survey data had remained subdued. R</w:t>
      </w:r>
      <w:r>
        <w:rPr>
          <w:color w:val="231F20"/>
          <w:sz w:val="14"/>
        </w:rPr>
        <w:t>ICS </w:t>
      </w:r>
      <w:r>
        <w:rPr>
          <w:color w:val="231F20"/>
          <w:sz w:val="18"/>
        </w:rPr>
        <w:t>balances for sales and stock of instructions per agent had both </w:t>
      </w:r>
      <w:r>
        <w:rPr>
          <w:color w:val="231F20"/>
          <w:spacing w:val="-3"/>
          <w:sz w:val="18"/>
        </w:rPr>
        <w:t>fallen </w:t>
      </w:r>
      <w:r>
        <w:rPr>
          <w:color w:val="231F20"/>
          <w:sz w:val="18"/>
        </w:rPr>
        <w:t>in August. Instructions per agent had fallen to their lowest levels since the survey began (1986). Housing turnover, measured by number of particulars delivered, had increased for the third consecutive month, consistent with recent increases in lending secured on dwellings.  But turnover had remained below the average level in 1997, and lending had fallen back in August from its high July level. The Housebuilders’ Federation survey had continued to show lower balances for site visitors over the summer months (-7 in August). The net reservations balance had recovered to -3 in August from -17 in July, though it had remained below June’s level (+1).</w:t>
      </w:r>
    </w:p>
    <w:p>
      <w:pPr>
        <w:pStyle w:val="BodyText"/>
        <w:spacing w:before="8"/>
        <w:rPr>
          <w:sz w:val="19"/>
        </w:rPr>
      </w:pPr>
    </w:p>
    <w:p>
      <w:pPr>
        <w:pStyle w:val="ListParagraph"/>
        <w:numPr>
          <w:ilvl w:val="0"/>
          <w:numId w:val="51"/>
        </w:numPr>
        <w:tabs>
          <w:tab w:pos="654" w:val="left" w:leader="none"/>
          <w:tab w:pos="655" w:val="left" w:leader="none"/>
        </w:tabs>
        <w:spacing w:line="232" w:lineRule="auto" w:before="0" w:after="0"/>
        <w:ind w:left="174" w:right="490" w:firstLine="0"/>
        <w:jc w:val="left"/>
        <w:rPr>
          <w:sz w:val="18"/>
        </w:rPr>
      </w:pPr>
      <w:r>
        <w:rPr>
          <w:color w:val="231F20"/>
          <w:sz w:val="18"/>
        </w:rPr>
        <w:t>Manufacturing survey data had continued to point to a contraction in manufacturing output. The CBI Industrial Trends survey had recorded a further fall in the total order book</w:t>
      </w:r>
      <w:r>
        <w:rPr>
          <w:color w:val="231F20"/>
          <w:spacing w:val="6"/>
          <w:sz w:val="18"/>
        </w:rPr>
        <w:t> </w:t>
      </w:r>
      <w:r>
        <w:rPr>
          <w:color w:val="231F20"/>
          <w:spacing w:val="-3"/>
          <w:sz w:val="18"/>
        </w:rPr>
        <w:t>balance:</w:t>
      </w:r>
    </w:p>
    <w:p>
      <w:pPr>
        <w:pStyle w:val="BodyText"/>
        <w:spacing w:line="232" w:lineRule="auto"/>
        <w:ind w:left="174" w:right="291"/>
      </w:pPr>
      <w:r>
        <w:rPr>
          <w:color w:val="231F20"/>
        </w:rPr>
        <w:t>-36 in September, compared with -31 in August. Output expectations had remained negative: -13, compared with -15 in August. The C</w:t>
      </w:r>
      <w:r>
        <w:rPr>
          <w:color w:val="231F20"/>
          <w:sz w:val="14"/>
        </w:rPr>
        <w:t>IPS </w:t>
      </w:r>
      <w:r>
        <w:rPr>
          <w:color w:val="231F20"/>
        </w:rPr>
        <w:t>survey showed manufacturing output falling for the sixth consecutive month, through the rate of contraction eased (46.8 in September up from 42.4 in August). More consistent with survey evidence, ONS data had recorded a fall in manufacturing output in August of 0.5%. But it had remained 0.3% higher in the latest three months than the previous three months. The C</w:t>
      </w:r>
      <w:r>
        <w:rPr>
          <w:color w:val="231F20"/>
          <w:sz w:val="14"/>
        </w:rPr>
        <w:t>IPS </w:t>
      </w:r>
      <w:r>
        <w:rPr>
          <w:color w:val="231F20"/>
        </w:rPr>
        <w:t>report on services had recorded continued growth in incoming business (52.3), but at a slowing rate. And the outstanding business index was below 50 for the fourth consecutive month.</w:t>
      </w:r>
    </w:p>
    <w:p>
      <w:pPr>
        <w:pStyle w:val="BodyText"/>
        <w:spacing w:before="2"/>
        <w:rPr>
          <w:sz w:val="23"/>
        </w:rPr>
      </w:pPr>
    </w:p>
    <w:p>
      <w:pPr>
        <w:pStyle w:val="Heading6"/>
        <w:numPr>
          <w:ilvl w:val="0"/>
          <w:numId w:val="50"/>
        </w:numPr>
        <w:tabs>
          <w:tab w:pos="654" w:val="left" w:leader="none"/>
          <w:tab w:pos="655" w:val="left" w:leader="none"/>
        </w:tabs>
        <w:spacing w:line="240" w:lineRule="auto" w:before="1" w:after="0"/>
        <w:ind w:left="654" w:right="0" w:hanging="481"/>
        <w:jc w:val="left"/>
      </w:pPr>
      <w:r>
        <w:rPr>
          <w:color w:val="009483"/>
        </w:rPr>
        <w:t>Labour</w:t>
      </w:r>
      <w:r>
        <w:rPr>
          <w:color w:val="009483"/>
          <w:spacing w:val="-1"/>
        </w:rPr>
        <w:t> </w:t>
      </w:r>
      <w:r>
        <w:rPr>
          <w:color w:val="009483"/>
        </w:rPr>
        <w:t>market</w:t>
      </w:r>
    </w:p>
    <w:p>
      <w:pPr>
        <w:pStyle w:val="ListParagraph"/>
        <w:numPr>
          <w:ilvl w:val="0"/>
          <w:numId w:val="51"/>
        </w:numPr>
        <w:tabs>
          <w:tab w:pos="654" w:val="left" w:leader="none"/>
          <w:tab w:pos="655" w:val="left" w:leader="none"/>
        </w:tabs>
        <w:spacing w:line="232" w:lineRule="auto" w:before="109" w:after="0"/>
        <w:ind w:left="174" w:right="310" w:firstLine="0"/>
        <w:jc w:val="left"/>
        <w:rPr>
          <w:sz w:val="18"/>
        </w:rPr>
      </w:pPr>
      <w:r>
        <w:rPr>
          <w:color w:val="231F20"/>
          <w:sz w:val="18"/>
        </w:rPr>
        <w:t>LFS employment had grown by 70,000 (0.3%) in the three months ending in July, compared with the previous three months. There had been no sign in the data that the rate of increase was slowing. The increase in employment in May to July had been almost entirely in full-time employment, a reversal of recent </w:t>
      </w:r>
      <w:r>
        <w:rPr>
          <w:color w:val="231F20"/>
          <w:spacing w:val="-3"/>
          <w:sz w:val="18"/>
        </w:rPr>
        <w:t>trends. </w:t>
      </w:r>
      <w:r>
        <w:rPr>
          <w:color w:val="231F20"/>
          <w:sz w:val="18"/>
        </w:rPr>
        <w:t>But total hours worked were unchanged over the quarter, implying that hours worked per person had fallen (down by 0.3%), and were flat on a year earlier.</w:t>
      </w:r>
    </w:p>
    <w:p>
      <w:pPr>
        <w:pStyle w:val="BodyText"/>
        <w:spacing w:before="4"/>
        <w:rPr>
          <w:sz w:val="20"/>
        </w:rPr>
      </w:pPr>
    </w:p>
    <w:p>
      <w:pPr>
        <w:pStyle w:val="ListParagraph"/>
        <w:numPr>
          <w:ilvl w:val="0"/>
          <w:numId w:val="51"/>
        </w:numPr>
        <w:tabs>
          <w:tab w:pos="654" w:val="left" w:leader="none"/>
          <w:tab w:pos="655" w:val="left" w:leader="none"/>
        </w:tabs>
        <w:spacing w:line="232" w:lineRule="auto" w:before="0" w:after="0"/>
        <w:ind w:left="174" w:right="269" w:firstLine="0"/>
        <w:jc w:val="left"/>
        <w:rPr>
          <w:sz w:val="18"/>
        </w:rPr>
      </w:pPr>
      <w:r>
        <w:rPr>
          <w:color w:val="231F20"/>
          <w:sz w:val="18"/>
        </w:rPr>
        <w:t>Interpretation of the LFS figures was made difficult by the fact that the latest data for the Workforce jobs measure of employment had shown a 124,000 (0.5%) fall in the three months </w:t>
      </w:r>
      <w:r>
        <w:rPr>
          <w:color w:val="231F20"/>
          <w:spacing w:val="-9"/>
          <w:sz w:val="18"/>
        </w:rPr>
        <w:t>to </w:t>
      </w:r>
      <w:r>
        <w:rPr>
          <w:color w:val="231F20"/>
          <w:sz w:val="18"/>
        </w:rPr>
        <w:t>June, after two quarters of much faster growth than the LFS measure. Given the higher sampling variability of the Workforce jobs figures, Bank staff were inclined to place more reliance</w:t>
      </w:r>
    </w:p>
    <w:p>
      <w:pPr>
        <w:pStyle w:val="BodyText"/>
        <w:spacing w:line="232" w:lineRule="auto"/>
        <w:ind w:left="174" w:right="637"/>
      </w:pPr>
      <w:r>
        <w:rPr>
          <w:color w:val="231F20"/>
        </w:rPr>
        <w:t>on the LFS figures, and there was some evidence that the latter may have been depressed by special factors around the survey date.</w:t>
      </w:r>
    </w:p>
    <w:p>
      <w:pPr>
        <w:spacing w:after="0" w:line="232" w:lineRule="auto"/>
        <w:sectPr>
          <w:type w:val="continuous"/>
          <w:pgSz w:w="11900" w:h="16840"/>
          <w:pgMar w:top="1220" w:bottom="280" w:left="620" w:right="520"/>
          <w:cols w:num="2" w:equalWidth="0">
            <w:col w:w="5129" w:space="271"/>
            <w:col w:w="5360"/>
          </w:cols>
        </w:sectPr>
      </w:pPr>
    </w:p>
    <w:p>
      <w:pPr>
        <w:pStyle w:val="BodyText"/>
        <w:rPr>
          <w:sz w:val="20"/>
        </w:rPr>
      </w:pPr>
    </w:p>
    <w:p>
      <w:pPr>
        <w:spacing w:after="0"/>
        <w:rPr>
          <w:sz w:val="20"/>
        </w:rPr>
        <w:sectPr>
          <w:pgSz w:w="11900" w:h="16840"/>
          <w:pgMar w:header="566" w:footer="597" w:top="760" w:bottom="780" w:left="620" w:right="520"/>
        </w:sectPr>
      </w:pPr>
    </w:p>
    <w:p>
      <w:pPr>
        <w:pStyle w:val="BodyText"/>
        <w:spacing w:before="7"/>
        <w:rPr>
          <w:sz w:val="19"/>
        </w:rPr>
      </w:pPr>
    </w:p>
    <w:p>
      <w:pPr>
        <w:pStyle w:val="ListParagraph"/>
        <w:numPr>
          <w:ilvl w:val="0"/>
          <w:numId w:val="51"/>
        </w:numPr>
        <w:tabs>
          <w:tab w:pos="645" w:val="left" w:leader="none"/>
          <w:tab w:pos="646" w:val="left" w:leader="none"/>
        </w:tabs>
        <w:spacing w:line="232" w:lineRule="auto" w:before="1" w:after="0"/>
        <w:ind w:left="165" w:right="133" w:firstLine="0"/>
        <w:jc w:val="left"/>
        <w:rPr>
          <w:sz w:val="18"/>
        </w:rPr>
      </w:pPr>
      <w:r>
        <w:rPr>
          <w:color w:val="231F20"/>
          <w:sz w:val="18"/>
        </w:rPr>
        <w:t>Turning to survey information, the C</w:t>
      </w:r>
      <w:r>
        <w:rPr>
          <w:color w:val="231F20"/>
          <w:sz w:val="14"/>
        </w:rPr>
        <w:t>IPS </w:t>
      </w:r>
      <w:r>
        <w:rPr>
          <w:color w:val="231F20"/>
          <w:sz w:val="18"/>
        </w:rPr>
        <w:t>September survey had shown manufacturing employment continuing to fall, construction employment growing marginally and employment in services still expanding, but at a slowing pace. This broad </w:t>
      </w:r>
      <w:r>
        <w:rPr>
          <w:color w:val="231F20"/>
          <w:spacing w:val="-3"/>
          <w:sz w:val="18"/>
        </w:rPr>
        <w:t>sectoral </w:t>
      </w:r>
      <w:r>
        <w:rPr>
          <w:color w:val="231F20"/>
          <w:sz w:val="18"/>
        </w:rPr>
        <w:t>picture had been supported by Agents’ reports. Looking ahead to the fourth quarter, the Manpower survey of recruitment intentions had suggested that the outlook for manufacturing employment had deteriorated further, but that overall employment prospects remained positive.</w:t>
      </w:r>
    </w:p>
    <w:p>
      <w:pPr>
        <w:pStyle w:val="BodyText"/>
        <w:spacing w:before="8"/>
        <w:rPr>
          <w:sz w:val="16"/>
        </w:rPr>
      </w:pPr>
    </w:p>
    <w:p>
      <w:pPr>
        <w:pStyle w:val="ListParagraph"/>
        <w:numPr>
          <w:ilvl w:val="0"/>
          <w:numId w:val="51"/>
        </w:numPr>
        <w:tabs>
          <w:tab w:pos="645" w:val="left" w:leader="none"/>
          <w:tab w:pos="646" w:val="left" w:leader="none"/>
        </w:tabs>
        <w:spacing w:line="232" w:lineRule="auto" w:before="1" w:after="0"/>
        <w:ind w:left="165" w:right="148" w:firstLine="0"/>
        <w:jc w:val="left"/>
        <w:rPr>
          <w:sz w:val="18"/>
        </w:rPr>
      </w:pPr>
      <w:r>
        <w:rPr>
          <w:color w:val="231F20"/>
          <w:sz w:val="18"/>
        </w:rPr>
        <w:t>The stock of vacancies and new notifications had shown little change in August, but the stock of vacancies nevertheless remained high. There had been a further increase in national </w:t>
      </w:r>
      <w:r>
        <w:rPr>
          <w:color w:val="231F20"/>
          <w:spacing w:val="-4"/>
          <w:sz w:val="18"/>
        </w:rPr>
        <w:t>press </w:t>
      </w:r>
      <w:r>
        <w:rPr>
          <w:color w:val="231F20"/>
          <w:sz w:val="18"/>
        </w:rPr>
        <w:t>advertising in August to a new record high, though the rate of growth had weakened. The F</w:t>
      </w:r>
      <w:r>
        <w:rPr>
          <w:color w:val="231F20"/>
          <w:sz w:val="14"/>
        </w:rPr>
        <w:t>RES </w:t>
      </w:r>
      <w:r>
        <w:rPr>
          <w:color w:val="231F20"/>
          <w:sz w:val="18"/>
        </w:rPr>
        <w:t>report had shown further strong increases in recruitment agency business in September, but there had been evidence of easing in its rate of growth, reflecting in particular weaker demand for engineering and construction workers.</w:t>
      </w:r>
    </w:p>
    <w:p>
      <w:pPr>
        <w:pStyle w:val="BodyText"/>
        <w:spacing w:before="9"/>
        <w:rPr>
          <w:sz w:val="16"/>
        </w:rPr>
      </w:pPr>
    </w:p>
    <w:p>
      <w:pPr>
        <w:pStyle w:val="ListParagraph"/>
        <w:numPr>
          <w:ilvl w:val="0"/>
          <w:numId w:val="51"/>
        </w:numPr>
        <w:tabs>
          <w:tab w:pos="645" w:val="left" w:leader="none"/>
          <w:tab w:pos="646" w:val="left" w:leader="none"/>
        </w:tabs>
        <w:spacing w:line="232" w:lineRule="auto" w:before="0" w:after="0"/>
        <w:ind w:left="165" w:right="77" w:firstLine="0"/>
        <w:jc w:val="left"/>
        <w:rPr>
          <w:sz w:val="18"/>
        </w:rPr>
      </w:pPr>
      <w:r>
        <w:rPr>
          <w:color w:val="231F20"/>
          <w:sz w:val="18"/>
        </w:rPr>
        <w:t>LFS unemployment had fallen by 55,000 in the three </w:t>
      </w:r>
      <w:r>
        <w:rPr>
          <w:color w:val="231F20"/>
          <w:spacing w:val="-3"/>
          <w:sz w:val="18"/>
        </w:rPr>
        <w:t>months </w:t>
      </w:r>
      <w:r>
        <w:rPr>
          <w:color w:val="231F20"/>
          <w:sz w:val="18"/>
        </w:rPr>
        <w:t>to July from the previous three months. The rate had fallen from 6.4% to 6.2%. This was a larger fall than in the previous three months, though lower than the average fall over the previous year. The claimant count had also fallen in August (by 16,000), taking the rate down by 0.1 percentage point to 4.6%. But while the July fall of 28,000 had been influenced by the lower number of young people signing on, there was no obvious special factor affecting the August count. There appeared to have been little impact from the New Deal so far.</w:t>
      </w:r>
    </w:p>
    <w:p>
      <w:pPr>
        <w:pStyle w:val="BodyText"/>
        <w:spacing w:before="8"/>
        <w:rPr>
          <w:sz w:val="16"/>
        </w:rPr>
      </w:pPr>
    </w:p>
    <w:p>
      <w:pPr>
        <w:pStyle w:val="ListParagraph"/>
        <w:numPr>
          <w:ilvl w:val="0"/>
          <w:numId w:val="51"/>
        </w:numPr>
        <w:tabs>
          <w:tab w:pos="645" w:val="left" w:leader="none"/>
          <w:tab w:pos="646" w:val="left" w:leader="none"/>
        </w:tabs>
        <w:spacing w:line="232" w:lineRule="auto" w:before="0" w:after="0"/>
        <w:ind w:left="165" w:right="143" w:firstLine="0"/>
        <w:jc w:val="left"/>
        <w:rPr>
          <w:sz w:val="18"/>
        </w:rPr>
      </w:pPr>
      <w:r>
        <w:rPr>
          <w:color w:val="231F20"/>
          <w:sz w:val="18"/>
        </w:rPr>
        <w:t>The ONS had announced revisions on 6 October affecting the average earnings figures back to May, following the discovery that the introduction of new firms into the sample had induced a downward bias in the official figures. On the basis of the revised figures, headline whole-economy earnings growth in the three months centered on June was now 5.0%, down from 5.2% in May and 5.4% in April. Service sector headline earnings growth had fallen to 5.4% in June (from 5.5% in May) and manufacturing earnings had fallen to 5.0% (from 5.1%). While private sector headline earnings growth had fallen to 5.6% in June (from 5.8% </w:t>
      </w:r>
      <w:r>
        <w:rPr>
          <w:color w:val="231F20"/>
          <w:spacing w:val="-9"/>
          <w:sz w:val="18"/>
        </w:rPr>
        <w:t>in </w:t>
      </w:r>
      <w:r>
        <w:rPr>
          <w:color w:val="231F20"/>
          <w:sz w:val="18"/>
        </w:rPr>
        <w:t>the preceding month), public sector earnings growth had risen slightly to 3.3% (from 3.2%). On the more volatile monthly measure, public sector earnings had fallen to 2.6% in July (suggesting the re-emergence of negative wage drift).</w:t>
      </w:r>
    </w:p>
    <w:p>
      <w:pPr>
        <w:pStyle w:val="BodyText"/>
        <w:spacing w:before="5"/>
        <w:rPr>
          <w:sz w:val="16"/>
        </w:rPr>
      </w:pPr>
    </w:p>
    <w:p>
      <w:pPr>
        <w:pStyle w:val="ListParagraph"/>
        <w:numPr>
          <w:ilvl w:val="0"/>
          <w:numId w:val="51"/>
        </w:numPr>
        <w:tabs>
          <w:tab w:pos="645" w:val="left" w:leader="none"/>
          <w:tab w:pos="646" w:val="left" w:leader="none"/>
        </w:tabs>
        <w:spacing w:line="232" w:lineRule="auto" w:before="0" w:after="0"/>
        <w:ind w:left="165" w:right="39" w:firstLine="0"/>
        <w:jc w:val="left"/>
        <w:rPr>
          <w:sz w:val="18"/>
        </w:rPr>
      </w:pPr>
      <w:r>
        <w:rPr>
          <w:color w:val="231F20"/>
          <w:sz w:val="18"/>
        </w:rPr>
        <w:t>ONS estimates had suggested that, despite having fallen </w:t>
      </w:r>
      <w:r>
        <w:rPr>
          <w:color w:val="231F20"/>
          <w:spacing w:val="-4"/>
          <w:sz w:val="18"/>
        </w:rPr>
        <w:t>back </w:t>
      </w:r>
      <w:r>
        <w:rPr>
          <w:color w:val="231F20"/>
          <w:sz w:val="18"/>
        </w:rPr>
        <w:t>since May, the contribution of irregular bonuses and profit-related pay to earnings growth had been higher than last year’s contribution. The fall in earnings growth over the last few months had therefore partly reflected weaker growth in ‘regular pay’, </w:t>
      </w:r>
      <w:r>
        <w:rPr>
          <w:color w:val="231F20"/>
          <w:spacing w:val="-4"/>
          <w:sz w:val="18"/>
        </w:rPr>
        <w:t>which </w:t>
      </w:r>
      <w:r>
        <w:rPr>
          <w:color w:val="231F20"/>
          <w:sz w:val="18"/>
        </w:rPr>
        <w:t>had dropped back from 4.6% in May to 4.5% in June and 4.2% in July (for the whole economy). The deceleration in regular pay had been difficult to explain. There was no indication of any slowdown in wage settlements. The twelve-month average of settlements in the whole economy had been 3.7% since May and the three-month measure had not been slowing. Nor, according to LFS figures, was there any evidence that hours had been lower than a year ago (which would have depressed average earnings, calculated on a</w:t>
      </w:r>
    </w:p>
    <w:p>
      <w:pPr>
        <w:pStyle w:val="BodyText"/>
        <w:spacing w:line="232" w:lineRule="auto"/>
        <w:ind w:left="165" w:right="66"/>
      </w:pPr>
      <w:r>
        <w:rPr>
          <w:color w:val="231F20"/>
        </w:rPr>
        <w:t>per-head basis). However, there was some tentative evidence from the Reward group that overtime hours were weak in July and had subsequently risen. Other possible explanations of lower earnings growth—lower regular commissions and bonuses, compositional effects, etc—had been difficult to corroborate. The lack of a completely convincing explanation had made it difficult to distinguish between the competing hypotheses that regular pay had been erratically high in April, May and June or that regular pay had been erratically low in July. A further complication was that the data were to be rebased in October, with uncertain consequences.</w:t>
      </w:r>
    </w:p>
    <w:p>
      <w:pPr>
        <w:pStyle w:val="ListParagraph"/>
        <w:numPr>
          <w:ilvl w:val="0"/>
          <w:numId w:val="51"/>
        </w:numPr>
        <w:tabs>
          <w:tab w:pos="645" w:val="left" w:leader="none"/>
          <w:tab w:pos="646" w:val="left" w:leader="none"/>
        </w:tabs>
        <w:spacing w:line="203" w:lineRule="exact" w:before="177" w:after="0"/>
        <w:ind w:left="645" w:right="0" w:hanging="481"/>
        <w:jc w:val="left"/>
        <w:rPr>
          <w:sz w:val="18"/>
        </w:rPr>
      </w:pPr>
      <w:r>
        <w:rPr>
          <w:color w:val="231F20"/>
          <w:sz w:val="18"/>
        </w:rPr>
        <w:t>According to the new national accounts, the level of</w:t>
      </w:r>
    </w:p>
    <w:p>
      <w:pPr>
        <w:pStyle w:val="BodyText"/>
        <w:spacing w:line="203" w:lineRule="exact"/>
        <w:ind w:left="165"/>
      </w:pPr>
      <w:r>
        <w:rPr>
          <w:color w:val="231F20"/>
        </w:rPr>
        <w:t>whole-economy productivity in 1998 Q1 had been 2.6% higher than</w:t>
      </w:r>
    </w:p>
    <w:p>
      <w:pPr>
        <w:pStyle w:val="BodyText"/>
        <w:spacing w:before="7"/>
        <w:rPr>
          <w:sz w:val="19"/>
        </w:rPr>
      </w:pPr>
      <w:r>
        <w:rPr/>
        <w:br w:type="column"/>
      </w:r>
      <w:r>
        <w:rPr>
          <w:sz w:val="19"/>
        </w:rPr>
      </w:r>
    </w:p>
    <w:p>
      <w:pPr>
        <w:pStyle w:val="BodyText"/>
        <w:spacing w:line="232" w:lineRule="auto" w:before="1"/>
        <w:ind w:left="165" w:right="376"/>
      </w:pPr>
      <w:r>
        <w:rPr>
          <w:color w:val="231F20"/>
        </w:rPr>
        <w:t>previously thought. Unit wage costs in Q1 had been revised down by 1.6%, and unit labour costs by 1%. On the new data,</w:t>
      </w:r>
    </w:p>
    <w:p>
      <w:pPr>
        <w:pStyle w:val="BodyText"/>
        <w:spacing w:line="232" w:lineRule="auto"/>
        <w:ind w:left="165" w:right="296"/>
      </w:pPr>
      <w:r>
        <w:rPr>
          <w:color w:val="231F20"/>
        </w:rPr>
        <w:t>whole-economy productivity growth had slowed to 1.8% in the </w:t>
      </w:r>
      <w:r>
        <w:rPr>
          <w:color w:val="231F20"/>
          <w:spacing w:val="-5"/>
        </w:rPr>
        <w:t>year </w:t>
      </w:r>
      <w:r>
        <w:rPr>
          <w:color w:val="231F20"/>
        </w:rPr>
        <w:t>to Q2, from 1.9% in the year to Q1. And unit wage costs were up by 3.7% in the year to Q2, from 3.1% in Q1.</w:t>
      </w:r>
    </w:p>
    <w:p>
      <w:pPr>
        <w:pStyle w:val="BodyText"/>
        <w:spacing w:before="3"/>
        <w:rPr>
          <w:sz w:val="20"/>
        </w:rPr>
      </w:pPr>
    </w:p>
    <w:p>
      <w:pPr>
        <w:pStyle w:val="Heading6"/>
        <w:numPr>
          <w:ilvl w:val="0"/>
          <w:numId w:val="50"/>
        </w:numPr>
        <w:tabs>
          <w:tab w:pos="645" w:val="left" w:leader="none"/>
          <w:tab w:pos="646" w:val="left" w:leader="none"/>
        </w:tabs>
        <w:spacing w:line="240" w:lineRule="auto" w:before="0" w:after="0"/>
        <w:ind w:left="645" w:right="0" w:hanging="481"/>
        <w:jc w:val="left"/>
      </w:pPr>
      <w:r>
        <w:rPr>
          <w:color w:val="009483"/>
        </w:rPr>
        <w:t>Prices</w:t>
      </w:r>
    </w:p>
    <w:p>
      <w:pPr>
        <w:pStyle w:val="ListParagraph"/>
        <w:numPr>
          <w:ilvl w:val="0"/>
          <w:numId w:val="51"/>
        </w:numPr>
        <w:tabs>
          <w:tab w:pos="645" w:val="left" w:leader="none"/>
          <w:tab w:pos="646" w:val="left" w:leader="none"/>
        </w:tabs>
        <w:spacing w:line="232" w:lineRule="auto" w:before="110" w:after="0"/>
        <w:ind w:left="165" w:right="293" w:firstLine="0"/>
        <w:jc w:val="left"/>
        <w:rPr>
          <w:sz w:val="18"/>
        </w:rPr>
      </w:pPr>
      <w:r>
        <w:rPr>
          <w:color w:val="231F20"/>
          <w:sz w:val="18"/>
        </w:rPr>
        <w:t>Commodity price deflation had been unusually persistent. The Bank’s sterling commodity price index had fallen further in August, driven in particular by a fall in domestic agricultural prices. The </w:t>
      </w:r>
      <w:r>
        <w:rPr>
          <w:i/>
          <w:color w:val="231F20"/>
          <w:sz w:val="18"/>
        </w:rPr>
        <w:t>Economist </w:t>
      </w:r>
      <w:r>
        <w:rPr>
          <w:color w:val="231F20"/>
          <w:sz w:val="18"/>
        </w:rPr>
        <w:t>index had also fallen strongly in both dollar and sterling terms. More recently, the oil price had recovered somewhat, rising by 6.3% in sterling terms in September.  But it was too early to tell whether this signalled the start of a period of sustainably higher prices.  There had been some signs of a reduction in oil supply, with some US production halted by the two George hurricanes, and continued attempts by oil-producing countries and oil companies to support prices. But this had to be </w:t>
      </w:r>
      <w:r>
        <w:rPr>
          <w:color w:val="231F20"/>
          <w:spacing w:val="-6"/>
          <w:sz w:val="18"/>
        </w:rPr>
        <w:t>set </w:t>
      </w:r>
      <w:r>
        <w:rPr>
          <w:color w:val="231F20"/>
          <w:sz w:val="18"/>
        </w:rPr>
        <w:t>against the prospects for slower growth in world demand.</w:t>
      </w:r>
    </w:p>
    <w:p>
      <w:pPr>
        <w:pStyle w:val="BodyText"/>
        <w:spacing w:before="6"/>
        <w:rPr>
          <w:sz w:val="16"/>
        </w:rPr>
      </w:pPr>
    </w:p>
    <w:p>
      <w:pPr>
        <w:pStyle w:val="ListParagraph"/>
        <w:numPr>
          <w:ilvl w:val="0"/>
          <w:numId w:val="51"/>
        </w:numPr>
        <w:tabs>
          <w:tab w:pos="645" w:val="left" w:leader="none"/>
          <w:tab w:pos="646" w:val="left" w:leader="none"/>
        </w:tabs>
        <w:spacing w:line="232" w:lineRule="auto" w:before="1" w:after="0"/>
        <w:ind w:left="165" w:right="348" w:firstLine="0"/>
        <w:jc w:val="left"/>
        <w:rPr>
          <w:sz w:val="18"/>
        </w:rPr>
      </w:pPr>
      <w:r>
        <w:rPr>
          <w:color w:val="231F20"/>
          <w:sz w:val="18"/>
        </w:rPr>
        <w:t>Manufacturers’ material input prices had fallen by 0.9% in August, leaving the price level 20.1% lower than in April 1996, </w:t>
      </w:r>
      <w:r>
        <w:rPr>
          <w:color w:val="231F20"/>
          <w:spacing w:val="-4"/>
          <w:sz w:val="18"/>
        </w:rPr>
        <w:t>the </w:t>
      </w:r>
      <w:r>
        <w:rPr>
          <w:color w:val="231F20"/>
          <w:sz w:val="18"/>
        </w:rPr>
        <w:t>most recent peak. Excluding excise duties, manufacturers output prices were flat in August, giving annual deflation of 0.3%. The outlook was for a further weakening in output prices, with the CBI survey of price expectations pointing to further falls in the months ahead. The gap between input price inflation (-10.0%) and total output price inflation (0.5%) was close to historic highs. And output prices were still falling more rapidly in countries such as </w:t>
      </w:r>
      <w:r>
        <w:rPr>
          <w:color w:val="231F20"/>
          <w:spacing w:val="-6"/>
          <w:sz w:val="18"/>
        </w:rPr>
        <w:t>the </w:t>
      </w:r>
      <w:r>
        <w:rPr>
          <w:color w:val="231F20"/>
          <w:sz w:val="18"/>
        </w:rPr>
        <w:t>United States and Germany.</w:t>
      </w:r>
    </w:p>
    <w:p>
      <w:pPr>
        <w:pStyle w:val="BodyText"/>
        <w:spacing w:before="8"/>
        <w:rPr>
          <w:sz w:val="16"/>
        </w:rPr>
      </w:pPr>
    </w:p>
    <w:p>
      <w:pPr>
        <w:pStyle w:val="ListParagraph"/>
        <w:numPr>
          <w:ilvl w:val="0"/>
          <w:numId w:val="51"/>
        </w:numPr>
        <w:tabs>
          <w:tab w:pos="645" w:val="left" w:leader="none"/>
          <w:tab w:pos="646" w:val="left" w:leader="none"/>
        </w:tabs>
        <w:spacing w:line="232" w:lineRule="auto" w:before="0" w:after="0"/>
        <w:ind w:left="165" w:right="343" w:firstLine="0"/>
        <w:jc w:val="left"/>
        <w:rPr>
          <w:sz w:val="18"/>
        </w:rPr>
      </w:pPr>
      <w:r>
        <w:rPr>
          <w:color w:val="231F20"/>
          <w:sz w:val="18"/>
        </w:rPr>
        <w:t>There had been downward revisions to the rate of change of export and import prices. Goods export prices were now estimated to have fallen by 4.5% in the year to July, and by 10.8% between August 1996 and June 1998, compared with 7.6% before the revisions. And goods import prices were now shown to have </w:t>
      </w:r>
      <w:r>
        <w:rPr>
          <w:color w:val="231F20"/>
          <w:spacing w:val="-3"/>
          <w:sz w:val="18"/>
        </w:rPr>
        <w:t>fallen </w:t>
      </w:r>
      <w:r>
        <w:rPr>
          <w:color w:val="231F20"/>
          <w:sz w:val="18"/>
        </w:rPr>
        <w:t>by 11.0% over the same period (compared with 10.1% before the revisions). This more sustained deflation was a little easier to reconcile with the expected impact of the appreciation.</w:t>
      </w:r>
    </w:p>
    <w:p>
      <w:pPr>
        <w:pStyle w:val="BodyText"/>
        <w:spacing w:before="9"/>
        <w:rPr>
          <w:sz w:val="16"/>
        </w:rPr>
      </w:pPr>
    </w:p>
    <w:p>
      <w:pPr>
        <w:pStyle w:val="ListParagraph"/>
        <w:numPr>
          <w:ilvl w:val="0"/>
          <w:numId w:val="51"/>
        </w:numPr>
        <w:tabs>
          <w:tab w:pos="645" w:val="left" w:leader="none"/>
          <w:tab w:pos="646" w:val="left" w:leader="none"/>
        </w:tabs>
        <w:spacing w:line="232" w:lineRule="auto" w:before="1" w:after="0"/>
        <w:ind w:left="165" w:right="314" w:firstLine="0"/>
        <w:jc w:val="left"/>
        <w:rPr>
          <w:sz w:val="18"/>
        </w:rPr>
      </w:pPr>
      <w:r>
        <w:rPr>
          <w:color w:val="231F20"/>
          <w:sz w:val="18"/>
        </w:rPr>
        <w:t>Measures of annual domestically generated inflation had risen in Q2 as the result of new data and had been revised in earlier quarters following the changes to trade and National Accounts </w:t>
      </w:r>
      <w:r>
        <w:rPr>
          <w:color w:val="231F20"/>
          <w:spacing w:val="-4"/>
          <w:sz w:val="18"/>
        </w:rPr>
        <w:t>data. </w:t>
      </w:r>
      <w:r>
        <w:rPr>
          <w:color w:val="231F20"/>
          <w:sz w:val="18"/>
        </w:rPr>
        <w:t>The measure based on RPIX excluding import prices was a little over 5% in Q2, and the measures based on the GDP deflator excluding export prices and on unit labour costs adjusted for trend productivity were both around 4%.</w:t>
      </w:r>
    </w:p>
    <w:p>
      <w:pPr>
        <w:pStyle w:val="BodyText"/>
        <w:spacing w:before="10"/>
        <w:rPr>
          <w:sz w:val="16"/>
        </w:rPr>
      </w:pPr>
    </w:p>
    <w:p>
      <w:pPr>
        <w:pStyle w:val="ListParagraph"/>
        <w:numPr>
          <w:ilvl w:val="0"/>
          <w:numId w:val="51"/>
        </w:numPr>
        <w:tabs>
          <w:tab w:pos="645" w:val="left" w:leader="none"/>
          <w:tab w:pos="646" w:val="left" w:leader="none"/>
        </w:tabs>
        <w:spacing w:line="232" w:lineRule="auto" w:before="0" w:after="0"/>
        <w:ind w:left="165" w:right="318" w:firstLine="0"/>
        <w:jc w:val="left"/>
        <w:rPr>
          <w:sz w:val="18"/>
        </w:rPr>
      </w:pPr>
      <w:r>
        <w:rPr>
          <w:color w:val="231F20"/>
          <w:sz w:val="18"/>
        </w:rPr>
        <w:t>The GDP deflator at market prices rose by 2.4% in the year to Q2. Within this, upward revisions to the consumption deflator </w:t>
      </w:r>
      <w:r>
        <w:rPr>
          <w:color w:val="231F20"/>
          <w:spacing w:val="-9"/>
          <w:sz w:val="18"/>
        </w:rPr>
        <w:t>in </w:t>
      </w:r>
      <w:r>
        <w:rPr>
          <w:color w:val="231F20"/>
          <w:sz w:val="18"/>
        </w:rPr>
        <w:t>the past few years had been offset by downward revisions to the investment, export and government consumption deflators.</w:t>
      </w:r>
    </w:p>
    <w:p>
      <w:pPr>
        <w:pStyle w:val="BodyText"/>
        <w:spacing w:before="1"/>
        <w:rPr>
          <w:sz w:val="17"/>
        </w:rPr>
      </w:pPr>
    </w:p>
    <w:p>
      <w:pPr>
        <w:pStyle w:val="ListParagraph"/>
        <w:numPr>
          <w:ilvl w:val="0"/>
          <w:numId w:val="51"/>
        </w:numPr>
        <w:tabs>
          <w:tab w:pos="645" w:val="left" w:leader="none"/>
          <w:tab w:pos="646" w:val="left" w:leader="none"/>
        </w:tabs>
        <w:spacing w:line="232" w:lineRule="auto" w:before="1" w:after="0"/>
        <w:ind w:left="165" w:right="333" w:firstLine="0"/>
        <w:jc w:val="left"/>
        <w:rPr>
          <w:sz w:val="18"/>
        </w:rPr>
      </w:pPr>
      <w:r>
        <w:rPr>
          <w:color w:val="231F20"/>
          <w:sz w:val="18"/>
        </w:rPr>
        <w:t>The harmonised measure of consumer price inflation had fallen to 1.3% in August from 1.5% in July, and this was the </w:t>
      </w:r>
      <w:r>
        <w:rPr>
          <w:color w:val="231F20"/>
          <w:spacing w:val="-3"/>
          <w:sz w:val="18"/>
        </w:rPr>
        <w:t>lowest </w:t>
      </w:r>
      <w:r>
        <w:rPr>
          <w:color w:val="231F20"/>
          <w:sz w:val="18"/>
        </w:rPr>
        <w:t>rate since the series started in 1996.</w:t>
      </w:r>
    </w:p>
    <w:p>
      <w:pPr>
        <w:pStyle w:val="BodyText"/>
        <w:spacing w:before="2"/>
        <w:rPr>
          <w:sz w:val="17"/>
        </w:rPr>
      </w:pPr>
    </w:p>
    <w:p>
      <w:pPr>
        <w:pStyle w:val="ListParagraph"/>
        <w:numPr>
          <w:ilvl w:val="0"/>
          <w:numId w:val="51"/>
        </w:numPr>
        <w:tabs>
          <w:tab w:pos="645" w:val="left" w:leader="none"/>
          <w:tab w:pos="646" w:val="left" w:leader="none"/>
        </w:tabs>
        <w:spacing w:line="232" w:lineRule="auto" w:before="0" w:after="0"/>
        <w:ind w:left="165" w:right="293" w:firstLine="0"/>
        <w:jc w:val="left"/>
        <w:rPr>
          <w:sz w:val="18"/>
        </w:rPr>
      </w:pPr>
      <w:r>
        <w:rPr>
          <w:color w:val="231F20"/>
          <w:sz w:val="18"/>
        </w:rPr>
        <w:t>Annual RPIX inflation had fallen to 2.5% in August, in line with the August </w:t>
      </w:r>
      <w:r>
        <w:rPr>
          <w:i/>
          <w:color w:val="231F20"/>
          <w:sz w:val="18"/>
        </w:rPr>
        <w:t>Inflation Report </w:t>
      </w:r>
      <w:r>
        <w:rPr>
          <w:color w:val="231F20"/>
          <w:sz w:val="18"/>
        </w:rPr>
        <w:t>forecast.  Much of the fall had been accounted for by the remaining part of last year’s petrol duty increase dropping out of the annual comparison. Seasonal food prices had risen by 7.3%, the second-highest August rise since 1976. Apart from a small number of sector-specific shocks, recent inflation had been extremely stable: the standard deviation of </w:t>
      </w:r>
      <w:r>
        <w:rPr>
          <w:color w:val="231F20"/>
          <w:spacing w:val="-5"/>
          <w:sz w:val="18"/>
        </w:rPr>
        <w:t>RPIX </w:t>
      </w:r>
      <w:r>
        <w:rPr>
          <w:color w:val="231F20"/>
          <w:sz w:val="18"/>
        </w:rPr>
        <w:t>inflation had reached a historic low over the past three years.</w:t>
      </w:r>
    </w:p>
    <w:p>
      <w:pPr>
        <w:pStyle w:val="BodyText"/>
        <w:spacing w:before="1"/>
        <w:rPr>
          <w:sz w:val="20"/>
        </w:rPr>
      </w:pPr>
    </w:p>
    <w:p>
      <w:pPr>
        <w:pStyle w:val="Heading6"/>
        <w:numPr>
          <w:ilvl w:val="0"/>
          <w:numId w:val="50"/>
        </w:numPr>
        <w:tabs>
          <w:tab w:pos="646" w:val="left" w:leader="none"/>
        </w:tabs>
        <w:spacing w:line="240" w:lineRule="auto" w:before="0" w:after="0"/>
        <w:ind w:left="645" w:right="0" w:hanging="481"/>
        <w:jc w:val="left"/>
      </w:pPr>
      <w:r>
        <w:rPr>
          <w:color w:val="009483"/>
        </w:rPr>
        <w:t>Reports by the Bank’s</w:t>
      </w:r>
      <w:r>
        <w:rPr>
          <w:color w:val="009483"/>
          <w:spacing w:val="-1"/>
        </w:rPr>
        <w:t> </w:t>
      </w:r>
      <w:r>
        <w:rPr>
          <w:color w:val="009483"/>
        </w:rPr>
        <w:t>Agents</w:t>
      </w:r>
    </w:p>
    <w:p>
      <w:pPr>
        <w:pStyle w:val="ListParagraph"/>
        <w:numPr>
          <w:ilvl w:val="0"/>
          <w:numId w:val="51"/>
        </w:numPr>
        <w:tabs>
          <w:tab w:pos="645" w:val="left" w:leader="none"/>
          <w:tab w:pos="646" w:val="left" w:leader="none"/>
        </w:tabs>
        <w:spacing w:line="232" w:lineRule="auto" w:before="110" w:after="0"/>
        <w:ind w:left="165" w:right="428" w:firstLine="0"/>
        <w:jc w:val="left"/>
        <w:rPr>
          <w:sz w:val="18"/>
        </w:rPr>
      </w:pPr>
      <w:r>
        <w:rPr>
          <w:color w:val="231F20"/>
          <w:sz w:val="18"/>
        </w:rPr>
        <w:t>The Bank’s regional Agencies had conducted an informal survey of contacts on the recent behaviour of stockbuilding. </w:t>
      </w:r>
      <w:r>
        <w:rPr>
          <w:color w:val="231F20"/>
          <w:spacing w:val="-5"/>
          <w:sz w:val="18"/>
        </w:rPr>
        <w:t>They </w:t>
      </w:r>
      <w:r>
        <w:rPr>
          <w:color w:val="231F20"/>
          <w:sz w:val="18"/>
        </w:rPr>
        <w:t>found that weaker-than-expected sales and orders had led to a rise</w:t>
      </w:r>
    </w:p>
    <w:p>
      <w:pPr>
        <w:spacing w:after="0" w:line="232" w:lineRule="auto"/>
        <w:jc w:val="left"/>
        <w:rPr>
          <w:sz w:val="18"/>
        </w:rPr>
        <w:sectPr>
          <w:type w:val="continuous"/>
          <w:pgSz w:w="11900" w:h="16840"/>
          <w:pgMar w:top="1220" w:bottom="280" w:left="620" w:right="520"/>
          <w:cols w:num="2" w:equalWidth="0">
            <w:col w:w="5115" w:space="275"/>
            <w:col w:w="5370"/>
          </w:cols>
        </w:sectPr>
      </w:pPr>
    </w:p>
    <w:p>
      <w:pPr>
        <w:pStyle w:val="BodyText"/>
        <w:rPr>
          <w:sz w:val="20"/>
        </w:rPr>
      </w:pPr>
    </w:p>
    <w:p>
      <w:pPr>
        <w:spacing w:after="0"/>
        <w:rPr>
          <w:sz w:val="20"/>
        </w:rPr>
        <w:sectPr>
          <w:pgSz w:w="11900" w:h="16840"/>
          <w:pgMar w:header="566" w:footer="597" w:top="760" w:bottom="780" w:left="620" w:right="520"/>
        </w:sectPr>
      </w:pPr>
    </w:p>
    <w:p>
      <w:pPr>
        <w:pStyle w:val="BodyText"/>
        <w:spacing w:before="4"/>
        <w:rPr>
          <w:sz w:val="21"/>
        </w:rPr>
      </w:pPr>
    </w:p>
    <w:p>
      <w:pPr>
        <w:pStyle w:val="BodyText"/>
        <w:spacing w:line="232" w:lineRule="auto" w:before="1"/>
        <w:ind w:left="194"/>
      </w:pPr>
      <w:r>
        <w:rPr>
          <w:color w:val="231F20"/>
        </w:rPr>
        <w:t>in stocks of finished goods among 40% of the contacts they had surveyed, particularly within the manufacturing sector. The picture was more mixed among retailers and distributors. Most firms surveyed were taking action to reduce stock levels, with many cutting back production. In the medium term, the introduction of better stock-control techniques meant that more than 70% of contacts had expected to see stock levels fall relative to sales in the medium term.</w:t>
      </w:r>
    </w:p>
    <w:p>
      <w:pPr>
        <w:pStyle w:val="BodyText"/>
        <w:spacing w:before="9"/>
        <w:rPr>
          <w:sz w:val="16"/>
        </w:rPr>
      </w:pPr>
    </w:p>
    <w:p>
      <w:pPr>
        <w:pStyle w:val="ListParagraph"/>
        <w:numPr>
          <w:ilvl w:val="0"/>
          <w:numId w:val="51"/>
        </w:numPr>
        <w:tabs>
          <w:tab w:pos="674" w:val="left" w:leader="none"/>
          <w:tab w:pos="675" w:val="left" w:leader="none"/>
        </w:tabs>
        <w:spacing w:line="232" w:lineRule="auto" w:before="0" w:after="0"/>
        <w:ind w:left="194" w:right="422" w:firstLine="0"/>
        <w:jc w:val="left"/>
        <w:rPr>
          <w:sz w:val="18"/>
        </w:rPr>
      </w:pPr>
      <w:r>
        <w:rPr>
          <w:color w:val="231F20"/>
          <w:sz w:val="18"/>
        </w:rPr>
        <w:t>The Agents also reported on the results of more </w:t>
      </w:r>
      <w:r>
        <w:rPr>
          <w:color w:val="231F20"/>
          <w:spacing w:val="-3"/>
          <w:sz w:val="18"/>
        </w:rPr>
        <w:t>general </w:t>
      </w:r>
      <w:r>
        <w:rPr>
          <w:color w:val="231F20"/>
          <w:sz w:val="18"/>
        </w:rPr>
        <w:t>discussions with their contacts. The slowdown in activity had</w:t>
      </w:r>
    </w:p>
    <w:p>
      <w:pPr>
        <w:pStyle w:val="BodyText"/>
        <w:spacing w:before="4"/>
        <w:rPr>
          <w:sz w:val="21"/>
        </w:rPr>
      </w:pPr>
      <w:r>
        <w:rPr/>
        <w:br w:type="column"/>
      </w:r>
      <w:r>
        <w:rPr>
          <w:sz w:val="21"/>
        </w:rPr>
      </w:r>
    </w:p>
    <w:p>
      <w:pPr>
        <w:pStyle w:val="BodyText"/>
        <w:spacing w:line="232" w:lineRule="auto" w:before="1"/>
        <w:ind w:left="194" w:right="290"/>
      </w:pPr>
      <w:r>
        <w:rPr>
          <w:color w:val="231F20"/>
        </w:rPr>
        <w:t>become more widespread and possibly more rapid. Manufacturing firms’ experience was more in line with the CBI and other surveys than with the more buoyant ONS data. Services growth had slowed to below trend, with weakness now more widespread, affecting sectors such as pubs and restaurants. Retailing was more patchy, with activity generally flat, in line with the CBI distributive trades survey. The housing and car markets were both weak. The labour market had also weakened somewhat, with tightness more confined to specific areas. Looking ahead, contacts had become much gloomier in the previous few weeks. This could probably be attributed to the international outlook.</w:t>
      </w:r>
    </w:p>
    <w:p>
      <w:pPr>
        <w:spacing w:after="0" w:line="232" w:lineRule="auto"/>
        <w:sectPr>
          <w:type w:val="continuous"/>
          <w:pgSz w:w="11900" w:h="16840"/>
          <w:pgMar w:top="1220" w:bottom="280" w:left="620" w:right="520"/>
          <w:cols w:num="2" w:equalWidth="0">
            <w:col w:w="5103" w:space="277"/>
            <w:col w:w="5380"/>
          </w:cols>
        </w:sectPr>
      </w:pPr>
    </w:p>
    <w:p>
      <w:pPr>
        <w:pStyle w:val="BodyText"/>
        <w:rPr>
          <w:sz w:val="20"/>
        </w:rPr>
      </w:pPr>
    </w:p>
    <w:p>
      <w:pPr>
        <w:spacing w:line="357" w:lineRule="auto" w:before="218"/>
        <w:ind w:left="175" w:right="3355" w:firstLine="0"/>
        <w:jc w:val="left"/>
        <w:rPr>
          <w:b/>
          <w:sz w:val="28"/>
        </w:rPr>
      </w:pPr>
      <w:bookmarkStart w:name="October press notice" w:id="95"/>
      <w:bookmarkEnd w:id="95"/>
      <w:r>
        <w:rPr/>
      </w:r>
      <w:bookmarkStart w:name="_bookmark36" w:id="96"/>
      <w:bookmarkEnd w:id="96"/>
      <w:r>
        <w:rPr/>
      </w:r>
      <w:r>
        <w:rPr>
          <w:b/>
          <w:color w:val="009483"/>
          <w:sz w:val="28"/>
        </w:rPr>
        <w:t>Text of Bank of England press notice of 8 October 1998 Bank of England reduces interest rates by 0.25% to 7.25%</w:t>
      </w:r>
    </w:p>
    <w:p>
      <w:pPr>
        <w:pStyle w:val="BodyText"/>
        <w:spacing w:before="244"/>
        <w:ind w:left="180"/>
      </w:pPr>
      <w:r>
        <w:rPr>
          <w:color w:val="231F20"/>
        </w:rPr>
        <w:t>The Bank of England’s Monetary Policy Committee today voted to reduce the Bank’s repo rate by 0.25% to 7.25%.</w:t>
      </w:r>
    </w:p>
    <w:p>
      <w:pPr>
        <w:pStyle w:val="BodyText"/>
        <w:spacing w:before="2"/>
        <w:rPr>
          <w:sz w:val="17"/>
        </w:rPr>
      </w:pPr>
    </w:p>
    <w:p>
      <w:pPr>
        <w:pStyle w:val="BodyText"/>
        <w:spacing w:line="232" w:lineRule="auto"/>
        <w:ind w:left="180" w:right="314"/>
      </w:pPr>
      <w:r>
        <w:rPr>
          <w:color w:val="231F20"/>
        </w:rPr>
        <w:t>The international economic and financial environment has deteriorated since the Committee met in September. In the domestic economy, surveys and reports from the Bank’s regional Agents have indicated a decline in business and consumer confidence. The outlook for demand and output has therefore weakened. Despite continuing tightness in the labour market and the fall in the exchange rate, the Committee judges that the risks of inflation falling below the target of 2.5% have increased and that a reduction in interest rates of 0.25% is now appropriate.</w:t>
      </w:r>
    </w:p>
    <w:p>
      <w:pPr>
        <w:pStyle w:val="BodyText"/>
        <w:spacing w:before="1"/>
        <w:rPr>
          <w:sz w:val="17"/>
        </w:rPr>
      </w:pPr>
    </w:p>
    <w:p>
      <w:pPr>
        <w:pStyle w:val="BodyText"/>
        <w:spacing w:line="232" w:lineRule="auto" w:before="1"/>
        <w:ind w:left="180" w:right="389"/>
      </w:pPr>
      <w:r>
        <w:rPr>
          <w:color w:val="231F20"/>
        </w:rPr>
        <w:t>The minutes of the meeting held in September will be published at 9.30 am on Wednesday 14 October. The Committee has decided that it will in future publish the minutes of its monthly meetings on the Wednesday of the second week after each meeting takes place. The minutes of the meeting which ended this morning will therefore be published at 9.30 am on Wednesday 21 October. A fuller statement on the publication of the minutes will be released shortly.</w:t>
      </w:r>
    </w:p>
    <w:p>
      <w:pPr>
        <w:spacing w:after="0" w:line="232" w:lineRule="auto"/>
        <w:sectPr>
          <w:pgSz w:w="11900" w:h="16840"/>
          <w:pgMar w:header="566" w:footer="597" w:top="760" w:bottom="780" w:left="620" w:right="520"/>
        </w:sectPr>
      </w:pPr>
    </w:p>
    <w:p>
      <w:pPr>
        <w:pStyle w:val="BodyText"/>
        <w:spacing w:before="6"/>
        <w:rPr>
          <w:sz w:val="29"/>
        </w:rPr>
      </w:pPr>
    </w:p>
    <w:p>
      <w:pPr>
        <w:pStyle w:val="Heading2"/>
        <w:spacing w:line="357" w:lineRule="auto" w:before="88"/>
        <w:ind w:left="194" w:right="3355"/>
      </w:pPr>
      <w:bookmarkStart w:name="November press notice" w:id="97"/>
      <w:bookmarkEnd w:id="97"/>
      <w:r>
        <w:rPr>
          <w:b w:val="0"/>
        </w:rPr>
      </w:r>
      <w:bookmarkStart w:name="_bookmark37" w:id="98"/>
      <w:bookmarkEnd w:id="98"/>
      <w:r>
        <w:rPr>
          <w:b w:val="0"/>
        </w:rPr>
      </w:r>
      <w:r>
        <w:rPr>
          <w:color w:val="009483"/>
        </w:rPr>
        <w:t>Text of Bank of England press notice of 5 November 1998 Bank of England reduces interest rates by 0.50% to 6.75%</w:t>
      </w:r>
    </w:p>
    <w:p>
      <w:pPr>
        <w:pStyle w:val="BodyText"/>
        <w:spacing w:before="1"/>
        <w:rPr>
          <w:b/>
          <w:sz w:val="14"/>
        </w:rPr>
      </w:pPr>
    </w:p>
    <w:p>
      <w:pPr>
        <w:pStyle w:val="BodyText"/>
        <w:spacing w:before="92"/>
        <w:ind w:left="199"/>
      </w:pPr>
      <w:r>
        <w:rPr>
          <w:color w:val="231F20"/>
        </w:rPr>
        <w:t>The Bank of England’s Monetary Policy Committee today voted to reduce the Bank’s repo rate by 0.50% to 6.75%.</w:t>
      </w:r>
    </w:p>
    <w:p>
      <w:pPr>
        <w:pStyle w:val="BodyText"/>
        <w:spacing w:before="2"/>
        <w:rPr>
          <w:sz w:val="17"/>
        </w:rPr>
      </w:pPr>
    </w:p>
    <w:p>
      <w:pPr>
        <w:pStyle w:val="BodyText"/>
        <w:spacing w:line="232" w:lineRule="auto" w:before="1"/>
        <w:ind w:left="199" w:right="314"/>
      </w:pPr>
      <w:r>
        <w:rPr>
          <w:color w:val="231F20"/>
        </w:rPr>
        <w:t>Since the August </w:t>
      </w:r>
      <w:r>
        <w:rPr>
          <w:i/>
          <w:color w:val="231F20"/>
        </w:rPr>
        <w:t>Inflation Report </w:t>
      </w:r>
      <w:r>
        <w:rPr>
          <w:color w:val="231F20"/>
        </w:rPr>
        <w:t>was published, news about the international environment and the prospects for domestic activity have led the Committee to moderate its forecast for growth next year and to revise downwards its projection for inflation over the next two years. As a result, the Committee concluded that a reduction in interest rates of 0.50% was appropriate in order to maintain a path for inflation consistent with the target. The latest projections will appear in the </w:t>
      </w:r>
      <w:r>
        <w:rPr>
          <w:i/>
          <w:color w:val="231F20"/>
        </w:rPr>
        <w:t>Inflation Report </w:t>
      </w:r>
      <w:r>
        <w:rPr>
          <w:color w:val="231F20"/>
        </w:rPr>
        <w:t>to be published on 11 November.</w:t>
      </w:r>
    </w:p>
    <w:p>
      <w:pPr>
        <w:pStyle w:val="BodyText"/>
        <w:spacing w:before="7"/>
        <w:rPr>
          <w:sz w:val="16"/>
        </w:rPr>
      </w:pPr>
    </w:p>
    <w:p>
      <w:pPr>
        <w:pStyle w:val="BodyText"/>
        <w:spacing w:before="1"/>
        <w:ind w:left="199"/>
      </w:pPr>
      <w:r>
        <w:rPr>
          <w:color w:val="231F20"/>
        </w:rPr>
        <w:t>The minutes of the meeting will be published at 9.30 am on Wednesday 18 November.</w:t>
      </w:r>
    </w:p>
    <w:p>
      <w:pPr>
        <w:spacing w:after="0"/>
        <w:sectPr>
          <w:pgSz w:w="11900" w:h="16840"/>
          <w:pgMar w:header="566" w:footer="597" w:top="760" w:bottom="780" w:left="620" w:right="520"/>
        </w:sectPr>
      </w:pPr>
    </w:p>
    <w:p>
      <w:pPr>
        <w:pStyle w:val="Heading2"/>
        <w:spacing w:before="61"/>
        <w:ind w:left="589"/>
      </w:pPr>
      <w:bookmarkStart w:name="Glossary and other information" w:id="99"/>
      <w:bookmarkEnd w:id="99"/>
      <w:r>
        <w:rPr>
          <w:b w:val="0"/>
        </w:rPr>
      </w:r>
      <w:bookmarkStart w:name="_bookmark38" w:id="100"/>
      <w:bookmarkEnd w:id="100"/>
      <w:r>
        <w:rPr>
          <w:b w:val="0"/>
        </w:rPr>
      </w:r>
      <w:r>
        <w:rPr>
          <w:color w:val="009483"/>
        </w:rPr>
        <w:t>Glossary and other information</w:t>
      </w:r>
    </w:p>
    <w:p>
      <w:pPr>
        <w:pStyle w:val="BodyText"/>
        <w:spacing w:before="8"/>
        <w:rPr>
          <w:b/>
          <w:sz w:val="25"/>
        </w:rPr>
      </w:pPr>
    </w:p>
    <w:p>
      <w:pPr>
        <w:pStyle w:val="Heading3"/>
        <w:ind w:left="589"/>
      </w:pPr>
      <w:r>
        <w:rPr>
          <w:color w:val="0093C1"/>
        </w:rPr>
        <w:t>Glossary of selected terms</w:t>
      </w:r>
    </w:p>
    <w:p>
      <w:pPr>
        <w:spacing w:before="122"/>
        <w:ind w:left="589" w:right="0" w:firstLine="0"/>
        <w:jc w:val="left"/>
        <w:rPr>
          <w:sz w:val="20"/>
        </w:rPr>
      </w:pPr>
      <w:r>
        <w:rPr>
          <w:b/>
          <w:color w:val="231F20"/>
          <w:sz w:val="20"/>
        </w:rPr>
        <w:t>RPI inflation</w:t>
      </w:r>
      <w:r>
        <w:rPr>
          <w:color w:val="231F20"/>
          <w:sz w:val="20"/>
        </w:rPr>
        <w:t>: inflation measured by the retail price index.</w:t>
      </w:r>
    </w:p>
    <w:p>
      <w:pPr>
        <w:pStyle w:val="Heading8"/>
      </w:pPr>
      <w:r>
        <w:rPr>
          <w:b/>
          <w:color w:val="231F20"/>
        </w:rPr>
        <w:t>RPIX inflation</w:t>
      </w:r>
      <w:r>
        <w:rPr>
          <w:color w:val="231F20"/>
        </w:rPr>
        <w:t>: inflation measured by the RPI excluding mortgage interest payments.</w:t>
      </w:r>
    </w:p>
    <w:p>
      <w:pPr>
        <w:spacing w:line="249" w:lineRule="auto" w:before="10"/>
        <w:ind w:left="809" w:right="314" w:hanging="220"/>
        <w:jc w:val="left"/>
        <w:rPr>
          <w:sz w:val="20"/>
        </w:rPr>
      </w:pPr>
      <w:r>
        <w:rPr>
          <w:b/>
          <w:color w:val="231F20"/>
          <w:sz w:val="20"/>
        </w:rPr>
        <w:t>RPIY inflation</w:t>
      </w:r>
      <w:r>
        <w:rPr>
          <w:color w:val="231F20"/>
          <w:sz w:val="20"/>
        </w:rPr>
        <w:t>: inflation measured by the RPI excluding mortgage interest payments and the following indirect taxes: council tax, VAT, duties, car purchase tax and vehicle excise duty, insurance tax and airport tax.</w:t>
      </w:r>
    </w:p>
    <w:p>
      <w:pPr>
        <w:spacing w:line="249" w:lineRule="auto" w:before="1"/>
        <w:ind w:left="589" w:right="375" w:firstLine="0"/>
        <w:jc w:val="left"/>
        <w:rPr>
          <w:sz w:val="20"/>
        </w:rPr>
      </w:pPr>
      <w:r>
        <w:rPr>
          <w:b/>
          <w:color w:val="231F20"/>
          <w:sz w:val="20"/>
        </w:rPr>
        <w:t>HARP index</w:t>
      </w:r>
      <w:r>
        <w:rPr>
          <w:color w:val="231F20"/>
          <w:sz w:val="20"/>
        </w:rPr>
        <w:t>: a price index that replaces the mortgage interest payments component of the RPI with a Bank estimate of the user-cost of housing.</w:t>
      </w:r>
    </w:p>
    <w:p>
      <w:pPr>
        <w:spacing w:before="2"/>
        <w:ind w:left="589" w:right="0" w:firstLine="0"/>
        <w:jc w:val="left"/>
        <w:rPr>
          <w:sz w:val="20"/>
        </w:rPr>
      </w:pPr>
      <w:r>
        <w:rPr>
          <w:b/>
          <w:color w:val="231F20"/>
          <w:sz w:val="20"/>
        </w:rPr>
        <w:t>THARP index</w:t>
      </w:r>
      <w:r>
        <w:rPr>
          <w:color w:val="231F20"/>
          <w:sz w:val="20"/>
        </w:rPr>
        <w:t>: the HARP index excluding indirect taxes.</w:t>
      </w:r>
    </w:p>
    <w:p>
      <w:pPr>
        <w:pStyle w:val="Heading8"/>
      </w:pPr>
      <w:r>
        <w:rPr>
          <w:b/>
          <w:color w:val="231F20"/>
        </w:rPr>
        <w:t>M0</w:t>
      </w:r>
      <w:r>
        <w:rPr>
          <w:color w:val="231F20"/>
        </w:rPr>
        <w:t>: notes and coin in circulation outside the Bank of England and bankers’ operational deposits at the Bank.</w:t>
      </w:r>
    </w:p>
    <w:p>
      <w:pPr>
        <w:spacing w:line="249" w:lineRule="auto" w:before="10"/>
        <w:ind w:left="809" w:right="344" w:hanging="220"/>
        <w:jc w:val="left"/>
        <w:rPr>
          <w:sz w:val="20"/>
        </w:rPr>
      </w:pPr>
      <w:r>
        <w:rPr>
          <w:b/>
          <w:color w:val="231F20"/>
          <w:sz w:val="20"/>
        </w:rPr>
        <w:t>M4</w:t>
      </w:r>
      <w:r>
        <w:rPr>
          <w:color w:val="231F20"/>
          <w:sz w:val="20"/>
        </w:rPr>
        <w:t>: UK non-bank, non building society private sector’s holdings of notes and coin, together with all sterling deposits (including certificates of deposit) held at UK banks and building societies by the non-bank, non building society private sector.</w:t>
      </w:r>
    </w:p>
    <w:p>
      <w:pPr>
        <w:spacing w:line="249" w:lineRule="auto" w:before="3"/>
        <w:ind w:left="809" w:right="314" w:hanging="220"/>
        <w:jc w:val="left"/>
        <w:rPr>
          <w:sz w:val="20"/>
        </w:rPr>
      </w:pPr>
      <w:r>
        <w:rPr>
          <w:b/>
          <w:color w:val="231F20"/>
          <w:sz w:val="20"/>
        </w:rPr>
        <w:t>Divisia money</w:t>
      </w:r>
      <w:r>
        <w:rPr>
          <w:color w:val="231F20"/>
          <w:sz w:val="20"/>
        </w:rPr>
        <w:t>: a measure of the money stock in which each component is weighted according to an estimate of its likely use for transactions.</w:t>
      </w:r>
    </w:p>
    <w:p>
      <w:pPr>
        <w:pStyle w:val="BodyText"/>
        <w:spacing w:before="8"/>
        <w:rPr>
          <w:sz w:val="17"/>
        </w:rPr>
      </w:pPr>
    </w:p>
    <w:p>
      <w:pPr>
        <w:spacing w:before="0"/>
        <w:ind w:left="589" w:right="0" w:firstLine="0"/>
        <w:jc w:val="left"/>
        <w:rPr>
          <w:b/>
          <w:sz w:val="24"/>
        </w:rPr>
      </w:pPr>
      <w:r>
        <w:rPr>
          <w:b/>
          <w:color w:val="0093C1"/>
          <w:sz w:val="24"/>
        </w:rPr>
        <w:t>Abbreviations</w:t>
      </w:r>
    </w:p>
    <w:p>
      <w:pPr>
        <w:spacing w:before="142"/>
        <w:ind w:left="589" w:right="0" w:firstLine="0"/>
        <w:jc w:val="left"/>
        <w:rPr>
          <w:sz w:val="20"/>
        </w:rPr>
      </w:pPr>
      <w:r>
        <w:rPr>
          <w:b/>
          <w:color w:val="231F20"/>
          <w:sz w:val="20"/>
        </w:rPr>
        <w:t>AEI: </w:t>
      </w:r>
      <w:r>
        <w:rPr>
          <w:color w:val="231F20"/>
          <w:sz w:val="20"/>
        </w:rPr>
        <w:t>Average Earnings Index.</w:t>
      </w:r>
    </w:p>
    <w:p>
      <w:pPr>
        <w:spacing w:before="10"/>
        <w:ind w:left="589" w:right="0" w:firstLine="0"/>
        <w:jc w:val="left"/>
        <w:rPr>
          <w:sz w:val="20"/>
        </w:rPr>
      </w:pPr>
      <w:r>
        <w:rPr>
          <w:b/>
          <w:color w:val="231F20"/>
          <w:sz w:val="20"/>
        </w:rPr>
        <w:t>BCC: </w:t>
      </w:r>
      <w:r>
        <w:rPr>
          <w:color w:val="231F20"/>
          <w:sz w:val="20"/>
        </w:rPr>
        <w:t>British Chambers of Commerce.</w:t>
      </w:r>
    </w:p>
    <w:p>
      <w:pPr>
        <w:spacing w:before="10"/>
        <w:ind w:left="589" w:right="0" w:firstLine="0"/>
        <w:jc w:val="left"/>
        <w:rPr>
          <w:sz w:val="20"/>
        </w:rPr>
      </w:pPr>
      <w:r>
        <w:rPr>
          <w:b/>
          <w:color w:val="231F20"/>
          <w:sz w:val="20"/>
        </w:rPr>
        <w:t>BRC: </w:t>
      </w:r>
      <w:r>
        <w:rPr>
          <w:color w:val="231F20"/>
          <w:sz w:val="20"/>
        </w:rPr>
        <w:t>British Retail Consortium.</w:t>
      </w:r>
    </w:p>
    <w:p>
      <w:pPr>
        <w:spacing w:before="10"/>
        <w:ind w:left="589" w:right="0" w:firstLine="0"/>
        <w:jc w:val="left"/>
        <w:rPr>
          <w:sz w:val="20"/>
        </w:rPr>
      </w:pPr>
      <w:r>
        <w:rPr>
          <w:b/>
          <w:color w:val="231F20"/>
          <w:sz w:val="20"/>
        </w:rPr>
        <w:t>CBI: </w:t>
      </w:r>
      <w:r>
        <w:rPr>
          <w:color w:val="231F20"/>
          <w:sz w:val="20"/>
        </w:rPr>
        <w:t>Confederation of British Industry.</w:t>
      </w:r>
    </w:p>
    <w:p>
      <w:pPr>
        <w:spacing w:before="10"/>
        <w:ind w:left="589" w:right="0" w:firstLine="0"/>
        <w:jc w:val="left"/>
        <w:rPr>
          <w:sz w:val="20"/>
        </w:rPr>
      </w:pPr>
      <w:r>
        <w:rPr>
          <w:b/>
          <w:color w:val="231F20"/>
          <w:sz w:val="20"/>
        </w:rPr>
        <w:t>C</w:t>
      </w:r>
      <w:r>
        <w:rPr>
          <w:b/>
          <w:color w:val="231F20"/>
          <w:sz w:val="16"/>
        </w:rPr>
        <w:t>IPS</w:t>
      </w:r>
      <w:r>
        <w:rPr>
          <w:b/>
          <w:color w:val="231F20"/>
          <w:sz w:val="20"/>
        </w:rPr>
        <w:t>: </w:t>
      </w:r>
      <w:r>
        <w:rPr>
          <w:color w:val="231F20"/>
          <w:sz w:val="20"/>
        </w:rPr>
        <w:t>Chartered Institute of Purchasing and Supply.</w:t>
      </w:r>
    </w:p>
    <w:p>
      <w:pPr>
        <w:spacing w:line="249" w:lineRule="auto" w:before="10"/>
        <w:ind w:left="589" w:right="6467" w:firstLine="0"/>
        <w:jc w:val="left"/>
        <w:rPr>
          <w:sz w:val="20"/>
        </w:rPr>
      </w:pPr>
      <w:r>
        <w:rPr>
          <w:b/>
          <w:color w:val="231F20"/>
          <w:sz w:val="20"/>
        </w:rPr>
        <w:t>DGI: </w:t>
      </w:r>
      <w:r>
        <w:rPr>
          <w:color w:val="231F20"/>
          <w:sz w:val="20"/>
        </w:rPr>
        <w:t>Domestically Generated Inflation. </w:t>
      </w:r>
      <w:r>
        <w:rPr>
          <w:b/>
          <w:color w:val="231F20"/>
          <w:sz w:val="20"/>
        </w:rPr>
        <w:t>E</w:t>
      </w:r>
      <w:r>
        <w:rPr>
          <w:b/>
          <w:color w:val="231F20"/>
          <w:sz w:val="16"/>
        </w:rPr>
        <w:t>FSR</w:t>
      </w:r>
      <w:r>
        <w:rPr>
          <w:b/>
          <w:color w:val="231F20"/>
          <w:sz w:val="20"/>
        </w:rPr>
        <w:t>: </w:t>
      </w:r>
      <w:r>
        <w:rPr>
          <w:color w:val="231F20"/>
          <w:sz w:val="20"/>
        </w:rPr>
        <w:t>Economic and Fiscal Strategy Report. </w:t>
      </w:r>
      <w:r>
        <w:rPr>
          <w:b/>
          <w:color w:val="231F20"/>
          <w:sz w:val="20"/>
        </w:rPr>
        <w:t>EMU: </w:t>
      </w:r>
      <w:r>
        <w:rPr>
          <w:color w:val="231F20"/>
          <w:sz w:val="20"/>
        </w:rPr>
        <w:t>Economic and Monetary Union.</w:t>
      </w:r>
    </w:p>
    <w:p>
      <w:pPr>
        <w:spacing w:before="2"/>
        <w:ind w:left="589" w:right="0" w:firstLine="0"/>
        <w:jc w:val="left"/>
        <w:rPr>
          <w:sz w:val="20"/>
        </w:rPr>
      </w:pPr>
      <w:r>
        <w:rPr>
          <w:b/>
          <w:color w:val="231F20"/>
          <w:sz w:val="20"/>
        </w:rPr>
        <w:t>ERI: </w:t>
      </w:r>
      <w:r>
        <w:rPr>
          <w:color w:val="231F20"/>
          <w:sz w:val="20"/>
        </w:rPr>
        <w:t>Exchange rate index.</w:t>
      </w:r>
    </w:p>
    <w:p>
      <w:pPr>
        <w:spacing w:before="10"/>
        <w:ind w:left="589" w:right="0" w:firstLine="0"/>
        <w:jc w:val="left"/>
        <w:rPr>
          <w:sz w:val="20"/>
        </w:rPr>
      </w:pPr>
      <w:r>
        <w:rPr>
          <w:b/>
          <w:color w:val="231F20"/>
          <w:sz w:val="20"/>
        </w:rPr>
        <w:t>ERM: </w:t>
      </w:r>
      <w:r>
        <w:rPr>
          <w:color w:val="231F20"/>
          <w:sz w:val="20"/>
        </w:rPr>
        <w:t>Exchange rate mechanism.</w:t>
      </w:r>
    </w:p>
    <w:p>
      <w:pPr>
        <w:spacing w:before="10"/>
        <w:ind w:left="589" w:right="0" w:firstLine="0"/>
        <w:jc w:val="left"/>
        <w:rPr>
          <w:sz w:val="20"/>
        </w:rPr>
      </w:pPr>
      <w:r>
        <w:rPr>
          <w:b/>
          <w:color w:val="231F20"/>
          <w:sz w:val="20"/>
        </w:rPr>
        <w:t>ESA: </w:t>
      </w:r>
      <w:r>
        <w:rPr>
          <w:color w:val="231F20"/>
          <w:sz w:val="20"/>
        </w:rPr>
        <w:t>European System of Accounts.</w:t>
      </w:r>
    </w:p>
    <w:p>
      <w:pPr>
        <w:spacing w:before="10"/>
        <w:ind w:left="589" w:right="0" w:firstLine="0"/>
        <w:jc w:val="left"/>
        <w:rPr>
          <w:sz w:val="20"/>
        </w:rPr>
      </w:pPr>
      <w:r>
        <w:rPr>
          <w:b/>
          <w:color w:val="231F20"/>
          <w:sz w:val="20"/>
        </w:rPr>
        <w:t>F</w:t>
      </w:r>
      <w:r>
        <w:rPr>
          <w:b/>
          <w:color w:val="231F20"/>
          <w:sz w:val="16"/>
        </w:rPr>
        <w:t>T-SE: </w:t>
      </w:r>
      <w:r>
        <w:rPr>
          <w:color w:val="231F20"/>
          <w:sz w:val="20"/>
        </w:rPr>
        <w:t>Financial Times Stock Exchange.</w:t>
      </w:r>
    </w:p>
    <w:p>
      <w:pPr>
        <w:spacing w:line="249" w:lineRule="auto" w:before="10"/>
        <w:ind w:left="589" w:right="6097" w:firstLine="0"/>
        <w:jc w:val="both"/>
        <w:rPr>
          <w:sz w:val="20"/>
        </w:rPr>
      </w:pPr>
      <w:r>
        <w:rPr>
          <w:b/>
          <w:color w:val="231F20"/>
          <w:sz w:val="20"/>
        </w:rPr>
        <w:t>GfK: </w:t>
      </w:r>
      <w:r>
        <w:rPr>
          <w:color w:val="231F20"/>
          <w:sz w:val="20"/>
        </w:rPr>
        <w:t>Gesellschaft für Konsum, Great Britain Ltd. </w:t>
      </w:r>
      <w:r>
        <w:rPr>
          <w:b/>
          <w:color w:val="231F20"/>
          <w:sz w:val="20"/>
        </w:rPr>
        <w:t>I</w:t>
      </w:r>
      <w:r>
        <w:rPr>
          <w:b/>
          <w:color w:val="231F20"/>
          <w:sz w:val="16"/>
        </w:rPr>
        <w:t>CPF</w:t>
      </w:r>
      <w:r>
        <w:rPr>
          <w:b/>
          <w:color w:val="231F20"/>
          <w:sz w:val="20"/>
        </w:rPr>
        <w:t>s: </w:t>
      </w:r>
      <w:r>
        <w:rPr>
          <w:color w:val="231F20"/>
          <w:sz w:val="20"/>
        </w:rPr>
        <w:t>Insurance corporations and pension funds. </w:t>
      </w:r>
      <w:r>
        <w:rPr>
          <w:b/>
          <w:color w:val="231F20"/>
          <w:sz w:val="20"/>
        </w:rPr>
        <w:t>I</w:t>
      </w:r>
      <w:r>
        <w:rPr>
          <w:b/>
          <w:color w:val="231F20"/>
          <w:sz w:val="16"/>
        </w:rPr>
        <w:t>DBR</w:t>
      </w:r>
      <w:r>
        <w:rPr>
          <w:b/>
          <w:color w:val="231F20"/>
          <w:sz w:val="20"/>
        </w:rPr>
        <w:t>: </w:t>
      </w:r>
      <w:r>
        <w:rPr>
          <w:color w:val="231F20"/>
          <w:sz w:val="20"/>
        </w:rPr>
        <w:t>Inter-Departmental Business Register.</w:t>
      </w:r>
    </w:p>
    <w:p>
      <w:pPr>
        <w:spacing w:before="3"/>
        <w:ind w:left="589" w:right="0" w:firstLine="0"/>
        <w:jc w:val="left"/>
        <w:rPr>
          <w:sz w:val="20"/>
        </w:rPr>
      </w:pPr>
      <w:r>
        <w:rPr>
          <w:b/>
          <w:color w:val="231F20"/>
          <w:sz w:val="20"/>
        </w:rPr>
        <w:t>IMF: </w:t>
      </w:r>
      <w:r>
        <w:rPr>
          <w:color w:val="231F20"/>
          <w:sz w:val="20"/>
        </w:rPr>
        <w:t>International Monetary Fund.</w:t>
      </w:r>
    </w:p>
    <w:p>
      <w:pPr>
        <w:spacing w:before="10"/>
        <w:ind w:left="589" w:right="0" w:firstLine="0"/>
        <w:jc w:val="left"/>
        <w:rPr>
          <w:sz w:val="20"/>
        </w:rPr>
      </w:pPr>
      <w:r>
        <w:rPr>
          <w:b/>
          <w:color w:val="231F20"/>
          <w:sz w:val="20"/>
        </w:rPr>
        <w:t>H</w:t>
      </w:r>
      <w:r>
        <w:rPr>
          <w:b/>
          <w:color w:val="231F20"/>
          <w:sz w:val="16"/>
        </w:rPr>
        <w:t>ICP</w:t>
      </w:r>
      <w:r>
        <w:rPr>
          <w:b/>
          <w:color w:val="231F20"/>
          <w:sz w:val="20"/>
        </w:rPr>
        <w:t>: </w:t>
      </w:r>
      <w:r>
        <w:rPr>
          <w:color w:val="231F20"/>
          <w:sz w:val="20"/>
        </w:rPr>
        <w:t>Harmonised Index of Consumer Prices.</w:t>
      </w:r>
    </w:p>
    <w:p>
      <w:pPr>
        <w:spacing w:before="10"/>
        <w:ind w:left="589" w:right="0" w:firstLine="0"/>
        <w:jc w:val="left"/>
        <w:rPr>
          <w:sz w:val="20"/>
        </w:rPr>
      </w:pPr>
      <w:r>
        <w:rPr>
          <w:b/>
          <w:color w:val="231F20"/>
          <w:sz w:val="20"/>
        </w:rPr>
        <w:t>LFS: </w:t>
      </w:r>
      <w:r>
        <w:rPr>
          <w:color w:val="231F20"/>
          <w:sz w:val="20"/>
        </w:rPr>
        <w:t>Labour Force Survey.</w:t>
      </w:r>
    </w:p>
    <w:p>
      <w:pPr>
        <w:spacing w:before="10"/>
        <w:ind w:left="589" w:right="0" w:firstLine="0"/>
        <w:jc w:val="left"/>
        <w:rPr>
          <w:sz w:val="20"/>
        </w:rPr>
      </w:pPr>
      <w:r>
        <w:rPr>
          <w:b/>
          <w:color w:val="231F20"/>
          <w:sz w:val="20"/>
        </w:rPr>
        <w:t>M</w:t>
      </w:r>
      <w:r>
        <w:rPr>
          <w:b/>
          <w:color w:val="231F20"/>
          <w:sz w:val="16"/>
        </w:rPr>
        <w:t>ORI</w:t>
      </w:r>
      <w:r>
        <w:rPr>
          <w:b/>
          <w:color w:val="231F20"/>
          <w:sz w:val="20"/>
        </w:rPr>
        <w:t>: </w:t>
      </w:r>
      <w:r>
        <w:rPr>
          <w:color w:val="231F20"/>
          <w:sz w:val="20"/>
        </w:rPr>
        <w:t>Market Opinion Research International.</w:t>
      </w:r>
    </w:p>
    <w:p>
      <w:pPr>
        <w:spacing w:before="10"/>
        <w:ind w:left="589" w:right="0" w:firstLine="0"/>
        <w:jc w:val="left"/>
        <w:rPr>
          <w:sz w:val="20"/>
        </w:rPr>
      </w:pPr>
      <w:r>
        <w:rPr>
          <w:b/>
          <w:color w:val="231F20"/>
          <w:sz w:val="20"/>
        </w:rPr>
        <w:t>MPC: </w:t>
      </w:r>
      <w:r>
        <w:rPr>
          <w:color w:val="231F20"/>
          <w:sz w:val="20"/>
        </w:rPr>
        <w:t>Monetary Policy Committee.</w:t>
      </w:r>
    </w:p>
    <w:p>
      <w:pPr>
        <w:spacing w:before="10"/>
        <w:ind w:left="589" w:right="0" w:firstLine="0"/>
        <w:jc w:val="left"/>
        <w:rPr>
          <w:sz w:val="20"/>
        </w:rPr>
      </w:pPr>
      <w:r>
        <w:rPr>
          <w:b/>
          <w:color w:val="231F20"/>
          <w:sz w:val="20"/>
        </w:rPr>
        <w:t>NES: </w:t>
      </w:r>
      <w:r>
        <w:rPr>
          <w:color w:val="231F20"/>
          <w:sz w:val="20"/>
        </w:rPr>
        <w:t>New Earnings Survey.</w:t>
      </w:r>
    </w:p>
    <w:p>
      <w:pPr>
        <w:spacing w:before="10"/>
        <w:ind w:left="589" w:right="0" w:firstLine="0"/>
        <w:jc w:val="left"/>
        <w:rPr>
          <w:sz w:val="20"/>
        </w:rPr>
      </w:pPr>
      <w:r>
        <w:rPr>
          <w:b/>
          <w:color w:val="231F20"/>
          <w:sz w:val="20"/>
        </w:rPr>
        <w:t>O</w:t>
      </w:r>
      <w:r>
        <w:rPr>
          <w:b/>
          <w:color w:val="231F20"/>
          <w:sz w:val="16"/>
        </w:rPr>
        <w:t>ECD</w:t>
      </w:r>
      <w:r>
        <w:rPr>
          <w:b/>
          <w:color w:val="231F20"/>
          <w:sz w:val="20"/>
        </w:rPr>
        <w:t>: </w:t>
      </w:r>
      <w:r>
        <w:rPr>
          <w:color w:val="231F20"/>
          <w:sz w:val="20"/>
        </w:rPr>
        <w:t>Organisation for Economic Co-operation and Development.</w:t>
      </w:r>
    </w:p>
    <w:p>
      <w:pPr>
        <w:spacing w:before="10"/>
        <w:ind w:left="589" w:right="0" w:firstLine="0"/>
        <w:jc w:val="left"/>
        <w:rPr>
          <w:sz w:val="20"/>
        </w:rPr>
      </w:pPr>
      <w:r>
        <w:rPr>
          <w:b/>
          <w:color w:val="231F20"/>
          <w:sz w:val="20"/>
        </w:rPr>
        <w:t>OFCs: </w:t>
      </w:r>
      <w:r>
        <w:rPr>
          <w:color w:val="231F20"/>
          <w:sz w:val="20"/>
        </w:rPr>
        <w:t>Other financial corporations.</w:t>
      </w:r>
    </w:p>
    <w:p>
      <w:pPr>
        <w:spacing w:before="10"/>
        <w:ind w:left="589" w:right="0" w:firstLine="0"/>
        <w:jc w:val="left"/>
        <w:rPr>
          <w:sz w:val="20"/>
        </w:rPr>
      </w:pPr>
      <w:r>
        <w:rPr>
          <w:b/>
          <w:color w:val="231F20"/>
          <w:sz w:val="20"/>
        </w:rPr>
        <w:t>O</w:t>
      </w:r>
      <w:r>
        <w:rPr>
          <w:b/>
          <w:color w:val="231F20"/>
          <w:sz w:val="16"/>
        </w:rPr>
        <w:t>FIFA</w:t>
      </w:r>
      <w:r>
        <w:rPr>
          <w:b/>
          <w:color w:val="231F20"/>
          <w:sz w:val="20"/>
        </w:rPr>
        <w:t>s: </w:t>
      </w:r>
      <w:r>
        <w:rPr>
          <w:color w:val="231F20"/>
          <w:sz w:val="20"/>
        </w:rPr>
        <w:t>Other financial intermediaries and financial auxiliaries.</w:t>
      </w:r>
    </w:p>
    <w:p>
      <w:pPr>
        <w:spacing w:before="10"/>
        <w:ind w:left="589" w:right="0" w:firstLine="0"/>
        <w:jc w:val="left"/>
        <w:rPr>
          <w:sz w:val="20"/>
        </w:rPr>
      </w:pPr>
      <w:r>
        <w:rPr>
          <w:b/>
          <w:color w:val="231F20"/>
          <w:sz w:val="20"/>
        </w:rPr>
        <w:t>ONS: </w:t>
      </w:r>
      <w:r>
        <w:rPr>
          <w:color w:val="231F20"/>
          <w:sz w:val="20"/>
        </w:rPr>
        <w:t>Office for National Statistics.</w:t>
      </w:r>
    </w:p>
    <w:p>
      <w:pPr>
        <w:spacing w:before="10"/>
        <w:ind w:left="589" w:right="0" w:firstLine="0"/>
        <w:jc w:val="left"/>
        <w:rPr>
          <w:sz w:val="20"/>
        </w:rPr>
      </w:pPr>
      <w:r>
        <w:rPr>
          <w:b/>
          <w:color w:val="231F20"/>
          <w:sz w:val="20"/>
        </w:rPr>
        <w:t>O</w:t>
      </w:r>
      <w:r>
        <w:rPr>
          <w:b/>
          <w:color w:val="231F20"/>
          <w:sz w:val="16"/>
        </w:rPr>
        <w:t>PEC</w:t>
      </w:r>
      <w:r>
        <w:rPr>
          <w:b/>
          <w:color w:val="231F20"/>
          <w:sz w:val="20"/>
        </w:rPr>
        <w:t>: </w:t>
      </w:r>
      <w:r>
        <w:rPr>
          <w:color w:val="231F20"/>
          <w:sz w:val="20"/>
        </w:rPr>
        <w:t>Organisation of Petroleum Exporting Countries.</w:t>
      </w:r>
    </w:p>
    <w:p>
      <w:pPr>
        <w:spacing w:before="10"/>
        <w:ind w:left="589" w:right="0" w:firstLine="0"/>
        <w:jc w:val="left"/>
        <w:rPr>
          <w:sz w:val="20"/>
        </w:rPr>
      </w:pPr>
      <w:r>
        <w:rPr>
          <w:b/>
          <w:color w:val="231F20"/>
          <w:sz w:val="20"/>
        </w:rPr>
        <w:t>P</w:t>
      </w:r>
      <w:r>
        <w:rPr>
          <w:b/>
          <w:color w:val="231F20"/>
          <w:sz w:val="16"/>
        </w:rPr>
        <w:t>NFC</w:t>
      </w:r>
      <w:r>
        <w:rPr>
          <w:b/>
          <w:color w:val="231F20"/>
          <w:sz w:val="20"/>
        </w:rPr>
        <w:t>s: </w:t>
      </w:r>
      <w:r>
        <w:rPr>
          <w:color w:val="231F20"/>
          <w:sz w:val="20"/>
        </w:rPr>
        <w:t>Private non-financial corporations.</w:t>
      </w:r>
    </w:p>
    <w:p>
      <w:pPr>
        <w:spacing w:before="10"/>
        <w:ind w:left="589" w:right="0" w:firstLine="0"/>
        <w:jc w:val="left"/>
        <w:rPr>
          <w:sz w:val="20"/>
        </w:rPr>
      </w:pPr>
      <w:r>
        <w:rPr>
          <w:b/>
          <w:color w:val="231F20"/>
          <w:sz w:val="20"/>
        </w:rPr>
        <w:t>PPI: </w:t>
      </w:r>
      <w:r>
        <w:rPr>
          <w:color w:val="231F20"/>
          <w:sz w:val="20"/>
        </w:rPr>
        <w:t>Producer Price Index.</w:t>
      </w:r>
    </w:p>
    <w:p>
      <w:pPr>
        <w:spacing w:before="10"/>
        <w:ind w:left="589" w:right="0" w:firstLine="0"/>
        <w:jc w:val="left"/>
        <w:rPr>
          <w:sz w:val="20"/>
        </w:rPr>
      </w:pPr>
      <w:r>
        <w:rPr>
          <w:b/>
          <w:color w:val="231F20"/>
          <w:sz w:val="20"/>
        </w:rPr>
        <w:t>PPIY: </w:t>
      </w:r>
      <w:r>
        <w:rPr>
          <w:color w:val="231F20"/>
          <w:sz w:val="20"/>
        </w:rPr>
        <w:t>Producer Price Index excluding excise duties.</w:t>
      </w:r>
    </w:p>
    <w:p>
      <w:pPr>
        <w:spacing w:before="10"/>
        <w:ind w:left="589" w:right="0" w:firstLine="0"/>
        <w:jc w:val="left"/>
        <w:rPr>
          <w:sz w:val="20"/>
        </w:rPr>
      </w:pPr>
      <w:r>
        <w:rPr>
          <w:b/>
          <w:color w:val="231F20"/>
          <w:sz w:val="20"/>
        </w:rPr>
        <w:t>PRP: </w:t>
      </w:r>
      <w:r>
        <w:rPr>
          <w:color w:val="231F20"/>
          <w:sz w:val="20"/>
        </w:rPr>
        <w:t>Profit-related pay.</w:t>
      </w:r>
    </w:p>
    <w:p>
      <w:pPr>
        <w:pStyle w:val="Heading8"/>
      </w:pPr>
      <w:r>
        <w:rPr>
          <w:b/>
          <w:color w:val="231F20"/>
        </w:rPr>
        <w:t>R</w:t>
      </w:r>
      <w:r>
        <w:rPr>
          <w:b/>
          <w:color w:val="231F20"/>
          <w:sz w:val="16"/>
        </w:rPr>
        <w:t>ICS</w:t>
      </w:r>
      <w:r>
        <w:rPr>
          <w:b/>
          <w:color w:val="231F20"/>
        </w:rPr>
        <w:t>: </w:t>
      </w:r>
      <w:r>
        <w:rPr>
          <w:color w:val="231F20"/>
        </w:rPr>
        <w:t>Royal Institute of Chartered Surveyors.</w:t>
      </w:r>
    </w:p>
    <w:p>
      <w:pPr>
        <w:spacing w:before="10"/>
        <w:ind w:left="589" w:right="0" w:firstLine="0"/>
        <w:jc w:val="left"/>
        <w:rPr>
          <w:sz w:val="20"/>
        </w:rPr>
      </w:pPr>
      <w:r>
        <w:rPr>
          <w:b/>
          <w:color w:val="231F20"/>
          <w:sz w:val="20"/>
        </w:rPr>
        <w:t>W</w:t>
      </w:r>
      <w:r>
        <w:rPr>
          <w:b/>
          <w:color w:val="231F20"/>
          <w:sz w:val="16"/>
        </w:rPr>
        <w:t>FTC</w:t>
      </w:r>
      <w:r>
        <w:rPr>
          <w:b/>
          <w:color w:val="231F20"/>
          <w:sz w:val="20"/>
        </w:rPr>
        <w:t>: </w:t>
      </w:r>
      <w:r>
        <w:rPr>
          <w:color w:val="231F20"/>
          <w:sz w:val="20"/>
        </w:rPr>
        <w:t>Working Families Tax Credit.</w:t>
      </w:r>
    </w:p>
    <w:p>
      <w:pPr>
        <w:spacing w:before="10"/>
        <w:ind w:left="589" w:right="0" w:firstLine="0"/>
        <w:jc w:val="left"/>
        <w:rPr>
          <w:sz w:val="20"/>
        </w:rPr>
      </w:pPr>
      <w:r>
        <w:rPr>
          <w:b/>
          <w:color w:val="231F20"/>
          <w:sz w:val="20"/>
        </w:rPr>
        <w:t>WTD: </w:t>
      </w:r>
      <w:r>
        <w:rPr>
          <w:color w:val="231F20"/>
          <w:sz w:val="20"/>
        </w:rPr>
        <w:t>Working Time Directive.</w:t>
      </w:r>
    </w:p>
    <w:p>
      <w:pPr>
        <w:spacing w:before="150"/>
        <w:ind w:left="589" w:right="0" w:firstLine="0"/>
        <w:jc w:val="left"/>
        <w:rPr>
          <w:sz w:val="20"/>
        </w:rPr>
      </w:pPr>
      <w:r>
        <w:rPr>
          <w:b/>
          <w:color w:val="231F20"/>
          <w:sz w:val="20"/>
        </w:rPr>
        <w:t>Three-month annualised</w:t>
      </w:r>
      <w:r>
        <w:rPr>
          <w:color w:val="231F20"/>
          <w:sz w:val="20"/>
        </w:rPr>
        <w:t>: the percentage change in a series over three months, expressed as an annual rate.</w:t>
      </w:r>
    </w:p>
    <w:p>
      <w:pPr>
        <w:spacing w:after="0"/>
        <w:jc w:val="left"/>
        <w:rPr>
          <w:sz w:val="20"/>
        </w:rPr>
        <w:sectPr>
          <w:headerReference w:type="default" r:id="rId116"/>
          <w:footerReference w:type="default" r:id="rId117"/>
          <w:pgSz w:w="11900" w:h="16840"/>
          <w:pgMar w:header="0" w:footer="0" w:top="800" w:bottom="280" w:left="620" w:right="520"/>
        </w:sectPr>
      </w:pPr>
    </w:p>
    <w:p>
      <w:pPr>
        <w:pStyle w:val="Heading3"/>
        <w:spacing w:before="73"/>
      </w:pPr>
      <w:r>
        <w:rPr>
          <w:color w:val="0093C1"/>
        </w:rPr>
        <w:t>Glossary of new terms</w:t>
      </w:r>
    </w:p>
    <w:p>
      <w:pPr>
        <w:spacing w:before="202"/>
        <w:ind w:left="600" w:right="0" w:firstLine="0"/>
        <w:jc w:val="left"/>
        <w:rPr>
          <w:sz w:val="20"/>
        </w:rPr>
      </w:pPr>
      <w:r>
        <w:rPr>
          <w:b/>
          <w:color w:val="231F20"/>
          <w:sz w:val="20"/>
        </w:rPr>
        <w:t>(GDP at) market prices: </w:t>
      </w:r>
      <w:r>
        <w:rPr>
          <w:color w:val="231F20"/>
          <w:sz w:val="20"/>
        </w:rPr>
        <w:t>Prices paid by the purchaser including transport costs, trade margins and taxes.</w:t>
      </w:r>
    </w:p>
    <w:p>
      <w:pPr>
        <w:pStyle w:val="Heading8"/>
        <w:spacing w:line="249" w:lineRule="auto"/>
        <w:ind w:left="820" w:right="964" w:hanging="220"/>
      </w:pPr>
      <w:r>
        <w:rPr>
          <w:b/>
          <w:color w:val="231F20"/>
        </w:rPr>
        <w:t>N</w:t>
      </w:r>
      <w:r>
        <w:rPr>
          <w:b/>
          <w:color w:val="231F20"/>
          <w:sz w:val="16"/>
        </w:rPr>
        <w:t>PISH</w:t>
      </w:r>
      <w:r>
        <w:rPr>
          <w:b/>
          <w:color w:val="231F20"/>
        </w:rPr>
        <w:t>: </w:t>
      </w:r>
      <w:r>
        <w:rPr>
          <w:color w:val="231F20"/>
        </w:rPr>
        <w:t>Non profit making institutions serving households: non-market bodies serving the interest of households, eg charities.</w:t>
      </w:r>
    </w:p>
    <w:p>
      <w:pPr>
        <w:spacing w:before="1"/>
        <w:ind w:left="600" w:right="0" w:firstLine="0"/>
        <w:jc w:val="left"/>
        <w:rPr>
          <w:sz w:val="20"/>
        </w:rPr>
      </w:pPr>
      <w:r>
        <w:rPr>
          <w:b/>
          <w:color w:val="231F20"/>
          <w:sz w:val="20"/>
        </w:rPr>
        <w:t>Household final expenditure: </w:t>
      </w:r>
      <w:r>
        <w:rPr>
          <w:color w:val="231F20"/>
          <w:sz w:val="20"/>
        </w:rPr>
        <w:t>Formerly known as consumers’ expenditure minus N</w:t>
      </w:r>
      <w:r>
        <w:rPr>
          <w:color w:val="231F20"/>
          <w:sz w:val="16"/>
        </w:rPr>
        <w:t>PISH</w:t>
      </w:r>
      <w:r>
        <w:rPr>
          <w:color w:val="231F20"/>
          <w:sz w:val="20"/>
        </w:rPr>
        <w:t>.</w:t>
      </w:r>
    </w:p>
    <w:p>
      <w:pPr>
        <w:spacing w:before="10"/>
        <w:ind w:left="600" w:right="0" w:firstLine="0"/>
        <w:jc w:val="left"/>
        <w:rPr>
          <w:sz w:val="20"/>
        </w:rPr>
      </w:pPr>
      <w:r>
        <w:rPr>
          <w:b/>
          <w:color w:val="231F20"/>
          <w:sz w:val="20"/>
        </w:rPr>
        <w:t>Inventories: </w:t>
      </w:r>
      <w:r>
        <w:rPr>
          <w:color w:val="231F20"/>
          <w:sz w:val="20"/>
        </w:rPr>
        <w:t>Formerly known as stocks.</w:t>
      </w:r>
    </w:p>
    <w:p>
      <w:pPr>
        <w:pStyle w:val="Heading3"/>
        <w:spacing w:before="153"/>
      </w:pPr>
      <w:r>
        <w:rPr>
          <w:color w:val="0093C1"/>
        </w:rPr>
        <w:t>Symbols and conventions</w:t>
      </w:r>
    </w:p>
    <w:p>
      <w:pPr>
        <w:pStyle w:val="Heading8"/>
        <w:spacing w:line="249" w:lineRule="auto" w:before="82"/>
        <w:ind w:left="600" w:right="309"/>
      </w:pPr>
      <w:r>
        <w:rPr>
          <w:color w:val="231F20"/>
        </w:rPr>
        <w:t>Except where otherwise stated, the source of the data used in charts and tables is the Office for National Statistics (ONS). The measures of inflation included in this </w:t>
      </w:r>
      <w:r>
        <w:rPr>
          <w:i/>
          <w:color w:val="231F20"/>
        </w:rPr>
        <w:t>Report </w:t>
      </w:r>
      <w:r>
        <w:rPr>
          <w:color w:val="231F20"/>
        </w:rPr>
        <w:t>have been adjusted by the Bank for an ONS error in under-recording RPI and RPIX inflation between February and May 1995.</w:t>
      </w:r>
    </w:p>
    <w:p>
      <w:pPr>
        <w:spacing w:before="2"/>
        <w:ind w:left="600" w:right="0" w:firstLine="0"/>
        <w:jc w:val="left"/>
        <w:rPr>
          <w:sz w:val="20"/>
        </w:rPr>
      </w:pPr>
      <w:r>
        <w:rPr>
          <w:color w:val="231F20"/>
          <w:sz w:val="20"/>
        </w:rPr>
        <w:t>n.a. = not available.</w:t>
      </w:r>
    </w:p>
    <w:p>
      <w:pPr>
        <w:spacing w:before="10"/>
        <w:ind w:left="600" w:right="0" w:firstLine="0"/>
        <w:jc w:val="left"/>
        <w:rPr>
          <w:sz w:val="20"/>
        </w:rPr>
      </w:pPr>
      <w:r>
        <w:rPr>
          <w:color w:val="231F20"/>
          <w:sz w:val="20"/>
        </w:rPr>
        <w:t>Because of rounding, the sum of the separate items may sometimes differ from the total shown.</w:t>
      </w:r>
    </w:p>
    <w:p>
      <w:pPr>
        <w:spacing w:line="249" w:lineRule="auto" w:before="10"/>
        <w:ind w:left="600" w:right="2148" w:firstLine="0"/>
        <w:jc w:val="left"/>
        <w:rPr>
          <w:sz w:val="20"/>
        </w:rPr>
      </w:pPr>
      <w:r>
        <w:rPr>
          <w:color w:val="231F20"/>
          <w:sz w:val="20"/>
        </w:rPr>
        <w:t>On the horizontal axes of graphs, larger ticks denote the first observation within the relevant period, eg data for the first quarter of the year.</w:t>
      </w:r>
    </w:p>
    <w:p>
      <w:pPr>
        <w:spacing w:before="64"/>
        <w:ind w:left="600" w:right="0" w:firstLine="0"/>
        <w:jc w:val="left"/>
        <w:rPr>
          <w:b/>
          <w:sz w:val="24"/>
        </w:rPr>
      </w:pPr>
      <w:r>
        <w:rPr>
          <w:b/>
          <w:color w:val="0093C1"/>
          <w:sz w:val="24"/>
        </w:rPr>
        <w:t>Other information</w:t>
      </w:r>
    </w:p>
    <w:p>
      <w:pPr>
        <w:spacing w:before="102"/>
        <w:ind w:left="600" w:right="0" w:firstLine="0"/>
        <w:jc w:val="left"/>
        <w:rPr>
          <w:sz w:val="20"/>
        </w:rPr>
      </w:pPr>
      <w:hyperlink r:id="rId120">
        <w:r>
          <w:rPr>
            <w:color w:val="231F20"/>
            <w:sz w:val="20"/>
          </w:rPr>
          <w:t>email: mapublications@bankofengland.co.uk</w:t>
        </w:r>
      </w:hyperlink>
    </w:p>
    <w:p>
      <w:pPr>
        <w:spacing w:before="10"/>
        <w:ind w:left="600" w:right="0" w:firstLine="0"/>
        <w:jc w:val="left"/>
        <w:rPr>
          <w:sz w:val="20"/>
        </w:rPr>
      </w:pPr>
      <w:r>
        <w:rPr>
          <w:color w:val="231F20"/>
          <w:sz w:val="20"/>
        </w:rPr>
        <w:t>This </w:t>
      </w:r>
      <w:r>
        <w:rPr>
          <w:i/>
          <w:color w:val="231F20"/>
          <w:sz w:val="20"/>
        </w:rPr>
        <w:t>Report </w:t>
      </w:r>
      <w:hyperlink r:id="rId121">
        <w:r>
          <w:rPr>
            <w:color w:val="231F20"/>
            <w:sz w:val="20"/>
          </w:rPr>
          <w:t>is available at: http://www.bankofengland.co.uk/</w:t>
        </w:r>
      </w:hyperlink>
    </w:p>
    <w:p>
      <w:pPr>
        <w:spacing w:after="0"/>
        <w:jc w:val="left"/>
        <w:rPr>
          <w:sz w:val="20"/>
        </w:rPr>
        <w:sectPr>
          <w:headerReference w:type="even" r:id="rId118"/>
          <w:footerReference w:type="even" r:id="rId119"/>
          <w:pgSz w:w="11900" w:h="16840"/>
          <w:pgMar w:header="0" w:footer="0" w:top="1140" w:bottom="280" w:left="620" w:right="520"/>
        </w:sectPr>
      </w:pPr>
    </w:p>
    <w:p>
      <w:pPr>
        <w:spacing w:before="74"/>
        <w:ind w:left="1858" w:right="1978" w:firstLine="0"/>
        <w:jc w:val="center"/>
        <w:rPr>
          <w:b/>
          <w:sz w:val="24"/>
        </w:rPr>
      </w:pPr>
      <w:r>
        <w:rPr>
          <w:b/>
          <w:color w:val="00958E"/>
          <w:sz w:val="24"/>
        </w:rPr>
        <w:t>Quarterly Bulletin and Inflation Report subscription details</w:t>
      </w:r>
    </w:p>
    <w:p>
      <w:pPr>
        <w:pStyle w:val="BodyText"/>
        <w:rPr>
          <w:b/>
          <w:sz w:val="20"/>
        </w:rPr>
      </w:pPr>
    </w:p>
    <w:p>
      <w:pPr>
        <w:pStyle w:val="BodyText"/>
        <w:rPr>
          <w:b/>
          <w:sz w:val="20"/>
        </w:rPr>
      </w:pPr>
    </w:p>
    <w:p>
      <w:pPr>
        <w:spacing w:line="249" w:lineRule="auto" w:before="1"/>
        <w:ind w:left="185" w:right="314" w:firstLine="0"/>
        <w:jc w:val="left"/>
        <w:rPr>
          <w:sz w:val="20"/>
        </w:rPr>
      </w:pPr>
      <w:r>
        <w:rPr/>
        <w:pict>
          <v:line style="position:absolute;mso-position-horizontal-relative:page;mso-position-vertical-relative:paragraph;z-index:-21368320" from="147pt,88.875931pt" to="183.12pt,88.875931pt" stroked="true" strokeweight=".125pt" strokecolor="#231f20">
            <v:stroke dashstyle="solid"/>
            <w10:wrap type="none"/>
          </v:line>
        </w:pict>
      </w:r>
      <w:r>
        <w:rPr/>
        <w:pict>
          <v:line style="position:absolute;mso-position-horizontal-relative:page;mso-position-vertical-relative:paragraph;z-index:-21367808" from="194.369995pt,89.375931pt" to="216.619995pt,89.375931pt" stroked="true" strokeweight=".125pt" strokecolor="#231f20">
            <v:stroke dashstyle="solid"/>
            <w10:wrap type="none"/>
          </v:line>
        </w:pict>
      </w:r>
      <w:r>
        <w:rPr/>
        <w:pict>
          <v:line style="position:absolute;mso-position-horizontal-relative:page;mso-position-vertical-relative:paragraph;z-index:-21367296" from="282.25pt,89.375931pt" to="312pt,89.375931pt" stroked="true" strokeweight=".125pt" strokecolor="#231f20">
            <v:stroke dashstyle="solid"/>
            <w10:wrap type="none"/>
          </v:line>
        </w:pict>
      </w:r>
      <w:r>
        <w:rPr/>
        <w:pict>
          <v:line style="position:absolute;mso-position-horizontal-relative:page;mso-position-vertical-relative:paragraph;z-index:-21366784" from="239.75pt,89.375931pt" to="274.5pt,89.375931pt" stroked="true" strokeweight=".125pt" strokecolor="#231f20">
            <v:stroke dashstyle="solid"/>
            <w10:wrap type="none"/>
          </v:line>
        </w:pict>
      </w:r>
      <w:r>
        <w:rPr/>
        <w:pict>
          <v:line style="position:absolute;mso-position-horizontal-relative:page;mso-position-vertical-relative:paragraph;z-index:-21366272" from="390.75pt,89.375931pt" to="413pt,89.375931pt" stroked="true" strokeweight=".125pt" strokecolor="#231f20">
            <v:stroke dashstyle="solid"/>
            <w10:wrap type="none"/>
          </v:line>
        </w:pict>
      </w:r>
      <w:r>
        <w:rPr/>
        <w:pict>
          <v:line style="position:absolute;mso-position-horizontal-relative:page;mso-position-vertical-relative:paragraph;z-index:-21365760" from="440.369995pt,89.375931pt" to="466.999995pt,89.375931pt" stroked="true" strokeweight=".125pt" strokecolor="#231f20">
            <v:stroke dashstyle="solid"/>
            <w10:wrap type="none"/>
          </v:line>
        </w:pict>
      </w:r>
      <w:r>
        <w:rPr/>
        <w:pict>
          <v:line style="position:absolute;mso-position-horizontal-relative:page;mso-position-vertical-relative:paragraph;z-index:-21365248" from="339.119995pt,89.375931pt" to="376.869995pt,89.375931pt" stroked="true" strokeweight=".125pt" strokecolor="#231f20">
            <v:stroke dashstyle="solid"/>
            <w10:wrap type="none"/>
          </v:line>
        </w:pict>
      </w:r>
      <w:r>
        <w:rPr/>
        <w:pict>
          <v:line style="position:absolute;mso-position-horizontal-relative:page;mso-position-vertical-relative:paragraph;z-index:-21364736" from="478.369995pt,89.375931pt" to="502.619995pt,89.375931pt" stroked="true" strokeweight=".125pt" strokecolor="#231f20">
            <v:stroke dashstyle="solid"/>
            <w10:wrap type="none"/>
          </v:line>
        </w:pict>
      </w:r>
      <w:r>
        <w:rPr/>
        <w:pict>
          <v:line style="position:absolute;mso-position-horizontal-relative:page;mso-position-vertical-relative:paragraph;z-index:-21364224" from="145.869995pt,70.625931pt" to="229.249995pt,70.625931pt" stroked="true" strokeweight=".125pt" strokecolor="#231f20">
            <v:stroke dashstyle="solid"/>
            <w10:wrap type="none"/>
          </v:line>
        </w:pict>
      </w:r>
      <w:r>
        <w:rPr/>
        <w:pict>
          <v:line style="position:absolute;mso-position-horizontal-relative:page;mso-position-vertical-relative:paragraph;z-index:-21363712" from="246.25pt,70.625931pt" to="311.37pt,70.625931pt" stroked="true" strokeweight=".125pt" strokecolor="#231f20">
            <v:stroke dashstyle="solid"/>
            <w10:wrap type="none"/>
          </v:line>
        </w:pict>
      </w:r>
      <w:r>
        <w:rPr/>
        <w:pict>
          <v:line style="position:absolute;mso-position-horizontal-relative:page;mso-position-vertical-relative:paragraph;z-index:-21363200" from="337.869995pt,70.625931pt" to="420.119995pt,70.625931pt" stroked="true" strokeweight=".125pt" strokecolor="#231f20">
            <v:stroke dashstyle="solid"/>
            <w10:wrap type="none"/>
          </v:line>
        </w:pict>
      </w:r>
      <w:r>
        <w:rPr/>
        <w:pict>
          <v:line style="position:absolute;mso-position-horizontal-relative:page;mso-position-vertical-relative:paragraph;z-index:-21362688" from="439.369995pt,70.625931pt" to="512.619995pt,70.625931pt" stroked="true" strokeweight=".125pt" strokecolor="#231f20">
            <v:stroke dashstyle="solid"/>
            <w10:wrap type="none"/>
          </v:line>
        </w:pict>
      </w:r>
      <w:r>
        <w:rPr/>
        <w:pict>
          <v:line style="position:absolute;mso-position-horizontal-relative:page;mso-position-vertical-relative:paragraph;z-index:-21362176" from="235.369995pt,50.005932pt" to="235.369995pt,232.625932pt" stroked="true" strokeweight=".125pt" strokecolor="#231f20">
            <v:stroke dashstyle="solid"/>
            <w10:wrap type="none"/>
          </v:line>
        </w:pict>
      </w:r>
      <w:r>
        <w:rPr/>
        <w:pict>
          <v:line style="position:absolute;mso-position-horizontal-relative:page;mso-position-vertical-relative:paragraph;z-index:-21361664" from="426.369995pt,49.505932pt" to="426.369995pt,234.755932pt" stroked="true" strokeweight=".125pt" strokecolor="#231f20">
            <v:stroke dashstyle="solid"/>
            <w10:wrap type="none"/>
          </v:line>
        </w:pict>
      </w:r>
      <w:r>
        <w:rPr>
          <w:color w:val="231F20"/>
          <w:sz w:val="20"/>
        </w:rPr>
        <w:t>Copies of the </w:t>
      </w:r>
      <w:r>
        <w:rPr>
          <w:i/>
          <w:color w:val="231F20"/>
          <w:sz w:val="20"/>
        </w:rPr>
        <w:t>Bulletin </w:t>
      </w:r>
      <w:r>
        <w:rPr>
          <w:color w:val="231F20"/>
          <w:sz w:val="20"/>
        </w:rPr>
        <w:t>and </w:t>
      </w:r>
      <w:r>
        <w:rPr>
          <w:i/>
          <w:color w:val="231F20"/>
          <w:sz w:val="20"/>
        </w:rPr>
        <w:t>Inflation Report </w:t>
      </w:r>
      <w:r>
        <w:rPr>
          <w:color w:val="231F20"/>
          <w:sz w:val="20"/>
        </w:rPr>
        <w:t>are available from the Bank as a </w:t>
      </w:r>
      <w:r>
        <w:rPr>
          <w:b/>
          <w:color w:val="231F20"/>
          <w:sz w:val="20"/>
        </w:rPr>
        <w:t>combined </w:t>
      </w:r>
      <w:r>
        <w:rPr>
          <w:color w:val="231F20"/>
          <w:sz w:val="20"/>
        </w:rPr>
        <w:t>package: the </w:t>
      </w:r>
      <w:r>
        <w:rPr>
          <w:i/>
          <w:color w:val="231F20"/>
          <w:sz w:val="20"/>
        </w:rPr>
        <w:t>Inflation Report </w:t>
      </w:r>
      <w:r>
        <w:rPr>
          <w:color w:val="231F20"/>
          <w:sz w:val="20"/>
        </w:rPr>
        <w:t>is </w:t>
      </w:r>
      <w:r>
        <w:rPr>
          <w:color w:val="231F20"/>
          <w:spacing w:val="-4"/>
          <w:sz w:val="20"/>
        </w:rPr>
        <w:t>also </w:t>
      </w:r>
      <w:r>
        <w:rPr>
          <w:color w:val="231F20"/>
          <w:sz w:val="20"/>
        </w:rPr>
        <w:t>available separately. The prices are set out below:</w:t>
      </w:r>
    </w:p>
    <w:p>
      <w:pPr>
        <w:pStyle w:val="BodyText"/>
        <w:rPr>
          <w:sz w:val="11"/>
        </w:rPr>
      </w:pPr>
    </w:p>
    <w:tbl>
      <w:tblPr>
        <w:tblW w:w="0" w:type="auto"/>
        <w:jc w:val="left"/>
        <w:tblInd w:w="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9"/>
        <w:gridCol w:w="1848"/>
        <w:gridCol w:w="1821"/>
        <w:gridCol w:w="2100"/>
        <w:gridCol w:w="1846"/>
      </w:tblGrid>
      <w:tr>
        <w:trPr>
          <w:trHeight w:val="311" w:hRule="atLeast"/>
        </w:trPr>
        <w:tc>
          <w:tcPr>
            <w:tcW w:w="1949" w:type="dxa"/>
            <w:tcBorders>
              <w:top w:val="single" w:sz="4" w:space="0" w:color="231F20"/>
              <w:left w:val="single" w:sz="4" w:space="0" w:color="231F20"/>
              <w:bottom w:val="single" w:sz="2" w:space="0" w:color="231F20"/>
              <w:right w:val="single" w:sz="2" w:space="0" w:color="231F20"/>
            </w:tcBorders>
          </w:tcPr>
          <w:p>
            <w:pPr>
              <w:pStyle w:val="TableParagraph"/>
              <w:spacing w:before="42"/>
              <w:ind w:left="115"/>
              <w:rPr>
                <w:sz w:val="16"/>
              </w:rPr>
            </w:pPr>
            <w:r>
              <w:rPr>
                <w:color w:val="231F20"/>
                <w:sz w:val="16"/>
              </w:rPr>
              <w:t>Destination</w:t>
            </w:r>
          </w:p>
        </w:tc>
        <w:tc>
          <w:tcPr>
            <w:tcW w:w="3669" w:type="dxa"/>
            <w:gridSpan w:val="2"/>
            <w:tcBorders>
              <w:top w:val="single" w:sz="4" w:space="0" w:color="231F20"/>
              <w:left w:val="single" w:sz="2" w:space="0" w:color="231F20"/>
              <w:bottom w:val="single" w:sz="2" w:space="0" w:color="231F20"/>
              <w:right w:val="single" w:sz="2" w:space="0" w:color="231F20"/>
            </w:tcBorders>
          </w:tcPr>
          <w:p>
            <w:pPr>
              <w:pStyle w:val="TableParagraph"/>
              <w:spacing w:before="42"/>
              <w:ind w:left="1391" w:right="1913"/>
              <w:jc w:val="center"/>
              <w:rPr>
                <w:sz w:val="16"/>
              </w:rPr>
            </w:pPr>
            <w:r>
              <w:rPr>
                <w:color w:val="231F20"/>
                <w:sz w:val="16"/>
              </w:rPr>
              <w:t>1999</w:t>
            </w:r>
          </w:p>
        </w:tc>
        <w:tc>
          <w:tcPr>
            <w:tcW w:w="3946" w:type="dxa"/>
            <w:gridSpan w:val="2"/>
            <w:tcBorders>
              <w:top w:val="single" w:sz="4" w:space="0" w:color="231F20"/>
              <w:left w:val="single" w:sz="2" w:space="0" w:color="231F20"/>
              <w:bottom w:val="single" w:sz="2" w:space="0" w:color="231F20"/>
              <w:right w:val="single" w:sz="4" w:space="0" w:color="231F20"/>
            </w:tcBorders>
          </w:tcPr>
          <w:p>
            <w:pPr>
              <w:pStyle w:val="TableParagraph"/>
              <w:spacing w:before="42"/>
              <w:ind w:left="1520" w:right="2057"/>
              <w:jc w:val="center"/>
              <w:rPr>
                <w:sz w:val="16"/>
              </w:rPr>
            </w:pPr>
            <w:r>
              <w:rPr>
                <w:color w:val="231F20"/>
                <w:sz w:val="16"/>
              </w:rPr>
              <w:t>1998</w:t>
            </w:r>
          </w:p>
        </w:tc>
      </w:tr>
      <w:tr>
        <w:trPr>
          <w:trHeight w:val="266" w:hRule="atLeast"/>
        </w:trPr>
        <w:tc>
          <w:tcPr>
            <w:tcW w:w="1949" w:type="dxa"/>
            <w:vMerge w:val="restart"/>
            <w:tcBorders>
              <w:top w:val="single" w:sz="2" w:space="0" w:color="231F20"/>
              <w:left w:val="single" w:sz="4" w:space="0" w:color="231F20"/>
              <w:bottom w:val="single" w:sz="4" w:space="0" w:color="231F20"/>
              <w:right w:val="single" w:sz="2" w:space="0" w:color="231F2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line="182" w:lineRule="exact" w:before="137"/>
              <w:ind w:left="35"/>
              <w:rPr>
                <w:sz w:val="16"/>
              </w:rPr>
            </w:pPr>
            <w:r>
              <w:rPr>
                <w:color w:val="231F20"/>
                <w:sz w:val="16"/>
              </w:rPr>
              <w:t>United Kingdom</w:t>
            </w:r>
          </w:p>
          <w:p>
            <w:pPr>
              <w:pStyle w:val="TableParagraph"/>
              <w:spacing w:line="182" w:lineRule="exact"/>
              <w:ind w:left="155"/>
              <w:rPr>
                <w:sz w:val="12"/>
              </w:rPr>
            </w:pPr>
            <w:r>
              <w:rPr>
                <w:color w:val="231F20"/>
                <w:sz w:val="16"/>
              </w:rPr>
              <w:t>by first class mail </w:t>
            </w:r>
            <w:r>
              <w:rPr>
                <w:color w:val="231F20"/>
                <w:sz w:val="12"/>
              </w:rPr>
              <w:t>(2)</w:t>
            </w:r>
          </w:p>
          <w:p>
            <w:pPr>
              <w:pStyle w:val="TableParagraph"/>
              <w:spacing w:line="182" w:lineRule="exact" w:before="157"/>
              <w:ind w:left="35"/>
              <w:rPr>
                <w:b/>
                <w:i/>
                <w:sz w:val="16"/>
              </w:rPr>
            </w:pPr>
            <w:r>
              <w:rPr>
                <w:i/>
                <w:color w:val="231F20"/>
                <w:sz w:val="16"/>
              </w:rPr>
              <w:t>Academics, </w:t>
            </w:r>
            <w:r>
              <w:rPr>
                <w:b/>
                <w:i/>
                <w:color w:val="231F20"/>
                <w:sz w:val="16"/>
              </w:rPr>
              <w:t>UK only</w:t>
            </w:r>
          </w:p>
          <w:p>
            <w:pPr>
              <w:pStyle w:val="TableParagraph"/>
              <w:spacing w:line="182" w:lineRule="exact"/>
              <w:ind w:left="35"/>
              <w:rPr>
                <w:b/>
                <w:i/>
                <w:sz w:val="16"/>
              </w:rPr>
            </w:pPr>
            <w:r>
              <w:rPr>
                <w:i/>
                <w:color w:val="231F20"/>
                <w:sz w:val="16"/>
              </w:rPr>
              <w:t>Students, </w:t>
            </w:r>
            <w:r>
              <w:rPr>
                <w:b/>
                <w:i/>
                <w:color w:val="231F20"/>
                <w:sz w:val="16"/>
              </w:rPr>
              <w:t>UK only</w:t>
            </w:r>
          </w:p>
          <w:p>
            <w:pPr>
              <w:pStyle w:val="TableParagraph"/>
              <w:spacing w:line="235" w:lineRule="auto" w:before="159"/>
              <w:ind w:left="155" w:right="135" w:hanging="120"/>
              <w:rPr>
                <w:sz w:val="16"/>
              </w:rPr>
            </w:pPr>
            <w:r>
              <w:rPr>
                <w:color w:val="231F20"/>
                <w:sz w:val="16"/>
              </w:rPr>
              <w:t>European countries including the Republic of Ireland, by letter service</w:t>
            </w:r>
          </w:p>
          <w:p>
            <w:pPr>
              <w:pStyle w:val="TableParagraph"/>
              <w:spacing w:line="235" w:lineRule="auto" w:before="159"/>
              <w:ind w:left="115" w:right="215" w:hanging="80"/>
              <w:rPr>
                <w:sz w:val="16"/>
              </w:rPr>
            </w:pPr>
            <w:r>
              <w:rPr>
                <w:color w:val="231F20"/>
                <w:sz w:val="16"/>
              </w:rPr>
              <w:t>Countries outside Europe: Surface mail</w:t>
            </w:r>
          </w:p>
          <w:p>
            <w:pPr>
              <w:pStyle w:val="TableParagraph"/>
              <w:tabs>
                <w:tab w:pos="939" w:val="left" w:leader="none"/>
              </w:tabs>
              <w:spacing w:before="156"/>
              <w:ind w:right="256"/>
              <w:jc w:val="right"/>
              <w:rPr>
                <w:sz w:val="12"/>
              </w:rPr>
            </w:pPr>
            <w:r>
              <w:rPr>
                <w:color w:val="231F20"/>
                <w:sz w:val="16"/>
              </w:rPr>
              <w:t>Air mail:</w:t>
              <w:tab/>
              <w:t>Zone 1</w:t>
            </w:r>
            <w:r>
              <w:rPr>
                <w:color w:val="231F20"/>
                <w:spacing w:val="-4"/>
                <w:sz w:val="16"/>
              </w:rPr>
              <w:t> </w:t>
            </w:r>
            <w:r>
              <w:rPr>
                <w:color w:val="231F20"/>
                <w:sz w:val="12"/>
              </w:rPr>
              <w:t>(3)</w:t>
            </w:r>
          </w:p>
          <w:p>
            <w:pPr>
              <w:pStyle w:val="TableParagraph"/>
              <w:spacing w:before="156"/>
              <w:ind w:right="256"/>
              <w:jc w:val="right"/>
              <w:rPr>
                <w:sz w:val="12"/>
              </w:rPr>
            </w:pPr>
            <w:r>
              <w:rPr>
                <w:color w:val="231F20"/>
                <w:sz w:val="16"/>
              </w:rPr>
              <w:t>Zone 2</w:t>
            </w:r>
            <w:r>
              <w:rPr>
                <w:color w:val="231F20"/>
                <w:spacing w:val="-4"/>
                <w:sz w:val="16"/>
              </w:rPr>
              <w:t> </w:t>
            </w:r>
            <w:r>
              <w:rPr>
                <w:color w:val="231F20"/>
                <w:sz w:val="12"/>
              </w:rPr>
              <w:t>(4)</w:t>
            </w:r>
          </w:p>
        </w:tc>
        <w:tc>
          <w:tcPr>
            <w:tcW w:w="1848" w:type="dxa"/>
            <w:tcBorders>
              <w:top w:val="single" w:sz="2" w:space="0" w:color="231F20"/>
              <w:left w:val="single" w:sz="2" w:space="0" w:color="231F20"/>
            </w:tcBorders>
          </w:tcPr>
          <w:p>
            <w:pPr>
              <w:pStyle w:val="TableParagraph"/>
              <w:spacing w:line="160" w:lineRule="exact" w:before="85"/>
              <w:ind w:left="148"/>
              <w:rPr>
                <w:i/>
                <w:sz w:val="16"/>
              </w:rPr>
            </w:pPr>
            <w:r>
              <w:rPr>
                <w:i/>
                <w:color w:val="231F20"/>
                <w:sz w:val="16"/>
              </w:rPr>
              <w:t>Quarterly Bulletin and</w:t>
            </w:r>
          </w:p>
        </w:tc>
        <w:tc>
          <w:tcPr>
            <w:tcW w:w="1821" w:type="dxa"/>
            <w:tcBorders>
              <w:top w:val="single" w:sz="2" w:space="0" w:color="231F20"/>
              <w:right w:val="single" w:sz="2" w:space="0" w:color="231F20"/>
            </w:tcBorders>
          </w:tcPr>
          <w:p>
            <w:pPr>
              <w:pStyle w:val="TableParagraph"/>
              <w:spacing w:line="160" w:lineRule="exact" w:before="85"/>
              <w:ind w:left="303"/>
              <w:rPr>
                <w:i/>
                <w:sz w:val="16"/>
              </w:rPr>
            </w:pPr>
            <w:r>
              <w:rPr>
                <w:i/>
                <w:color w:val="231F20"/>
                <w:sz w:val="16"/>
              </w:rPr>
              <w:t>Inflation Report</w:t>
            </w:r>
          </w:p>
        </w:tc>
        <w:tc>
          <w:tcPr>
            <w:tcW w:w="2100" w:type="dxa"/>
            <w:tcBorders>
              <w:top w:val="single" w:sz="2" w:space="0" w:color="231F20"/>
              <w:left w:val="single" w:sz="2" w:space="0" w:color="231F20"/>
            </w:tcBorders>
          </w:tcPr>
          <w:p>
            <w:pPr>
              <w:pStyle w:val="TableParagraph"/>
              <w:spacing w:line="160" w:lineRule="exact" w:before="85"/>
              <w:ind w:left="299"/>
              <w:rPr>
                <w:i/>
                <w:sz w:val="16"/>
              </w:rPr>
            </w:pPr>
            <w:r>
              <w:rPr>
                <w:i/>
                <w:color w:val="231F20"/>
                <w:sz w:val="16"/>
              </w:rPr>
              <w:t>Quarterly Bulletin and</w:t>
            </w:r>
          </w:p>
        </w:tc>
        <w:tc>
          <w:tcPr>
            <w:tcW w:w="1846" w:type="dxa"/>
            <w:tcBorders>
              <w:top w:val="single" w:sz="2" w:space="0" w:color="231F20"/>
              <w:right w:val="single" w:sz="4" w:space="0" w:color="231F20"/>
            </w:tcBorders>
          </w:tcPr>
          <w:p>
            <w:pPr>
              <w:pStyle w:val="TableParagraph"/>
              <w:spacing w:line="160" w:lineRule="exact" w:before="85"/>
              <w:ind w:left="242"/>
              <w:rPr>
                <w:i/>
                <w:sz w:val="16"/>
              </w:rPr>
            </w:pPr>
            <w:r>
              <w:rPr>
                <w:i/>
                <w:color w:val="231F20"/>
                <w:sz w:val="16"/>
              </w:rPr>
              <w:t>Inflation Report</w:t>
            </w:r>
          </w:p>
        </w:tc>
      </w:tr>
      <w:tr>
        <w:trPr>
          <w:trHeight w:val="260" w:hRule="atLeast"/>
        </w:trPr>
        <w:tc>
          <w:tcPr>
            <w:tcW w:w="1949" w:type="dxa"/>
            <w:vMerge/>
            <w:tcBorders>
              <w:top w:val="nil"/>
              <w:left w:val="single" w:sz="4" w:space="0" w:color="231F20"/>
              <w:bottom w:val="single" w:sz="4" w:space="0" w:color="231F20"/>
              <w:right w:val="single" w:sz="2" w:space="0" w:color="231F20"/>
            </w:tcBorders>
          </w:tcPr>
          <w:p>
            <w:pPr>
              <w:rPr>
                <w:sz w:val="2"/>
                <w:szCs w:val="2"/>
              </w:rPr>
            </w:pPr>
          </w:p>
        </w:tc>
        <w:tc>
          <w:tcPr>
            <w:tcW w:w="1848" w:type="dxa"/>
            <w:tcBorders>
              <w:left w:val="single" w:sz="2" w:space="0" w:color="231F20"/>
            </w:tcBorders>
          </w:tcPr>
          <w:p>
            <w:pPr>
              <w:pStyle w:val="TableParagraph"/>
              <w:spacing w:line="174" w:lineRule="exact"/>
              <w:ind w:left="148"/>
              <w:rPr>
                <w:sz w:val="16"/>
              </w:rPr>
            </w:pPr>
            <w:r>
              <w:rPr>
                <w:i/>
                <w:color w:val="231F20"/>
                <w:sz w:val="16"/>
              </w:rPr>
              <w:t>Inflation Report </w:t>
            </w:r>
            <w:r>
              <w:rPr>
                <w:color w:val="231F20"/>
                <w:sz w:val="16"/>
              </w:rPr>
              <w:t>package</w:t>
            </w:r>
          </w:p>
        </w:tc>
        <w:tc>
          <w:tcPr>
            <w:tcW w:w="1821" w:type="dxa"/>
            <w:tcBorders>
              <w:right w:val="single" w:sz="2" w:space="0" w:color="231F20"/>
            </w:tcBorders>
          </w:tcPr>
          <w:p>
            <w:pPr>
              <w:pStyle w:val="TableParagraph"/>
              <w:spacing w:line="174" w:lineRule="exact"/>
              <w:ind w:left="303"/>
              <w:rPr>
                <w:sz w:val="12"/>
              </w:rPr>
            </w:pPr>
            <w:r>
              <w:rPr>
                <w:color w:val="231F20"/>
                <w:sz w:val="16"/>
              </w:rPr>
              <w:t>only </w:t>
            </w:r>
            <w:r>
              <w:rPr>
                <w:color w:val="231F20"/>
                <w:sz w:val="12"/>
              </w:rPr>
              <w:t>(1)</w:t>
            </w:r>
          </w:p>
        </w:tc>
        <w:tc>
          <w:tcPr>
            <w:tcW w:w="2100" w:type="dxa"/>
            <w:tcBorders>
              <w:left w:val="single" w:sz="2" w:space="0" w:color="231F20"/>
            </w:tcBorders>
          </w:tcPr>
          <w:p>
            <w:pPr>
              <w:pStyle w:val="TableParagraph"/>
              <w:spacing w:line="174" w:lineRule="exact"/>
              <w:ind w:left="299"/>
              <w:rPr>
                <w:sz w:val="16"/>
              </w:rPr>
            </w:pPr>
            <w:r>
              <w:rPr>
                <w:i/>
                <w:color w:val="231F20"/>
                <w:sz w:val="16"/>
              </w:rPr>
              <w:t>Inflation Report </w:t>
            </w:r>
            <w:r>
              <w:rPr>
                <w:color w:val="231F20"/>
                <w:sz w:val="16"/>
              </w:rPr>
              <w:t>package</w:t>
            </w:r>
          </w:p>
        </w:tc>
        <w:tc>
          <w:tcPr>
            <w:tcW w:w="1846" w:type="dxa"/>
            <w:tcBorders>
              <w:right w:val="single" w:sz="4" w:space="0" w:color="231F20"/>
            </w:tcBorders>
          </w:tcPr>
          <w:p>
            <w:pPr>
              <w:pStyle w:val="TableParagraph"/>
              <w:spacing w:line="174" w:lineRule="exact"/>
              <w:ind w:left="242"/>
              <w:rPr>
                <w:sz w:val="12"/>
              </w:rPr>
            </w:pPr>
            <w:r>
              <w:rPr>
                <w:color w:val="231F20"/>
                <w:sz w:val="16"/>
              </w:rPr>
              <w:t>only </w:t>
            </w:r>
            <w:r>
              <w:rPr>
                <w:color w:val="231F20"/>
                <w:sz w:val="12"/>
              </w:rPr>
              <w:t>(1)</w:t>
            </w:r>
          </w:p>
        </w:tc>
      </w:tr>
      <w:tr>
        <w:trPr>
          <w:trHeight w:val="430" w:hRule="atLeast"/>
        </w:trPr>
        <w:tc>
          <w:tcPr>
            <w:tcW w:w="1949" w:type="dxa"/>
            <w:vMerge/>
            <w:tcBorders>
              <w:top w:val="nil"/>
              <w:left w:val="single" w:sz="4" w:space="0" w:color="231F20"/>
              <w:bottom w:val="single" w:sz="4" w:space="0" w:color="231F20"/>
              <w:right w:val="single" w:sz="2" w:space="0" w:color="231F20"/>
            </w:tcBorders>
          </w:tcPr>
          <w:p>
            <w:pPr>
              <w:rPr>
                <w:sz w:val="2"/>
                <w:szCs w:val="2"/>
              </w:rPr>
            </w:pPr>
          </w:p>
        </w:tc>
        <w:tc>
          <w:tcPr>
            <w:tcW w:w="1848" w:type="dxa"/>
            <w:tcBorders>
              <w:left w:val="single" w:sz="2" w:space="0" w:color="231F20"/>
            </w:tcBorders>
          </w:tcPr>
          <w:p>
            <w:pPr>
              <w:pStyle w:val="TableParagraph"/>
              <w:tabs>
                <w:tab w:pos="1108" w:val="left" w:leader="none"/>
              </w:tabs>
              <w:spacing w:before="79"/>
              <w:ind w:left="148"/>
              <w:rPr>
                <w:sz w:val="16"/>
              </w:rPr>
            </w:pPr>
            <w:r>
              <w:rPr>
                <w:color w:val="231F20"/>
                <w:sz w:val="16"/>
              </w:rPr>
              <w:t>Annual</w:t>
              <w:tab/>
              <w:t>Single</w:t>
            </w:r>
          </w:p>
        </w:tc>
        <w:tc>
          <w:tcPr>
            <w:tcW w:w="1821" w:type="dxa"/>
            <w:tcBorders>
              <w:right w:val="single" w:sz="2" w:space="0" w:color="231F20"/>
            </w:tcBorders>
          </w:tcPr>
          <w:p>
            <w:pPr>
              <w:pStyle w:val="TableParagraph"/>
              <w:tabs>
                <w:tab w:pos="1038" w:val="left" w:leader="none"/>
              </w:tabs>
              <w:spacing w:before="79"/>
              <w:ind w:left="183"/>
              <w:rPr>
                <w:sz w:val="16"/>
              </w:rPr>
            </w:pPr>
            <w:r>
              <w:rPr>
                <w:color w:val="231F20"/>
                <w:sz w:val="16"/>
              </w:rPr>
              <w:t>Annual</w:t>
              <w:tab/>
              <w:t>Single</w:t>
            </w:r>
          </w:p>
        </w:tc>
        <w:tc>
          <w:tcPr>
            <w:tcW w:w="2100" w:type="dxa"/>
            <w:tcBorders>
              <w:left w:val="single" w:sz="2" w:space="0" w:color="231F20"/>
            </w:tcBorders>
          </w:tcPr>
          <w:p>
            <w:pPr>
              <w:pStyle w:val="TableParagraph"/>
              <w:tabs>
                <w:tab w:pos="1379" w:val="left" w:leader="none"/>
              </w:tabs>
              <w:spacing w:before="79"/>
              <w:ind w:left="359"/>
              <w:rPr>
                <w:sz w:val="16"/>
              </w:rPr>
            </w:pPr>
            <w:r>
              <w:rPr>
                <w:color w:val="231F20"/>
                <w:sz w:val="16"/>
              </w:rPr>
              <w:t>Annual</w:t>
              <w:tab/>
              <w:t>Single</w:t>
            </w:r>
          </w:p>
        </w:tc>
        <w:tc>
          <w:tcPr>
            <w:tcW w:w="1846" w:type="dxa"/>
            <w:tcBorders>
              <w:right w:val="single" w:sz="4" w:space="0" w:color="231F20"/>
            </w:tcBorders>
          </w:tcPr>
          <w:p>
            <w:pPr>
              <w:pStyle w:val="TableParagraph"/>
              <w:tabs>
                <w:tab w:pos="962" w:val="left" w:leader="none"/>
              </w:tabs>
              <w:spacing w:before="79"/>
              <w:ind w:left="222"/>
              <w:rPr>
                <w:sz w:val="16"/>
              </w:rPr>
            </w:pPr>
            <w:r>
              <w:rPr>
                <w:color w:val="231F20"/>
                <w:sz w:val="16"/>
              </w:rPr>
              <w:t>Annual</w:t>
              <w:tab/>
              <w:t>Single</w:t>
            </w:r>
          </w:p>
        </w:tc>
      </w:tr>
      <w:tr>
        <w:trPr>
          <w:trHeight w:val="420" w:hRule="atLeast"/>
        </w:trPr>
        <w:tc>
          <w:tcPr>
            <w:tcW w:w="1949" w:type="dxa"/>
            <w:vMerge/>
            <w:tcBorders>
              <w:top w:val="nil"/>
              <w:left w:val="single" w:sz="4" w:space="0" w:color="231F20"/>
              <w:bottom w:val="single" w:sz="4" w:space="0" w:color="231F20"/>
              <w:right w:val="single" w:sz="2" w:space="0" w:color="231F20"/>
            </w:tcBorders>
          </w:tcPr>
          <w:p>
            <w:pPr>
              <w:rPr>
                <w:sz w:val="2"/>
                <w:szCs w:val="2"/>
              </w:rPr>
            </w:pPr>
          </w:p>
        </w:tc>
        <w:tc>
          <w:tcPr>
            <w:tcW w:w="1848" w:type="dxa"/>
            <w:tcBorders>
              <w:left w:val="single" w:sz="2" w:space="0" w:color="231F20"/>
            </w:tcBorders>
          </w:tcPr>
          <w:p>
            <w:pPr>
              <w:pStyle w:val="TableParagraph"/>
              <w:tabs>
                <w:tab w:pos="1056" w:val="left" w:leader="none"/>
              </w:tabs>
              <w:spacing w:before="159"/>
              <w:ind w:left="188"/>
              <w:rPr>
                <w:sz w:val="16"/>
              </w:rPr>
            </w:pPr>
            <w:r>
              <w:rPr>
                <w:color w:val="231F20"/>
                <w:sz w:val="16"/>
              </w:rPr>
              <w:t>£40.00</w:t>
              <w:tab/>
              <w:t>£10.00</w:t>
            </w:r>
          </w:p>
        </w:tc>
        <w:tc>
          <w:tcPr>
            <w:tcW w:w="1821" w:type="dxa"/>
            <w:tcBorders>
              <w:right w:val="single" w:sz="2" w:space="0" w:color="231F20"/>
            </w:tcBorders>
          </w:tcPr>
          <w:p>
            <w:pPr>
              <w:pStyle w:val="TableParagraph"/>
              <w:tabs>
                <w:tab w:pos="1062" w:val="left" w:leader="none"/>
              </w:tabs>
              <w:spacing w:before="159"/>
              <w:ind w:left="118"/>
              <w:rPr>
                <w:sz w:val="16"/>
              </w:rPr>
            </w:pPr>
            <w:r>
              <w:rPr>
                <w:color w:val="231F20"/>
                <w:sz w:val="16"/>
              </w:rPr>
              <w:t>£12.00</w:t>
              <w:tab/>
              <w:t>£3.00</w:t>
            </w:r>
          </w:p>
        </w:tc>
        <w:tc>
          <w:tcPr>
            <w:tcW w:w="2100" w:type="dxa"/>
            <w:tcBorders>
              <w:left w:val="single" w:sz="2" w:space="0" w:color="231F20"/>
            </w:tcBorders>
          </w:tcPr>
          <w:p>
            <w:pPr>
              <w:pStyle w:val="TableParagraph"/>
              <w:tabs>
                <w:tab w:pos="1376" w:val="left" w:leader="none"/>
              </w:tabs>
              <w:spacing w:before="159"/>
              <w:ind w:left="519"/>
              <w:rPr>
                <w:sz w:val="16"/>
              </w:rPr>
            </w:pPr>
            <w:r>
              <w:rPr>
                <w:color w:val="231F20"/>
                <w:sz w:val="16"/>
              </w:rPr>
              <w:t>£40.00</w:t>
              <w:tab/>
              <w:t>£10.00</w:t>
            </w:r>
          </w:p>
        </w:tc>
        <w:tc>
          <w:tcPr>
            <w:tcW w:w="1846" w:type="dxa"/>
            <w:tcBorders>
              <w:right w:val="single" w:sz="4" w:space="0" w:color="231F20"/>
            </w:tcBorders>
          </w:tcPr>
          <w:p>
            <w:pPr>
              <w:pStyle w:val="TableParagraph"/>
              <w:tabs>
                <w:tab w:pos="1041" w:val="left" w:leader="none"/>
              </w:tabs>
              <w:spacing w:before="159"/>
              <w:ind w:left="262"/>
              <w:rPr>
                <w:sz w:val="16"/>
              </w:rPr>
            </w:pPr>
            <w:r>
              <w:rPr>
                <w:color w:val="231F20"/>
                <w:sz w:val="16"/>
              </w:rPr>
              <w:t>£12.00</w:t>
              <w:tab/>
              <w:t>£3.00</w:t>
            </w:r>
          </w:p>
        </w:tc>
      </w:tr>
      <w:tr>
        <w:trPr>
          <w:trHeight w:val="250" w:hRule="atLeast"/>
        </w:trPr>
        <w:tc>
          <w:tcPr>
            <w:tcW w:w="1949" w:type="dxa"/>
            <w:vMerge/>
            <w:tcBorders>
              <w:top w:val="nil"/>
              <w:left w:val="single" w:sz="4" w:space="0" w:color="231F20"/>
              <w:bottom w:val="single" w:sz="4" w:space="0" w:color="231F20"/>
              <w:right w:val="single" w:sz="2" w:space="0" w:color="231F20"/>
            </w:tcBorders>
          </w:tcPr>
          <w:p>
            <w:pPr>
              <w:rPr>
                <w:sz w:val="2"/>
                <w:szCs w:val="2"/>
              </w:rPr>
            </w:pPr>
          </w:p>
        </w:tc>
        <w:tc>
          <w:tcPr>
            <w:tcW w:w="1848" w:type="dxa"/>
            <w:tcBorders>
              <w:left w:val="single" w:sz="2" w:space="0" w:color="231F20"/>
            </w:tcBorders>
          </w:tcPr>
          <w:p>
            <w:pPr>
              <w:pStyle w:val="TableParagraph"/>
              <w:tabs>
                <w:tab w:pos="1136" w:val="left" w:leader="none"/>
              </w:tabs>
              <w:spacing w:line="160" w:lineRule="exact" w:before="69"/>
              <w:ind w:left="188"/>
              <w:rPr>
                <w:i/>
                <w:sz w:val="16"/>
              </w:rPr>
            </w:pPr>
            <w:r>
              <w:rPr>
                <w:i/>
                <w:color w:val="231F20"/>
                <w:sz w:val="16"/>
              </w:rPr>
              <w:t>£27.00</w:t>
              <w:tab/>
              <w:t>£6.75</w:t>
            </w:r>
          </w:p>
        </w:tc>
        <w:tc>
          <w:tcPr>
            <w:tcW w:w="1821" w:type="dxa"/>
            <w:tcBorders>
              <w:right w:val="single" w:sz="2" w:space="0" w:color="231F20"/>
            </w:tcBorders>
          </w:tcPr>
          <w:p>
            <w:pPr>
              <w:pStyle w:val="TableParagraph"/>
              <w:tabs>
                <w:tab w:pos="1062" w:val="left" w:leader="none"/>
              </w:tabs>
              <w:spacing w:line="160" w:lineRule="exact" w:before="69"/>
              <w:ind w:left="198"/>
              <w:rPr>
                <w:i/>
                <w:sz w:val="16"/>
              </w:rPr>
            </w:pPr>
            <w:r>
              <w:rPr>
                <w:i/>
                <w:color w:val="231F20"/>
                <w:sz w:val="16"/>
              </w:rPr>
              <w:t>£8.00</w:t>
              <w:tab/>
              <w:t>£2.00</w:t>
            </w:r>
          </w:p>
        </w:tc>
        <w:tc>
          <w:tcPr>
            <w:tcW w:w="2100" w:type="dxa"/>
            <w:tcBorders>
              <w:left w:val="single" w:sz="2" w:space="0" w:color="231F20"/>
            </w:tcBorders>
          </w:tcPr>
          <w:p>
            <w:pPr>
              <w:pStyle w:val="TableParagraph"/>
              <w:tabs>
                <w:tab w:pos="1416" w:val="left" w:leader="none"/>
              </w:tabs>
              <w:spacing w:line="160" w:lineRule="exact" w:before="69"/>
              <w:ind w:left="519"/>
              <w:rPr>
                <w:i/>
                <w:sz w:val="16"/>
              </w:rPr>
            </w:pPr>
            <w:r>
              <w:rPr>
                <w:i/>
                <w:color w:val="231F20"/>
                <w:sz w:val="16"/>
              </w:rPr>
              <w:t>£27.00</w:t>
              <w:tab/>
              <w:t>£6.75</w:t>
            </w:r>
          </w:p>
        </w:tc>
        <w:tc>
          <w:tcPr>
            <w:tcW w:w="1846" w:type="dxa"/>
            <w:tcBorders>
              <w:right w:val="single" w:sz="4" w:space="0" w:color="231F20"/>
            </w:tcBorders>
          </w:tcPr>
          <w:p>
            <w:pPr>
              <w:pStyle w:val="TableParagraph"/>
              <w:tabs>
                <w:tab w:pos="1041" w:val="left" w:leader="none"/>
              </w:tabs>
              <w:spacing w:line="160" w:lineRule="exact" w:before="69"/>
              <w:ind w:left="302"/>
              <w:rPr>
                <w:i/>
                <w:sz w:val="16"/>
              </w:rPr>
            </w:pPr>
            <w:r>
              <w:rPr>
                <w:i/>
                <w:color w:val="231F20"/>
                <w:sz w:val="16"/>
              </w:rPr>
              <w:t>£8.00</w:t>
              <w:tab/>
              <w:t>£2.00</w:t>
            </w:r>
          </w:p>
        </w:tc>
      </w:tr>
      <w:tr>
        <w:trPr>
          <w:trHeight w:val="430" w:hRule="atLeast"/>
        </w:trPr>
        <w:tc>
          <w:tcPr>
            <w:tcW w:w="1949" w:type="dxa"/>
            <w:vMerge/>
            <w:tcBorders>
              <w:top w:val="nil"/>
              <w:left w:val="single" w:sz="4" w:space="0" w:color="231F20"/>
              <w:bottom w:val="single" w:sz="4" w:space="0" w:color="231F20"/>
              <w:right w:val="single" w:sz="2" w:space="0" w:color="231F20"/>
            </w:tcBorders>
          </w:tcPr>
          <w:p>
            <w:pPr>
              <w:rPr>
                <w:sz w:val="2"/>
                <w:szCs w:val="2"/>
              </w:rPr>
            </w:pPr>
          </w:p>
        </w:tc>
        <w:tc>
          <w:tcPr>
            <w:tcW w:w="1848" w:type="dxa"/>
            <w:tcBorders>
              <w:left w:val="single" w:sz="2" w:space="0" w:color="231F20"/>
            </w:tcBorders>
          </w:tcPr>
          <w:p>
            <w:pPr>
              <w:pStyle w:val="TableParagraph"/>
              <w:tabs>
                <w:tab w:pos="1136" w:val="left" w:leader="none"/>
              </w:tabs>
              <w:spacing w:line="174" w:lineRule="exact"/>
              <w:ind w:left="188"/>
              <w:rPr>
                <w:i/>
                <w:sz w:val="16"/>
              </w:rPr>
            </w:pPr>
            <w:r>
              <w:rPr>
                <w:i/>
                <w:color w:val="231F20"/>
                <w:sz w:val="16"/>
              </w:rPr>
              <w:t>£14.00</w:t>
              <w:tab/>
              <w:t>£3.50</w:t>
            </w:r>
          </w:p>
        </w:tc>
        <w:tc>
          <w:tcPr>
            <w:tcW w:w="1821" w:type="dxa"/>
            <w:tcBorders>
              <w:right w:val="single" w:sz="2" w:space="0" w:color="231F20"/>
            </w:tcBorders>
          </w:tcPr>
          <w:p>
            <w:pPr>
              <w:pStyle w:val="TableParagraph"/>
              <w:tabs>
                <w:tab w:pos="1062" w:val="left" w:leader="none"/>
              </w:tabs>
              <w:spacing w:line="174" w:lineRule="exact"/>
              <w:ind w:left="198"/>
              <w:rPr>
                <w:i/>
                <w:sz w:val="16"/>
              </w:rPr>
            </w:pPr>
            <w:r>
              <w:rPr>
                <w:i/>
                <w:color w:val="231F20"/>
                <w:sz w:val="16"/>
              </w:rPr>
              <w:t>£4.50</w:t>
              <w:tab/>
              <w:t>£1.50</w:t>
            </w:r>
          </w:p>
        </w:tc>
        <w:tc>
          <w:tcPr>
            <w:tcW w:w="2100" w:type="dxa"/>
            <w:tcBorders>
              <w:left w:val="single" w:sz="2" w:space="0" w:color="231F20"/>
            </w:tcBorders>
          </w:tcPr>
          <w:p>
            <w:pPr>
              <w:pStyle w:val="TableParagraph"/>
              <w:tabs>
                <w:tab w:pos="1416" w:val="left" w:leader="none"/>
              </w:tabs>
              <w:spacing w:line="174" w:lineRule="exact"/>
              <w:ind w:left="519"/>
              <w:rPr>
                <w:i/>
                <w:sz w:val="16"/>
              </w:rPr>
            </w:pPr>
            <w:r>
              <w:rPr>
                <w:i/>
                <w:color w:val="231F20"/>
                <w:sz w:val="16"/>
              </w:rPr>
              <w:t>£14.00</w:t>
              <w:tab/>
              <w:t>£3.50</w:t>
            </w:r>
          </w:p>
        </w:tc>
        <w:tc>
          <w:tcPr>
            <w:tcW w:w="1846" w:type="dxa"/>
            <w:tcBorders>
              <w:right w:val="single" w:sz="4" w:space="0" w:color="231F20"/>
            </w:tcBorders>
          </w:tcPr>
          <w:p>
            <w:pPr>
              <w:pStyle w:val="TableParagraph"/>
              <w:tabs>
                <w:tab w:pos="1041" w:val="left" w:leader="none"/>
              </w:tabs>
              <w:spacing w:line="174" w:lineRule="exact"/>
              <w:ind w:left="302"/>
              <w:rPr>
                <w:i/>
                <w:sz w:val="16"/>
              </w:rPr>
            </w:pPr>
            <w:r>
              <w:rPr>
                <w:i/>
                <w:color w:val="231F20"/>
                <w:sz w:val="16"/>
              </w:rPr>
              <w:t>£4.50</w:t>
              <w:tab/>
              <w:t>£1.50</w:t>
            </w:r>
          </w:p>
        </w:tc>
      </w:tr>
      <w:tr>
        <w:trPr>
          <w:trHeight w:val="600" w:hRule="atLeast"/>
        </w:trPr>
        <w:tc>
          <w:tcPr>
            <w:tcW w:w="1949" w:type="dxa"/>
            <w:vMerge/>
            <w:tcBorders>
              <w:top w:val="nil"/>
              <w:left w:val="single" w:sz="4" w:space="0" w:color="231F20"/>
              <w:bottom w:val="single" w:sz="4" w:space="0" w:color="231F20"/>
              <w:right w:val="single" w:sz="2" w:space="0" w:color="231F20"/>
            </w:tcBorders>
          </w:tcPr>
          <w:p>
            <w:pPr>
              <w:rPr>
                <w:sz w:val="2"/>
                <w:szCs w:val="2"/>
              </w:rPr>
            </w:pPr>
          </w:p>
        </w:tc>
        <w:tc>
          <w:tcPr>
            <w:tcW w:w="1848" w:type="dxa"/>
            <w:tcBorders>
              <w:left w:val="single" w:sz="2" w:space="0" w:color="231F20"/>
            </w:tcBorders>
          </w:tcPr>
          <w:p>
            <w:pPr>
              <w:pStyle w:val="TableParagraph"/>
              <w:spacing w:before="8"/>
              <w:rPr>
                <w:sz w:val="21"/>
              </w:rPr>
            </w:pPr>
          </w:p>
          <w:p>
            <w:pPr>
              <w:pStyle w:val="TableParagraph"/>
              <w:tabs>
                <w:tab w:pos="1056" w:val="left" w:leader="none"/>
              </w:tabs>
              <w:ind w:left="188"/>
              <w:rPr>
                <w:sz w:val="16"/>
              </w:rPr>
            </w:pPr>
            <w:r>
              <w:rPr>
                <w:color w:val="231F20"/>
                <w:sz w:val="16"/>
              </w:rPr>
              <w:t>£48.00</w:t>
              <w:tab/>
              <w:t>£12.00</w:t>
            </w:r>
          </w:p>
        </w:tc>
        <w:tc>
          <w:tcPr>
            <w:tcW w:w="1821" w:type="dxa"/>
            <w:tcBorders>
              <w:right w:val="single" w:sz="2" w:space="0" w:color="231F20"/>
            </w:tcBorders>
          </w:tcPr>
          <w:p>
            <w:pPr>
              <w:pStyle w:val="TableParagraph"/>
              <w:spacing w:before="8"/>
              <w:rPr>
                <w:sz w:val="21"/>
              </w:rPr>
            </w:pPr>
          </w:p>
          <w:p>
            <w:pPr>
              <w:pStyle w:val="TableParagraph"/>
              <w:tabs>
                <w:tab w:pos="1063" w:val="left" w:leader="none"/>
              </w:tabs>
              <w:ind w:left="118"/>
              <w:rPr>
                <w:sz w:val="16"/>
              </w:rPr>
            </w:pPr>
            <w:r>
              <w:rPr>
                <w:color w:val="231F20"/>
                <w:sz w:val="16"/>
              </w:rPr>
              <w:t>£14.00</w:t>
              <w:tab/>
              <w:t>£3.50</w:t>
            </w:r>
          </w:p>
        </w:tc>
        <w:tc>
          <w:tcPr>
            <w:tcW w:w="2100" w:type="dxa"/>
            <w:tcBorders>
              <w:left w:val="single" w:sz="2" w:space="0" w:color="231F20"/>
            </w:tcBorders>
          </w:tcPr>
          <w:p>
            <w:pPr>
              <w:pStyle w:val="TableParagraph"/>
              <w:spacing w:before="8"/>
              <w:rPr>
                <w:sz w:val="21"/>
              </w:rPr>
            </w:pPr>
          </w:p>
          <w:p>
            <w:pPr>
              <w:pStyle w:val="TableParagraph"/>
              <w:tabs>
                <w:tab w:pos="1376" w:val="left" w:leader="none"/>
              </w:tabs>
              <w:ind w:left="519"/>
              <w:rPr>
                <w:sz w:val="16"/>
              </w:rPr>
            </w:pPr>
            <w:r>
              <w:rPr>
                <w:color w:val="231F20"/>
                <w:sz w:val="16"/>
              </w:rPr>
              <w:t>£48.00</w:t>
              <w:tab/>
              <w:t>£12.00</w:t>
            </w:r>
          </w:p>
        </w:tc>
        <w:tc>
          <w:tcPr>
            <w:tcW w:w="1846" w:type="dxa"/>
            <w:tcBorders>
              <w:right w:val="single" w:sz="4" w:space="0" w:color="231F20"/>
            </w:tcBorders>
          </w:tcPr>
          <w:p>
            <w:pPr>
              <w:pStyle w:val="TableParagraph"/>
              <w:spacing w:before="8"/>
              <w:rPr>
                <w:sz w:val="21"/>
              </w:rPr>
            </w:pPr>
          </w:p>
          <w:p>
            <w:pPr>
              <w:pStyle w:val="TableParagraph"/>
              <w:tabs>
                <w:tab w:pos="1042" w:val="left" w:leader="none"/>
              </w:tabs>
              <w:ind w:left="262"/>
              <w:rPr>
                <w:sz w:val="16"/>
              </w:rPr>
            </w:pPr>
            <w:r>
              <w:rPr>
                <w:color w:val="231F20"/>
                <w:sz w:val="16"/>
              </w:rPr>
              <w:t>£14.00</w:t>
              <w:tab/>
              <w:t>£3.50</w:t>
            </w:r>
          </w:p>
        </w:tc>
      </w:tr>
      <w:tr>
        <w:trPr>
          <w:trHeight w:val="420" w:hRule="atLeast"/>
        </w:trPr>
        <w:tc>
          <w:tcPr>
            <w:tcW w:w="1949" w:type="dxa"/>
            <w:vMerge/>
            <w:tcBorders>
              <w:top w:val="nil"/>
              <w:left w:val="single" w:sz="4" w:space="0" w:color="231F20"/>
              <w:bottom w:val="single" w:sz="4" w:space="0" w:color="231F20"/>
              <w:right w:val="single" w:sz="2" w:space="0" w:color="231F20"/>
            </w:tcBorders>
          </w:tcPr>
          <w:p>
            <w:pPr>
              <w:rPr>
                <w:sz w:val="2"/>
                <w:szCs w:val="2"/>
              </w:rPr>
            </w:pPr>
          </w:p>
        </w:tc>
        <w:tc>
          <w:tcPr>
            <w:tcW w:w="1848" w:type="dxa"/>
            <w:tcBorders>
              <w:left w:val="single" w:sz="2" w:space="0" w:color="231F20"/>
            </w:tcBorders>
          </w:tcPr>
          <w:p>
            <w:pPr>
              <w:pStyle w:val="TableParagraph"/>
              <w:tabs>
                <w:tab w:pos="1056" w:val="left" w:leader="none"/>
              </w:tabs>
              <w:spacing w:before="159"/>
              <w:ind w:left="188"/>
              <w:rPr>
                <w:sz w:val="16"/>
              </w:rPr>
            </w:pPr>
            <w:r>
              <w:rPr>
                <w:color w:val="231F20"/>
                <w:sz w:val="16"/>
              </w:rPr>
              <w:t>£48.00</w:t>
              <w:tab/>
              <w:t>£12.00</w:t>
            </w:r>
          </w:p>
        </w:tc>
        <w:tc>
          <w:tcPr>
            <w:tcW w:w="1821" w:type="dxa"/>
            <w:tcBorders>
              <w:right w:val="single" w:sz="2" w:space="0" w:color="231F20"/>
            </w:tcBorders>
          </w:tcPr>
          <w:p>
            <w:pPr>
              <w:pStyle w:val="TableParagraph"/>
              <w:tabs>
                <w:tab w:pos="1063" w:val="left" w:leader="none"/>
              </w:tabs>
              <w:spacing w:before="159"/>
              <w:ind w:left="118"/>
              <w:rPr>
                <w:sz w:val="16"/>
              </w:rPr>
            </w:pPr>
            <w:r>
              <w:rPr>
                <w:color w:val="231F20"/>
                <w:sz w:val="16"/>
              </w:rPr>
              <w:t>£14.00</w:t>
              <w:tab/>
              <w:t>£3.50</w:t>
            </w:r>
          </w:p>
        </w:tc>
        <w:tc>
          <w:tcPr>
            <w:tcW w:w="2100" w:type="dxa"/>
            <w:tcBorders>
              <w:left w:val="single" w:sz="2" w:space="0" w:color="231F20"/>
            </w:tcBorders>
          </w:tcPr>
          <w:p>
            <w:pPr>
              <w:pStyle w:val="TableParagraph"/>
              <w:tabs>
                <w:tab w:pos="1376" w:val="left" w:leader="none"/>
              </w:tabs>
              <w:spacing w:before="159"/>
              <w:ind w:left="519"/>
              <w:rPr>
                <w:sz w:val="16"/>
              </w:rPr>
            </w:pPr>
            <w:r>
              <w:rPr>
                <w:color w:val="231F20"/>
                <w:sz w:val="16"/>
              </w:rPr>
              <w:t>£48.00</w:t>
              <w:tab/>
              <w:t>£12.00</w:t>
            </w:r>
          </w:p>
        </w:tc>
        <w:tc>
          <w:tcPr>
            <w:tcW w:w="1846" w:type="dxa"/>
            <w:tcBorders>
              <w:right w:val="single" w:sz="4" w:space="0" w:color="231F20"/>
            </w:tcBorders>
          </w:tcPr>
          <w:p>
            <w:pPr>
              <w:pStyle w:val="TableParagraph"/>
              <w:tabs>
                <w:tab w:pos="1042" w:val="left" w:leader="none"/>
              </w:tabs>
              <w:spacing w:before="159"/>
              <w:ind w:left="262"/>
              <w:rPr>
                <w:sz w:val="16"/>
              </w:rPr>
            </w:pPr>
            <w:r>
              <w:rPr>
                <w:color w:val="231F20"/>
                <w:sz w:val="16"/>
              </w:rPr>
              <w:t>£14.00</w:t>
              <w:tab/>
              <w:t>£3.50</w:t>
            </w:r>
          </w:p>
        </w:tc>
      </w:tr>
      <w:tr>
        <w:trPr>
          <w:trHeight w:val="330" w:hRule="atLeast"/>
        </w:trPr>
        <w:tc>
          <w:tcPr>
            <w:tcW w:w="1949" w:type="dxa"/>
            <w:vMerge/>
            <w:tcBorders>
              <w:top w:val="nil"/>
              <w:left w:val="single" w:sz="4" w:space="0" w:color="231F20"/>
              <w:bottom w:val="single" w:sz="4" w:space="0" w:color="231F20"/>
              <w:right w:val="single" w:sz="2" w:space="0" w:color="231F20"/>
            </w:tcBorders>
          </w:tcPr>
          <w:p>
            <w:pPr>
              <w:rPr>
                <w:sz w:val="2"/>
                <w:szCs w:val="2"/>
              </w:rPr>
            </w:pPr>
          </w:p>
        </w:tc>
        <w:tc>
          <w:tcPr>
            <w:tcW w:w="1848" w:type="dxa"/>
            <w:tcBorders>
              <w:left w:val="single" w:sz="2" w:space="0" w:color="231F20"/>
            </w:tcBorders>
          </w:tcPr>
          <w:p>
            <w:pPr>
              <w:pStyle w:val="TableParagraph"/>
              <w:tabs>
                <w:tab w:pos="1056" w:val="left" w:leader="none"/>
              </w:tabs>
              <w:spacing w:before="69"/>
              <w:ind w:left="188"/>
              <w:rPr>
                <w:sz w:val="16"/>
              </w:rPr>
            </w:pPr>
            <w:r>
              <w:rPr>
                <w:color w:val="231F20"/>
                <w:sz w:val="16"/>
              </w:rPr>
              <w:t>£64.00</w:t>
              <w:tab/>
              <w:t>£16.00</w:t>
            </w:r>
          </w:p>
        </w:tc>
        <w:tc>
          <w:tcPr>
            <w:tcW w:w="1821" w:type="dxa"/>
            <w:tcBorders>
              <w:right w:val="single" w:sz="2" w:space="0" w:color="231F20"/>
            </w:tcBorders>
          </w:tcPr>
          <w:p>
            <w:pPr>
              <w:pStyle w:val="TableParagraph"/>
              <w:tabs>
                <w:tab w:pos="1062" w:val="left" w:leader="none"/>
              </w:tabs>
              <w:spacing w:before="69"/>
              <w:ind w:left="118"/>
              <w:rPr>
                <w:sz w:val="16"/>
              </w:rPr>
            </w:pPr>
            <w:r>
              <w:rPr>
                <w:color w:val="231F20"/>
                <w:sz w:val="16"/>
              </w:rPr>
              <w:t>£21.00</w:t>
              <w:tab/>
              <w:t>£5.25</w:t>
            </w:r>
          </w:p>
        </w:tc>
        <w:tc>
          <w:tcPr>
            <w:tcW w:w="2100" w:type="dxa"/>
            <w:tcBorders>
              <w:left w:val="single" w:sz="2" w:space="0" w:color="231F20"/>
            </w:tcBorders>
          </w:tcPr>
          <w:p>
            <w:pPr>
              <w:pStyle w:val="TableParagraph"/>
              <w:tabs>
                <w:tab w:pos="1376" w:val="left" w:leader="none"/>
              </w:tabs>
              <w:spacing w:before="69"/>
              <w:ind w:left="519"/>
              <w:rPr>
                <w:sz w:val="16"/>
              </w:rPr>
            </w:pPr>
            <w:r>
              <w:rPr>
                <w:color w:val="231F20"/>
                <w:sz w:val="16"/>
              </w:rPr>
              <w:t>£64.00</w:t>
              <w:tab/>
              <w:t>£16.00</w:t>
            </w:r>
          </w:p>
        </w:tc>
        <w:tc>
          <w:tcPr>
            <w:tcW w:w="1846" w:type="dxa"/>
            <w:tcBorders>
              <w:right w:val="single" w:sz="4" w:space="0" w:color="231F20"/>
            </w:tcBorders>
          </w:tcPr>
          <w:p>
            <w:pPr>
              <w:pStyle w:val="TableParagraph"/>
              <w:tabs>
                <w:tab w:pos="1041" w:val="left" w:leader="none"/>
              </w:tabs>
              <w:spacing w:before="69"/>
              <w:ind w:left="262"/>
              <w:rPr>
                <w:sz w:val="16"/>
              </w:rPr>
            </w:pPr>
            <w:r>
              <w:rPr>
                <w:color w:val="231F20"/>
                <w:sz w:val="16"/>
              </w:rPr>
              <w:t>£21.00</w:t>
              <w:tab/>
              <w:t>£5.25</w:t>
            </w:r>
          </w:p>
        </w:tc>
      </w:tr>
      <w:tr>
        <w:trPr>
          <w:trHeight w:val="347" w:hRule="atLeast"/>
        </w:trPr>
        <w:tc>
          <w:tcPr>
            <w:tcW w:w="1949" w:type="dxa"/>
            <w:vMerge/>
            <w:tcBorders>
              <w:top w:val="nil"/>
              <w:left w:val="single" w:sz="4" w:space="0" w:color="231F20"/>
              <w:bottom w:val="single" w:sz="4" w:space="0" w:color="231F20"/>
              <w:right w:val="single" w:sz="2" w:space="0" w:color="231F20"/>
            </w:tcBorders>
          </w:tcPr>
          <w:p>
            <w:pPr>
              <w:rPr>
                <w:sz w:val="2"/>
                <w:szCs w:val="2"/>
              </w:rPr>
            </w:pPr>
          </w:p>
        </w:tc>
        <w:tc>
          <w:tcPr>
            <w:tcW w:w="1848" w:type="dxa"/>
            <w:tcBorders>
              <w:left w:val="single" w:sz="2" w:space="0" w:color="231F20"/>
              <w:bottom w:val="single" w:sz="4" w:space="0" w:color="231F20"/>
            </w:tcBorders>
          </w:tcPr>
          <w:p>
            <w:pPr>
              <w:pStyle w:val="TableParagraph"/>
              <w:tabs>
                <w:tab w:pos="1056" w:val="left" w:leader="none"/>
              </w:tabs>
              <w:spacing w:before="69"/>
              <w:ind w:left="188"/>
              <w:rPr>
                <w:sz w:val="16"/>
              </w:rPr>
            </w:pPr>
            <w:r>
              <w:rPr>
                <w:color w:val="231F20"/>
                <w:sz w:val="16"/>
              </w:rPr>
              <w:t>£66.00</w:t>
              <w:tab/>
              <w:t>£16.50</w:t>
            </w:r>
          </w:p>
        </w:tc>
        <w:tc>
          <w:tcPr>
            <w:tcW w:w="1821" w:type="dxa"/>
            <w:tcBorders>
              <w:bottom w:val="single" w:sz="4" w:space="0" w:color="231F20"/>
              <w:right w:val="single" w:sz="2" w:space="0" w:color="231F20"/>
            </w:tcBorders>
          </w:tcPr>
          <w:p>
            <w:pPr>
              <w:pStyle w:val="TableParagraph"/>
              <w:tabs>
                <w:tab w:pos="1062" w:val="left" w:leader="none"/>
              </w:tabs>
              <w:spacing w:before="69"/>
              <w:ind w:left="118"/>
              <w:rPr>
                <w:sz w:val="16"/>
              </w:rPr>
            </w:pPr>
            <w:r>
              <w:rPr>
                <w:color w:val="231F20"/>
                <w:sz w:val="16"/>
              </w:rPr>
              <w:t>£22.00</w:t>
              <w:tab/>
              <w:t>£5.50</w:t>
            </w:r>
          </w:p>
        </w:tc>
        <w:tc>
          <w:tcPr>
            <w:tcW w:w="2100" w:type="dxa"/>
            <w:tcBorders>
              <w:left w:val="single" w:sz="2" w:space="0" w:color="231F20"/>
              <w:bottom w:val="single" w:sz="4" w:space="0" w:color="231F20"/>
            </w:tcBorders>
          </w:tcPr>
          <w:p>
            <w:pPr>
              <w:pStyle w:val="TableParagraph"/>
              <w:tabs>
                <w:tab w:pos="1376" w:val="left" w:leader="none"/>
              </w:tabs>
              <w:spacing w:before="69"/>
              <w:ind w:left="519"/>
              <w:rPr>
                <w:sz w:val="16"/>
              </w:rPr>
            </w:pPr>
            <w:r>
              <w:rPr>
                <w:color w:val="231F20"/>
                <w:sz w:val="16"/>
              </w:rPr>
              <w:t>£66.00</w:t>
              <w:tab/>
              <w:t>£16.50</w:t>
            </w:r>
          </w:p>
        </w:tc>
        <w:tc>
          <w:tcPr>
            <w:tcW w:w="1846" w:type="dxa"/>
            <w:tcBorders>
              <w:bottom w:val="single" w:sz="4" w:space="0" w:color="231F20"/>
              <w:right w:val="single" w:sz="4" w:space="0" w:color="231F20"/>
            </w:tcBorders>
          </w:tcPr>
          <w:p>
            <w:pPr>
              <w:pStyle w:val="TableParagraph"/>
              <w:tabs>
                <w:tab w:pos="1041" w:val="left" w:leader="none"/>
              </w:tabs>
              <w:spacing w:before="69"/>
              <w:ind w:left="262"/>
              <w:rPr>
                <w:sz w:val="16"/>
              </w:rPr>
            </w:pPr>
            <w:r>
              <w:rPr>
                <w:color w:val="231F20"/>
                <w:sz w:val="16"/>
              </w:rPr>
              <w:t>£22.00</w:t>
              <w:tab/>
              <w:t>£5.50</w:t>
            </w:r>
          </w:p>
        </w:tc>
      </w:tr>
    </w:tbl>
    <w:p>
      <w:pPr>
        <w:pStyle w:val="ListParagraph"/>
        <w:numPr>
          <w:ilvl w:val="0"/>
          <w:numId w:val="52"/>
        </w:numPr>
        <w:tabs>
          <w:tab w:pos="426" w:val="left" w:leader="none"/>
        </w:tabs>
        <w:spacing w:line="150" w:lineRule="exact" w:before="11" w:after="0"/>
        <w:ind w:left="425" w:right="0" w:hanging="225"/>
        <w:jc w:val="left"/>
        <w:rPr>
          <w:sz w:val="14"/>
        </w:rPr>
      </w:pPr>
      <w:r>
        <w:rPr>
          <w:color w:val="231F20"/>
          <w:sz w:val="14"/>
        </w:rPr>
        <w:t>There is a 25% discount if five copies or more are purchased.</w:t>
      </w:r>
    </w:p>
    <w:p>
      <w:pPr>
        <w:pStyle w:val="ListParagraph"/>
        <w:numPr>
          <w:ilvl w:val="0"/>
          <w:numId w:val="52"/>
        </w:numPr>
        <w:tabs>
          <w:tab w:pos="426" w:val="left" w:leader="none"/>
        </w:tabs>
        <w:spacing w:line="208" w:lineRule="auto" w:before="6" w:after="0"/>
        <w:ind w:left="425" w:right="605" w:hanging="224"/>
        <w:jc w:val="left"/>
        <w:rPr>
          <w:sz w:val="14"/>
        </w:rPr>
      </w:pPr>
      <w:r>
        <w:rPr>
          <w:color w:val="231F20"/>
          <w:sz w:val="14"/>
        </w:rPr>
        <w:t>Subscribers who wish to collect their copy(ies) of the </w:t>
      </w:r>
      <w:r>
        <w:rPr>
          <w:i/>
          <w:color w:val="231F20"/>
          <w:sz w:val="14"/>
        </w:rPr>
        <w:t>Bulletin </w:t>
      </w:r>
      <w:r>
        <w:rPr>
          <w:color w:val="231F20"/>
          <w:sz w:val="14"/>
        </w:rPr>
        <w:t>and/or </w:t>
      </w:r>
      <w:r>
        <w:rPr>
          <w:i/>
          <w:color w:val="231F20"/>
          <w:sz w:val="14"/>
        </w:rPr>
        <w:t>Inflation Report </w:t>
      </w:r>
      <w:r>
        <w:rPr>
          <w:color w:val="231F20"/>
          <w:sz w:val="14"/>
        </w:rPr>
        <w:t>may make arrangements to do so by writing to the address given below. Copies will </w:t>
      </w:r>
      <w:r>
        <w:rPr>
          <w:color w:val="231F20"/>
          <w:spacing w:val="-7"/>
          <w:sz w:val="14"/>
        </w:rPr>
        <w:t>be </w:t>
      </w:r>
      <w:r>
        <w:rPr>
          <w:color w:val="231F20"/>
          <w:sz w:val="14"/>
        </w:rPr>
        <w:t>available to personal callers at the Bank from 10.30 am on the day of issue and from 8.30 am on the following day.</w:t>
      </w:r>
    </w:p>
    <w:p>
      <w:pPr>
        <w:pStyle w:val="ListParagraph"/>
        <w:numPr>
          <w:ilvl w:val="0"/>
          <w:numId w:val="52"/>
        </w:numPr>
        <w:tabs>
          <w:tab w:pos="426" w:val="left" w:leader="none"/>
        </w:tabs>
        <w:spacing w:line="133" w:lineRule="exact" w:before="0" w:after="0"/>
        <w:ind w:left="425" w:right="0" w:hanging="225"/>
        <w:jc w:val="left"/>
        <w:rPr>
          <w:sz w:val="14"/>
        </w:rPr>
      </w:pPr>
      <w:r>
        <w:rPr>
          <w:color w:val="231F20"/>
          <w:sz w:val="14"/>
        </w:rPr>
        <w:t>All other countries other than those in Zone 2.</w:t>
      </w:r>
    </w:p>
    <w:p>
      <w:pPr>
        <w:pStyle w:val="ListParagraph"/>
        <w:numPr>
          <w:ilvl w:val="0"/>
          <w:numId w:val="52"/>
        </w:numPr>
        <w:tabs>
          <w:tab w:pos="426" w:val="left" w:leader="none"/>
        </w:tabs>
        <w:spacing w:line="150" w:lineRule="exact" w:before="0" w:after="0"/>
        <w:ind w:left="425" w:right="0" w:hanging="225"/>
        <w:jc w:val="left"/>
        <w:rPr>
          <w:sz w:val="14"/>
        </w:rPr>
      </w:pPr>
      <w:r>
        <w:rPr>
          <w:color w:val="231F20"/>
          <w:sz w:val="14"/>
        </w:rPr>
        <w:t>Australasia, Japan, China, The Philippines and Korea.</w:t>
      </w:r>
    </w:p>
    <w:p>
      <w:pPr>
        <w:pStyle w:val="Heading8"/>
        <w:spacing w:line="249" w:lineRule="auto" w:before="143"/>
        <w:ind w:left="185" w:right="427"/>
      </w:pPr>
      <w:r>
        <w:rPr>
          <w:color w:val="231F20"/>
        </w:rPr>
        <w:t>Readers who wish to become </w:t>
      </w:r>
      <w:r>
        <w:rPr>
          <w:b/>
          <w:color w:val="231F20"/>
        </w:rPr>
        <w:t>regular subscribers</w:t>
      </w:r>
      <w:r>
        <w:rPr>
          <w:color w:val="231F20"/>
        </w:rPr>
        <w:t>, or who wish to purchase single copies, should send to the Bank, at the address given below, the appropriate remittance, payable to the Bank of England, together with full address details, including the name, or position, of recipients in companies or institutions. Existing subscribers will be invited to renew their subscriptions automatically. Copies can also be obtained over the counter at the Bank’s front entrance or at the Bank Museum in Bartholomew Lane.</w:t>
      </w:r>
    </w:p>
    <w:p>
      <w:pPr>
        <w:spacing w:line="249" w:lineRule="auto" w:before="184"/>
        <w:ind w:left="185" w:right="585" w:firstLine="0"/>
        <w:jc w:val="left"/>
        <w:rPr>
          <w:sz w:val="20"/>
        </w:rPr>
      </w:pPr>
      <w:r>
        <w:rPr>
          <w:color w:val="231F20"/>
          <w:sz w:val="20"/>
        </w:rPr>
        <w:t>The </w:t>
      </w:r>
      <w:r>
        <w:rPr>
          <w:b/>
          <w:color w:val="231F20"/>
          <w:sz w:val="20"/>
        </w:rPr>
        <w:t>concessionary rates </w:t>
      </w:r>
      <w:r>
        <w:rPr>
          <w:color w:val="231F20"/>
          <w:sz w:val="20"/>
        </w:rPr>
        <w:t>for the combined </w:t>
      </w:r>
      <w:r>
        <w:rPr>
          <w:i/>
          <w:color w:val="231F20"/>
          <w:sz w:val="20"/>
        </w:rPr>
        <w:t>Quarterly Bulletin/Inflation Report </w:t>
      </w:r>
      <w:r>
        <w:rPr>
          <w:color w:val="231F20"/>
          <w:sz w:val="20"/>
        </w:rPr>
        <w:t>package and the separate </w:t>
      </w:r>
      <w:r>
        <w:rPr>
          <w:i/>
          <w:color w:val="231F20"/>
          <w:sz w:val="20"/>
        </w:rPr>
        <w:t>Inflation Report </w:t>
      </w:r>
      <w:r>
        <w:rPr>
          <w:color w:val="231F20"/>
          <w:sz w:val="20"/>
        </w:rPr>
        <w:t>are noted above in </w:t>
      </w:r>
      <w:r>
        <w:rPr>
          <w:i/>
          <w:color w:val="231F20"/>
          <w:sz w:val="20"/>
        </w:rPr>
        <w:t>italics</w:t>
      </w:r>
      <w:r>
        <w:rPr>
          <w:color w:val="231F20"/>
          <w:sz w:val="20"/>
        </w:rPr>
        <w:t>. </w:t>
      </w:r>
      <w:r>
        <w:rPr>
          <w:b/>
          <w:color w:val="231F20"/>
          <w:sz w:val="20"/>
        </w:rPr>
        <w:t>Academics at UK institutions </w:t>
      </w:r>
      <w:r>
        <w:rPr>
          <w:color w:val="231F20"/>
          <w:sz w:val="20"/>
        </w:rPr>
        <w:t>of further and higher education are entitled to a concessionary rate. They should apply on their institution’s note paper giving details of their current post.</w:t>
      </w:r>
    </w:p>
    <w:p>
      <w:pPr>
        <w:pStyle w:val="Heading8"/>
        <w:spacing w:line="249" w:lineRule="auto" w:before="183"/>
        <w:ind w:left="185" w:right="314"/>
      </w:pPr>
      <w:r>
        <w:rPr>
          <w:color w:val="231F20"/>
        </w:rPr>
        <w:t>S</w:t>
      </w:r>
      <w:r>
        <w:rPr>
          <w:b/>
          <w:color w:val="231F20"/>
        </w:rPr>
        <w:t>tudents and secondary schools in the United Kingdom </w:t>
      </w:r>
      <w:r>
        <w:rPr>
          <w:color w:val="231F20"/>
        </w:rPr>
        <w:t>are also entitled to a concessionary rate. Requests for concessionary copies should be accompanied by an explanatory letter: students should provide details of their course and the institution at which they are studying.</w:t>
      </w:r>
    </w:p>
    <w:p>
      <w:pPr>
        <w:spacing w:line="249" w:lineRule="auto" w:before="182"/>
        <w:ind w:left="185" w:right="375" w:firstLine="0"/>
        <w:jc w:val="left"/>
        <w:rPr>
          <w:sz w:val="20"/>
        </w:rPr>
      </w:pPr>
      <w:r>
        <w:rPr>
          <w:color w:val="231F20"/>
          <w:sz w:val="20"/>
        </w:rPr>
        <w:t>The </w:t>
      </w:r>
      <w:r>
        <w:rPr>
          <w:i/>
          <w:color w:val="231F20"/>
          <w:sz w:val="20"/>
        </w:rPr>
        <w:t>Quarterly Bulletin </w:t>
      </w:r>
      <w:r>
        <w:rPr>
          <w:color w:val="231F20"/>
          <w:sz w:val="20"/>
        </w:rPr>
        <w:t>is also available on microfilm: enquiries from customers in Japan and North and South America should be addressed to University Microfilms International, 300 North Zeeb Road, Ann Arbor, Michigan 48106, United States of America; customers from all other countries should apply to White Swan House, Godstone, Surrey, RH9 8LW, telephone 01444 445000.</w:t>
      </w:r>
    </w:p>
    <w:p>
      <w:pPr>
        <w:spacing w:line="249" w:lineRule="auto" w:before="183"/>
        <w:ind w:left="185" w:right="863" w:firstLine="0"/>
        <w:jc w:val="both"/>
        <w:rPr>
          <w:sz w:val="20"/>
        </w:rPr>
      </w:pPr>
      <w:r>
        <w:rPr>
          <w:color w:val="231F20"/>
          <w:sz w:val="20"/>
        </w:rPr>
        <w:t>Bound volumes of the </w:t>
      </w:r>
      <w:r>
        <w:rPr>
          <w:i/>
          <w:color w:val="231F20"/>
          <w:sz w:val="20"/>
        </w:rPr>
        <w:t>Quarterly Bulletin </w:t>
      </w:r>
      <w:r>
        <w:rPr>
          <w:color w:val="231F20"/>
          <w:sz w:val="20"/>
        </w:rPr>
        <w:t>for the period 1960 to 1985 (in reprint form for the period 1960 to 1980) can be obtained from Schmidt Periodicals GmbH, Dettendorf, D-83075 Bad Feilnbach 2, Germany, at a price of DM 180.00 per volume or DM 4,100.00 per set.</w:t>
      </w:r>
    </w:p>
    <w:p>
      <w:pPr>
        <w:pStyle w:val="BodyText"/>
        <w:spacing w:before="7"/>
        <w:rPr>
          <w:sz w:val="17"/>
        </w:rPr>
      </w:pPr>
    </w:p>
    <w:p>
      <w:pPr>
        <w:spacing w:before="0"/>
        <w:ind w:left="185" w:right="0" w:firstLine="0"/>
        <w:jc w:val="both"/>
        <w:rPr>
          <w:b/>
          <w:sz w:val="20"/>
        </w:rPr>
      </w:pPr>
      <w:r>
        <w:rPr>
          <w:b/>
          <w:color w:val="231F20"/>
          <w:sz w:val="18"/>
        </w:rPr>
        <w:t>I</w:t>
      </w:r>
      <w:r>
        <w:rPr>
          <w:b/>
          <w:color w:val="231F20"/>
          <w:sz w:val="20"/>
        </w:rPr>
        <w:t>ssued by the Publications Group, Inflation Report Division, Bank of England, London, EC2R 8AH;</w:t>
      </w:r>
    </w:p>
    <w:p>
      <w:pPr>
        <w:spacing w:line="249" w:lineRule="auto" w:before="10"/>
        <w:ind w:left="185" w:right="398" w:firstLine="0"/>
        <w:jc w:val="both"/>
        <w:rPr>
          <w:b/>
          <w:sz w:val="20"/>
        </w:rPr>
      </w:pPr>
      <w:hyperlink r:id="rId120">
        <w:r>
          <w:rPr>
            <w:b/>
            <w:color w:val="231F20"/>
            <w:sz w:val="20"/>
          </w:rPr>
          <w:t>telephone 0171-601 4030; email mapublications@bankofengland.co.uk.</w:t>
        </w:r>
      </w:hyperlink>
      <w:r>
        <w:rPr>
          <w:b/>
          <w:color w:val="231F20"/>
          <w:sz w:val="20"/>
        </w:rPr>
        <w:t> This </w:t>
      </w:r>
      <w:r>
        <w:rPr>
          <w:b/>
          <w:i/>
          <w:color w:val="231F20"/>
          <w:sz w:val="20"/>
        </w:rPr>
        <w:t>Report, </w:t>
      </w:r>
      <w:r>
        <w:rPr>
          <w:b/>
          <w:color w:val="231F20"/>
          <w:sz w:val="20"/>
        </w:rPr>
        <w:t>and the summary of the </w:t>
      </w:r>
      <w:r>
        <w:rPr>
          <w:b/>
          <w:i/>
          <w:color w:val="231F20"/>
          <w:sz w:val="20"/>
        </w:rPr>
        <w:t>Quarterly </w:t>
      </w:r>
      <w:r>
        <w:rPr>
          <w:b/>
          <w:i/>
          <w:color w:val="231F20"/>
          <w:sz w:val="20"/>
        </w:rPr>
        <w:t>Bulletin, </w:t>
      </w:r>
      <w:r>
        <w:rPr>
          <w:b/>
          <w:color w:val="231F20"/>
          <w:sz w:val="20"/>
        </w:rPr>
        <w:t>can be found on the Bank’s Internet pages: </w:t>
      </w:r>
      <w:hyperlink r:id="rId6">
        <w:r>
          <w:rPr>
            <w:b/>
            <w:color w:val="231F20"/>
            <w:sz w:val="20"/>
          </w:rPr>
          <w:t>http://www.bankofengland.co.uk/ir.htm.</w:t>
        </w:r>
      </w:hyperlink>
      <w:r>
        <w:rPr>
          <w:b/>
          <w:color w:val="231F20"/>
          <w:sz w:val="20"/>
        </w:rPr>
        <w:t> General enquiries about the Bank of England should be made to 0171-601 4444.</w:t>
      </w:r>
    </w:p>
    <w:p>
      <w:pPr>
        <w:pStyle w:val="BodyText"/>
        <w:tabs>
          <w:tab w:pos="10404" w:val="left" w:leader="none"/>
        </w:tabs>
        <w:spacing w:line="181" w:lineRule="exact"/>
        <w:ind w:left="185"/>
        <w:jc w:val="both"/>
      </w:pPr>
      <w:r>
        <w:rPr>
          <w:rFonts w:ascii="Wingdings" w:hAnsi="Wingdings"/>
          <w:color w:val="231F20"/>
        </w:rPr>
        <w:t></w:t>
      </w:r>
      <w:r>
        <w:rPr>
          <w:color w:val="231F20"/>
        </w:rPr>
        <w:t>  </w:t>
      </w:r>
      <w:r>
        <w:rPr>
          <w:color w:val="231F20"/>
          <w:spacing w:val="6"/>
        </w:rPr>
        <w:t> </w:t>
      </w:r>
      <w:r>
        <w:rPr>
          <w:rFonts w:ascii="Wingdings" w:hAnsi="Wingdings"/>
          <w:color w:val="231F20"/>
          <w:u w:val="dotted" w:color="231F20"/>
        </w:rPr>
        <w:t></w:t>
      </w:r>
      <w:r>
        <w:rPr>
          <w:color w:val="231F20"/>
          <w:u w:val="dotted" w:color="231F20"/>
        </w:rPr>
        <w:tab/>
      </w:r>
    </w:p>
    <w:p>
      <w:pPr>
        <w:tabs>
          <w:tab w:pos="5647" w:val="left" w:leader="none"/>
        </w:tabs>
        <w:spacing w:line="195" w:lineRule="exact" w:before="42"/>
        <w:ind w:left="185" w:right="0" w:firstLine="0"/>
        <w:jc w:val="both"/>
        <w:rPr>
          <w:i/>
          <w:sz w:val="20"/>
        </w:rPr>
      </w:pPr>
      <w:r>
        <w:rPr>
          <w:color w:val="231F20"/>
          <w:sz w:val="20"/>
        </w:rPr>
        <w:t>Name:</w:t>
      </w:r>
      <w:r>
        <w:rPr>
          <w:color w:val="231F20"/>
          <w:sz w:val="20"/>
          <w:u w:val="dotted" w:color="231F20"/>
        </w:rPr>
        <w:t> </w:t>
        <w:tab/>
      </w:r>
      <w:r>
        <w:rPr>
          <w:color w:val="231F20"/>
          <w:sz w:val="20"/>
        </w:rPr>
        <w:t>Publication: </w:t>
      </w:r>
      <w:r>
        <w:rPr>
          <w:i/>
          <w:color w:val="231F20"/>
          <w:sz w:val="20"/>
        </w:rPr>
        <w:t>Inflation Report </w:t>
      </w:r>
      <w:r>
        <w:rPr>
          <w:color w:val="231F20"/>
          <w:sz w:val="20"/>
        </w:rPr>
        <w:t>and/or </w:t>
      </w:r>
      <w:r>
        <w:rPr>
          <w:i/>
          <w:color w:val="231F20"/>
          <w:sz w:val="20"/>
        </w:rPr>
        <w:t>Quarterly</w:t>
      </w:r>
      <w:r>
        <w:rPr>
          <w:i/>
          <w:color w:val="231F20"/>
          <w:spacing w:val="-2"/>
          <w:sz w:val="20"/>
        </w:rPr>
        <w:t> </w:t>
      </w:r>
      <w:r>
        <w:rPr>
          <w:i/>
          <w:color w:val="231F20"/>
          <w:sz w:val="20"/>
        </w:rPr>
        <w:t>Bulletin</w:t>
      </w:r>
    </w:p>
    <w:p>
      <w:pPr>
        <w:pStyle w:val="Heading8"/>
        <w:spacing w:line="195" w:lineRule="exact" w:before="0"/>
        <w:ind w:left="6055"/>
      </w:pPr>
      <w:r>
        <w:rPr/>
        <w:pict>
          <v:rect style="position:absolute;margin-left:434.5pt;margin-top:13.206425pt;width:91pt;height:17pt;mso-position-horizontal-relative:page;mso-position-vertical-relative:paragraph;z-index:16127488" filled="false" stroked="true" strokeweight="1pt" strokecolor="#231f20">
            <v:stroke dashstyle="solid"/>
            <w10:wrap type="none"/>
          </v:rect>
        </w:pict>
      </w:r>
      <w:r>
        <w:rPr>
          <w:color w:val="231F20"/>
        </w:rPr>
        <w:t>package (delete as appropriate)</w:t>
      </w:r>
    </w:p>
    <w:p>
      <w:pPr>
        <w:tabs>
          <w:tab w:pos="1164" w:val="left" w:leader="none"/>
          <w:tab w:pos="5559" w:val="left" w:leader="none"/>
          <w:tab w:pos="5945" w:val="left" w:leader="none"/>
        </w:tabs>
        <w:spacing w:line="168" w:lineRule="auto" w:before="146"/>
        <w:ind w:left="185" w:right="3323" w:firstLine="0"/>
        <w:jc w:val="left"/>
        <w:rPr>
          <w:sz w:val="20"/>
        </w:rPr>
      </w:pPr>
      <w:r>
        <w:rPr>
          <w:color w:val="231F20"/>
          <w:sz w:val="20"/>
        </w:rPr>
        <w:t>Position:</w:t>
        <w:tab/>
      </w:r>
      <w:r>
        <w:rPr>
          <w:color w:val="231F20"/>
          <w:sz w:val="20"/>
          <w:u w:val="dotted" w:color="231F20"/>
        </w:rPr>
        <w:t> </w:t>
        <w:tab/>
      </w:r>
      <w:r>
        <w:rPr>
          <w:color w:val="231F20"/>
          <w:sz w:val="20"/>
        </w:rPr>
        <w:tab/>
        <w:t>Number of </w:t>
      </w:r>
      <w:r>
        <w:rPr>
          <w:color w:val="231F20"/>
          <w:spacing w:val="-3"/>
          <w:sz w:val="20"/>
        </w:rPr>
        <w:t>copies: </w:t>
      </w:r>
      <w:r>
        <w:rPr>
          <w:color w:val="231F20"/>
          <w:sz w:val="20"/>
        </w:rPr>
        <w:t>(if applicable)</w:t>
      </w:r>
    </w:p>
    <w:p>
      <w:pPr>
        <w:tabs>
          <w:tab w:pos="5619" w:val="left" w:leader="none"/>
          <w:tab w:pos="5905" w:val="left" w:leader="none"/>
        </w:tabs>
        <w:spacing w:line="168" w:lineRule="auto" w:before="0"/>
        <w:ind w:left="185" w:right="3019" w:firstLine="5720"/>
        <w:jc w:val="left"/>
        <w:rPr>
          <w:sz w:val="20"/>
        </w:rPr>
      </w:pPr>
      <w:r>
        <w:rPr>
          <w:color w:val="231F20"/>
          <w:sz w:val="20"/>
        </w:rPr>
        <w:t>Annual subscription </w:t>
      </w:r>
      <w:r>
        <w:rPr>
          <w:color w:val="231F20"/>
          <w:spacing w:val="-9"/>
          <w:sz w:val="20"/>
        </w:rPr>
        <w:t>or </w:t>
      </w:r>
      <w:r>
        <w:rPr>
          <w:color w:val="231F20"/>
          <w:sz w:val="20"/>
        </w:rPr>
        <w:t>Company:</w:t>
      </w:r>
      <w:r>
        <w:rPr>
          <w:color w:val="231F20"/>
          <w:sz w:val="20"/>
          <w:u w:val="dotted" w:color="231F20"/>
        </w:rPr>
        <w:t> </w:t>
        <w:tab/>
      </w:r>
      <w:r>
        <w:rPr>
          <w:color w:val="231F20"/>
          <w:sz w:val="20"/>
        </w:rPr>
        <w:tab/>
        <w:t>single issue:</w:t>
      </w:r>
    </w:p>
    <w:p>
      <w:pPr>
        <w:tabs>
          <w:tab w:pos="1152" w:val="left" w:leader="none"/>
          <w:tab w:pos="5627" w:val="left" w:leader="none"/>
        </w:tabs>
        <w:spacing w:line="168" w:lineRule="exact" w:before="100"/>
        <w:ind w:left="185" w:right="0" w:firstLine="0"/>
        <w:jc w:val="left"/>
        <w:rPr>
          <w:sz w:val="20"/>
        </w:rPr>
      </w:pPr>
      <w:r>
        <w:rPr>
          <w:color w:val="231F20"/>
          <w:sz w:val="20"/>
        </w:rPr>
        <w:t>Address:</w:t>
        <w:tab/>
      </w:r>
      <w:r>
        <w:rPr>
          <w:color w:val="231F20"/>
          <w:sz w:val="20"/>
          <w:u w:val="dotted" w:color="231F20"/>
        </w:rPr>
        <w:t> </w:t>
        <w:tab/>
      </w:r>
    </w:p>
    <w:p>
      <w:pPr>
        <w:spacing w:line="222" w:lineRule="exact" w:before="0"/>
        <w:ind w:left="5905" w:right="0" w:firstLine="0"/>
        <w:jc w:val="left"/>
        <w:rPr>
          <w:sz w:val="20"/>
        </w:rPr>
      </w:pPr>
      <w:r>
        <w:rPr/>
        <w:pict>
          <v:shape style="position:absolute;margin-left:88.620003pt;margin-top:13.31481pt;width:221.75pt;height:.1pt;mso-position-horizontal-relative:page;mso-position-vertical-relative:paragraph;z-index:-15337984;mso-wrap-distance-left:0;mso-wrap-distance-right:0" coordorigin="1772,266" coordsize="4435,0" path="m1772,266l6207,266e" filled="false" stroked="true" strokeweight=".125pt" strokecolor="#231f20">
            <v:path arrowok="t"/>
            <v:stroke dashstyle="shortdash"/>
            <w10:wrap type="topAndBottom"/>
          </v:shape>
        </w:pict>
      </w:r>
      <w:r>
        <w:rPr>
          <w:color w:val="231F20"/>
          <w:sz w:val="20"/>
        </w:rPr>
        <w:t>I enclose a cheque, crossed and made payable to the</w:t>
      </w:r>
    </w:p>
    <w:p>
      <w:pPr>
        <w:tabs>
          <w:tab w:pos="5627" w:val="left" w:leader="none"/>
          <w:tab w:pos="5905" w:val="left" w:leader="none"/>
        </w:tabs>
        <w:spacing w:before="15"/>
        <w:ind w:left="1152" w:right="0" w:firstLine="0"/>
        <w:jc w:val="left"/>
        <w:rPr>
          <w:sz w:val="20"/>
        </w:rPr>
      </w:pPr>
      <w:r>
        <w:rPr>
          <w:color w:val="231F20"/>
          <w:sz w:val="20"/>
          <w:u w:val="dotted" w:color="231F20"/>
        </w:rPr>
        <w:t> </w:t>
        <w:tab/>
      </w:r>
      <w:r>
        <w:rPr>
          <w:color w:val="231F20"/>
          <w:sz w:val="20"/>
        </w:rPr>
        <w:tab/>
        <w:t>Bank of England for: £</w:t>
      </w:r>
    </w:p>
    <w:p>
      <w:pPr>
        <w:pStyle w:val="BodyText"/>
        <w:spacing w:before="5"/>
        <w:rPr>
          <w:sz w:val="12"/>
        </w:rPr>
      </w:pPr>
      <w:r>
        <w:rPr/>
        <w:pict>
          <v:shape style="position:absolute;margin-left:90.25pt;margin-top:9.200976pt;width:219.75pt;height:.1pt;mso-position-horizontal-relative:page;mso-position-vertical-relative:paragraph;z-index:-15337472;mso-wrap-distance-left:0;mso-wrap-distance-right:0" coordorigin="1805,184" coordsize="4395,0" path="m1805,184l6200,184e" filled="false" stroked="true" strokeweight=".125pt" strokecolor="#231f20">
            <v:path arrowok="t"/>
            <v:stroke dashstyle="shortdash"/>
            <w10:wrap type="topAndBottom"/>
          </v:shape>
        </w:pict>
      </w:r>
    </w:p>
    <w:sectPr>
      <w:headerReference w:type="default" r:id="rId122"/>
      <w:footerReference w:type="default" r:id="rId123"/>
      <w:pgSz w:w="11900" w:h="16840"/>
      <w:pgMar w:header="0" w:footer="0" w:top="1140" w:bottom="280" w:left="620" w:right="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51.780029pt;margin-top:801.141113pt;width:4.25pt;height:10.9pt;mso-position-horizontal-relative:page;mso-position-vertical-relative:page;z-index:-21760000" type="#_x0000_t202" filled="false" stroked="false">
          <v:textbox inset="0,0,0,0">
            <w:txbxContent>
              <w:p>
                <w:pPr>
                  <w:spacing w:before="13"/>
                  <w:ind w:left="20" w:right="0" w:firstLine="0"/>
                  <w:jc w:val="left"/>
                  <w:rPr>
                    <w:sz w:val="16"/>
                  </w:rPr>
                </w:pPr>
                <w:r>
                  <w:rPr>
                    <w:color w:val="231F20"/>
                    <w:sz w:val="16"/>
                  </w:rPr>
                  <w:t>i</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801.141113pt;width:14pt;height:10.9pt;mso-position-horizontal-relative:page;mso-position-vertical-relative:page;z-index:-21752320" type="#_x0000_t202" filled="false" stroked="false">
          <v:textbox inset="0,0,0,0">
            <w:txbxContent>
              <w:p>
                <w:pPr>
                  <w:spacing w:before="13"/>
                  <w:ind w:left="60" w:right="0" w:firstLine="0"/>
                  <w:jc w:val="left"/>
                  <w:rPr>
                    <w:sz w:val="16"/>
                  </w:rPr>
                </w:pPr>
                <w:r>
                  <w:rPr/>
                  <w:fldChar w:fldCharType="begin"/>
                </w:r>
                <w:r>
                  <w:rPr>
                    <w:sz w:val="16"/>
                  </w:rPr>
                  <w:instrText> PAGE </w:instrText>
                </w:r>
                <w:r>
                  <w:rPr/>
                  <w:fldChar w:fldCharType="separate"/>
                </w:r>
                <w:r>
                  <w:rPr/>
                  <w:t>10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280029pt;margin-top:800.141113pt;width:10pt;height:10.9pt;mso-position-horizontal-relative:page;mso-position-vertical-relative:page;z-index:-21751808" type="#_x0000_t202" filled="false" stroked="false">
          <v:textbox inset="0,0,0,0">
            <w:txbxContent>
              <w:p>
                <w:pPr>
                  <w:spacing w:before="13"/>
                  <w:ind w:left="60" w:right="0" w:firstLine="0"/>
                  <w:jc w:val="left"/>
                  <w:rPr>
                    <w:sz w:val="16"/>
                  </w:rPr>
                </w:pPr>
                <w:r>
                  <w:rPr/>
                  <w:fldChar w:fldCharType="begin"/>
                </w:r>
                <w:r>
                  <w:rPr>
                    <w:sz w:val="16"/>
                  </w:rPr>
                  <w:instrText> PAGE </w:instrText>
                </w:r>
                <w:r>
                  <w:rPr/>
                  <w:fldChar w:fldCharType="separate"/>
                </w:r>
                <w:r>
                  <w:rPr/>
                  <w:t>9</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801.141113pt;width:14pt;height:10.9pt;mso-position-horizontal-relative:page;mso-position-vertical-relative:page;z-index:-21751296"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12</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2.280029pt;margin-top:800.141113pt;width:14pt;height:10.9pt;mso-position-horizontal-relative:page;mso-position-vertical-relative:page;z-index:-21750784"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13</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801.141113pt;width:14pt;height:10.9pt;mso-position-horizontal-relative:page;mso-position-vertical-relative:page;z-index:-21749248"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14</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2.280396pt;margin-top:800.141113pt;width:14pt;height:10.9pt;mso-position-horizontal-relative:page;mso-position-vertical-relative:page;z-index:-21748736"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15</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801.141113pt;width:14pt;height:10.9pt;mso-position-horizontal-relative:page;mso-position-vertical-relative:page;z-index:-21745664"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16</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2.280029pt;margin-top:800.141113pt;width:14pt;height:10.9pt;mso-position-horizontal-relative:page;mso-position-vertical-relative:page;z-index:-21745152"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17</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2.280029pt;margin-top:800.141113pt;width:14pt;height:10.9pt;mso-position-horizontal-relative:page;mso-position-vertical-relative:page;z-index:-21743104"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19</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801.141113pt;width:14pt;height:10.9pt;mso-position-horizontal-relative:page;mso-position-vertical-relative:page;z-index:-21742592"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20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40544" from="280.25pt,763pt" to="555pt,763pt" stroked="true" strokeweight=".125pt" strokecolor="#231f20">
          <v:stroke dashstyle="solid"/>
          <w10:wrap type="none"/>
        </v:line>
      </w:pict>
    </w:r>
    <w:r>
      <w:rPr/>
      <w:pict>
        <v:shape style="position:absolute;margin-left:544.280029pt;margin-top:800.141113pt;width:10pt;height:10.9pt;mso-position-horizontal-relative:page;mso-position-vertical-relative:page;z-index:-21740032" type="#_x0000_t202" filled="false" stroked="false">
          <v:textbox inset="0,0,0,0">
            <w:txbxContent>
              <w:p>
                <w:pPr>
                  <w:spacing w:before="13"/>
                  <w:ind w:left="20" w:right="0" w:firstLine="0"/>
                  <w:jc w:val="left"/>
                  <w:rPr>
                    <w:sz w:val="16"/>
                  </w:rPr>
                </w:pPr>
                <w:r>
                  <w:rPr>
                    <w:color w:val="231F20"/>
                    <w:sz w:val="16"/>
                  </w:rPr>
                  <w:t>21</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801.141113pt;width:14pt;height:10.9pt;mso-position-horizontal-relative:page;mso-position-vertical-relative:page;z-index:-21739520" type="#_x0000_t202" filled="false" stroked="false">
          <v:textbox inset="0,0,0,0">
            <w:txbxContent>
              <w:p>
                <w:pPr>
                  <w:spacing w:before="13"/>
                  <w:ind w:left="60" w:right="0" w:firstLine="0"/>
                  <w:jc w:val="left"/>
                  <w:rPr>
                    <w:sz w:val="16"/>
                  </w:rPr>
                </w:pPr>
                <w:r>
                  <w:rPr>
                    <w:color w:val="231F20"/>
                    <w:sz w:val="16"/>
                  </w:rPr>
                  <w:t>22</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2.280029pt;margin-top:800.141113pt;width:14pt;height:10.9pt;mso-position-horizontal-relative:page;mso-position-vertical-relative:page;z-index:-21737984"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23</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801.141113pt;width:14pt;height:10.9pt;mso-position-horizontal-relative:page;mso-position-vertical-relative:page;z-index:-21737472"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24</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2.280029pt;margin-top:800.141113pt;width:14pt;height:10.9pt;mso-position-horizontal-relative:page;mso-position-vertical-relative:page;z-index:-21735424" type="#_x0000_t202" filled="false" stroked="false">
          <v:textbox inset="0,0,0,0">
            <w:txbxContent>
              <w:p>
                <w:pPr>
                  <w:spacing w:before="13"/>
                  <w:ind w:left="60" w:right="0" w:firstLine="0"/>
                  <w:jc w:val="left"/>
                  <w:rPr>
                    <w:sz w:val="16"/>
                  </w:rPr>
                </w:pPr>
                <w:r>
                  <w:rPr/>
                  <w:fldChar w:fldCharType="begin"/>
                </w:r>
                <w:r>
                  <w:rPr>
                    <w:sz w:val="16"/>
                  </w:rPr>
                  <w:instrText> PAGE </w:instrText>
                </w:r>
                <w:r>
                  <w:rPr/>
                  <w:fldChar w:fldCharType="separate"/>
                </w:r>
                <w:r>
                  <w:rPr/>
                  <w:t>25</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801.141113pt;width:14pt;height:10.9pt;mso-position-horizontal-relative:page;mso-position-vertical-relative:page;z-index:-21734912" type="#_x0000_t202" filled="false" stroked="false">
          <v:textbox inset="0,0,0,0">
            <w:txbxContent>
              <w:p>
                <w:pPr>
                  <w:spacing w:before="13"/>
                  <w:ind w:left="60" w:right="0" w:firstLine="0"/>
                  <w:jc w:val="left"/>
                  <w:rPr>
                    <w:sz w:val="16"/>
                  </w:rPr>
                </w:pPr>
                <w:r>
                  <w:rPr/>
                  <w:fldChar w:fldCharType="begin"/>
                </w:r>
                <w:r>
                  <w:rPr>
                    <w:sz w:val="16"/>
                  </w:rPr>
                  <w:instrText> PAGE </w:instrText>
                </w:r>
                <w:r>
                  <w:rPr/>
                  <w:fldChar w:fldCharType="separate"/>
                </w:r>
                <w:r>
                  <w:rPr/>
                  <w:t>26</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801.141113pt;width:14pt;height:10.9pt;mso-position-horizontal-relative:page;mso-position-vertical-relative:page;z-index:-21732864" type="#_x0000_t202" filled="false" stroked="false">
          <v:textbox inset="0,0,0,0">
            <w:txbxContent>
              <w:p>
                <w:pPr>
                  <w:spacing w:before="13"/>
                  <w:ind w:left="60" w:right="0" w:firstLine="0"/>
                  <w:jc w:val="left"/>
                  <w:rPr>
                    <w:sz w:val="16"/>
                  </w:rPr>
                </w:pPr>
                <w:r>
                  <w:rPr/>
                  <w:fldChar w:fldCharType="begin"/>
                </w:r>
                <w:r>
                  <w:rPr>
                    <w:sz w:val="16"/>
                  </w:rPr>
                  <w:instrText> PAGE </w:instrText>
                </w:r>
                <w:r>
                  <w:rPr/>
                  <w:fldChar w:fldCharType="separate"/>
                </w:r>
                <w:r>
                  <w:rPr/>
                  <w:t>30</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2.280029pt;margin-top:800.141113pt;width:14pt;height:10.9pt;mso-position-horizontal-relative:page;mso-position-vertical-relative:page;z-index:-21732352" type="#_x0000_t202" filled="false" stroked="false">
          <v:textbox inset="0,0,0,0">
            <w:txbxContent>
              <w:p>
                <w:pPr>
                  <w:spacing w:before="13"/>
                  <w:ind w:left="60" w:right="0" w:firstLine="0"/>
                  <w:jc w:val="left"/>
                  <w:rPr>
                    <w:sz w:val="16"/>
                  </w:rPr>
                </w:pPr>
                <w:r>
                  <w:rPr/>
                  <w:fldChar w:fldCharType="begin"/>
                </w:r>
                <w:r>
                  <w:rPr>
                    <w:sz w:val="16"/>
                  </w:rPr>
                  <w:instrText> PAGE </w:instrText>
                </w:r>
                <w:r>
                  <w:rPr/>
                  <w:fldChar w:fldCharType="separate"/>
                </w:r>
                <w:r>
                  <w:rPr/>
                  <w:t>31</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801.141113pt;width:14pt;height:10.9pt;mso-position-horizontal-relative:page;mso-position-vertical-relative:page;z-index:-21731840"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32</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2.280029pt;margin-top:800.141113pt;width:14pt;height:10.9pt;mso-position-horizontal-relative:page;mso-position-vertical-relative:page;z-index:-21731328" type="#_x0000_t202" filled="false" stroked="false">
          <v:textbox inset="0,0,0,0">
            <w:txbxContent>
              <w:p>
                <w:pPr>
                  <w:spacing w:before="13"/>
                  <w:ind w:left="60" w:right="0" w:firstLine="0"/>
                  <w:jc w:val="left"/>
                  <w:rPr>
                    <w:sz w:val="16"/>
                  </w:rPr>
                </w:pPr>
                <w:r>
                  <w:rPr/>
                  <w:fldChar w:fldCharType="begin"/>
                </w:r>
                <w:r>
                  <w:rPr>
                    <w:sz w:val="16"/>
                  </w:rPr>
                  <w:instrText> PAGE </w:instrText>
                </w:r>
                <w:r>
                  <w:rPr/>
                  <w:fldChar w:fldCharType="separate"/>
                </w:r>
                <w:r>
                  <w:rPr/>
                  <w:t>33</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7.330017pt;margin-top:801.141113pt;width:8.7pt;height:10.9pt;mso-position-horizontal-relative:page;mso-position-vertical-relative:page;z-index:-21759488" type="#_x0000_t202" filled="false" stroked="false">
          <v:textbox inset="0,0,0,0">
            <w:txbxContent>
              <w:p>
                <w:pPr>
                  <w:spacing w:before="13"/>
                  <w:ind w:left="20" w:right="0" w:firstLine="0"/>
                  <w:jc w:val="left"/>
                  <w:rPr>
                    <w:sz w:val="16"/>
                  </w:rPr>
                </w:pPr>
                <w:r>
                  <w:rPr>
                    <w:color w:val="231F20"/>
                    <w:sz w:val="16"/>
                  </w:rPr>
                  <w:t>iii</w:t>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801.141113pt;width:14pt;height:10.9pt;mso-position-horizontal-relative:page;mso-position-vertical-relative:page;z-index:-21729280" type="#_x0000_t202" filled="false" stroked="false">
          <v:textbox inset="0,0,0,0">
            <w:txbxContent>
              <w:p>
                <w:pPr>
                  <w:spacing w:before="13"/>
                  <w:ind w:left="60" w:right="0" w:firstLine="0"/>
                  <w:jc w:val="left"/>
                  <w:rPr>
                    <w:sz w:val="16"/>
                  </w:rPr>
                </w:pPr>
                <w:r>
                  <w:rPr/>
                  <w:fldChar w:fldCharType="begin"/>
                </w:r>
                <w:r>
                  <w:rPr>
                    <w:sz w:val="16"/>
                  </w:rPr>
                  <w:instrText> PAGE </w:instrText>
                </w:r>
                <w:r>
                  <w:rPr/>
                  <w:fldChar w:fldCharType="separate"/>
                </w:r>
                <w:r>
                  <w:rPr/>
                  <w:t>34</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2.280029pt;margin-top:800.141113pt;width:14pt;height:10.9pt;mso-position-horizontal-relative:page;mso-position-vertical-relative:page;z-index:-21728768" type="#_x0000_t202" filled="false" stroked="false">
          <v:textbox inset="0,0,0,0">
            <w:txbxContent>
              <w:p>
                <w:pPr>
                  <w:spacing w:before="13"/>
                  <w:ind w:left="60" w:right="0" w:firstLine="0"/>
                  <w:jc w:val="left"/>
                  <w:rPr>
                    <w:sz w:val="16"/>
                  </w:rPr>
                </w:pPr>
                <w:r>
                  <w:rPr/>
                  <w:fldChar w:fldCharType="begin"/>
                </w:r>
                <w:r>
                  <w:rPr>
                    <w:sz w:val="16"/>
                  </w:rPr>
                  <w:instrText> PAGE </w:instrText>
                </w:r>
                <w:r>
                  <w:rPr/>
                  <w:fldChar w:fldCharType="separate"/>
                </w:r>
                <w:r>
                  <w:rPr/>
                  <w:t>35</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801.141113pt;width:14pt;height:10.9pt;mso-position-horizontal-relative:page;mso-position-vertical-relative:page;z-index:-21728256"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38</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2.280029pt;margin-top:800.141113pt;width:14pt;height:10.9pt;mso-position-horizontal-relative:page;mso-position-vertical-relative:page;z-index:-21727744"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39</w:t>
                </w:r>
                <w:r>
                  <w:rPr/>
                  <w:fldChar w:fldCharType="end"/>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279999pt;margin-top:801.141113pt;width:14.75pt;height:10.9pt;mso-position-horizontal-relative:page;mso-position-vertical-relative:page;z-index:-21725696" type="#_x0000_t202" filled="false" stroked="false">
          <v:textbox inset="0,0,0,0">
            <w:txbxContent>
              <w:p>
                <w:pPr>
                  <w:spacing w:before="13"/>
                  <w:ind w:left="74" w:right="0" w:firstLine="0"/>
                  <w:jc w:val="left"/>
                  <w:rPr>
                    <w:sz w:val="16"/>
                  </w:rPr>
                </w:pPr>
                <w:r>
                  <w:rPr/>
                  <w:fldChar w:fldCharType="begin"/>
                </w:r>
                <w:r>
                  <w:rPr>
                    <w:color w:val="231F20"/>
                    <w:sz w:val="16"/>
                  </w:rPr>
                  <w:instrText> PAGE </w:instrText>
                </w:r>
                <w:r>
                  <w:rPr/>
                  <w:fldChar w:fldCharType="separate"/>
                </w:r>
                <w:r>
                  <w:rPr/>
                  <w:t>40</w:t>
                </w:r>
                <w:r>
                  <w:rPr/>
                  <w:fldChar w:fldCharType="end"/>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3pt;margin-top:800.141113pt;width:14pt;height:10.9pt;mso-position-horizontal-relative:page;mso-position-vertical-relative:page;z-index:-21725184"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41</w:t>
                </w:r>
                <w:r>
                  <w:rPr/>
                  <w:fldChar w:fldCharType="end"/>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279999pt;margin-top:801.141113pt;width:14pt;height:10.9pt;mso-position-horizontal-relative:page;mso-position-vertical-relative:page;z-index:-21723136" type="#_x0000_t202" filled="false" stroked="false">
          <v:textbox inset="0,0,0,0">
            <w:txbxContent>
              <w:p>
                <w:pPr>
                  <w:spacing w:before="13"/>
                  <w:ind w:left="60" w:right="0" w:firstLine="0"/>
                  <w:jc w:val="left"/>
                  <w:rPr>
                    <w:sz w:val="16"/>
                  </w:rPr>
                </w:pPr>
                <w:r>
                  <w:rPr/>
                  <w:fldChar w:fldCharType="begin"/>
                </w:r>
                <w:r>
                  <w:rPr>
                    <w:sz w:val="16"/>
                  </w:rPr>
                  <w:instrText> PAGE </w:instrText>
                </w:r>
                <w:r>
                  <w:rPr/>
                  <w:fldChar w:fldCharType="separate"/>
                </w:r>
                <w:r>
                  <w:rPr/>
                  <w:t>42</w:t>
                </w:r>
                <w:r>
                  <w:rPr/>
                  <w:fldChar w:fldCharType="end"/>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3pt;margin-top:800.141113pt;width:14pt;height:10.9pt;mso-position-horizontal-relative:page;mso-position-vertical-relative:page;z-index:-21722624" type="#_x0000_t202" filled="false" stroked="false">
          <v:textbox inset="0,0,0,0">
            <w:txbxContent>
              <w:p>
                <w:pPr>
                  <w:spacing w:before="13"/>
                  <w:ind w:left="60" w:right="0" w:firstLine="0"/>
                  <w:jc w:val="left"/>
                  <w:rPr>
                    <w:sz w:val="16"/>
                  </w:rPr>
                </w:pPr>
                <w:r>
                  <w:rPr/>
                  <w:fldChar w:fldCharType="begin"/>
                </w:r>
                <w:r>
                  <w:rPr>
                    <w:sz w:val="16"/>
                  </w:rPr>
                  <w:instrText> PAGE </w:instrText>
                </w:r>
                <w:r>
                  <w:rPr/>
                  <w:fldChar w:fldCharType="separate"/>
                </w:r>
                <w:r>
                  <w:rPr/>
                  <w:t>43</w:t>
                </w:r>
                <w:r>
                  <w:rPr/>
                  <w:fldChar w:fldCharType="end"/>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279999pt;margin-top:801.141113pt;width:14pt;height:10.9pt;mso-position-horizontal-relative:page;mso-position-vertical-relative:page;z-index:-21720576" type="#_x0000_t202" filled="false" stroked="false">
          <v:textbox inset="0,0,0,0">
            <w:txbxContent>
              <w:p>
                <w:pPr>
                  <w:spacing w:before="13"/>
                  <w:ind w:left="60" w:right="0" w:firstLine="0"/>
                  <w:jc w:val="left"/>
                  <w:rPr>
                    <w:sz w:val="16"/>
                  </w:rPr>
                </w:pPr>
                <w:r>
                  <w:rPr/>
                  <w:fldChar w:fldCharType="begin"/>
                </w:r>
                <w:r>
                  <w:rPr>
                    <w:sz w:val="16"/>
                  </w:rPr>
                  <w:instrText> PAGE </w:instrText>
                </w:r>
                <w:r>
                  <w:rPr/>
                  <w:fldChar w:fldCharType="separate"/>
                </w:r>
                <w:r>
                  <w:rPr/>
                  <w:t>48</w:t>
                </w:r>
                <w:r>
                  <w:rPr/>
                  <w:fldChar w:fldCharType="end"/>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3pt;margin-top:800.141113pt;width:14pt;height:10.9pt;mso-position-horizontal-relative:page;mso-position-vertical-relative:page;z-index:-21720064" type="#_x0000_t202" filled="false" stroked="false">
          <v:textbox inset="0,0,0,0">
            <w:txbxContent>
              <w:p>
                <w:pPr>
                  <w:spacing w:before="13"/>
                  <w:ind w:left="60" w:right="0" w:firstLine="0"/>
                  <w:jc w:val="left"/>
                  <w:rPr>
                    <w:sz w:val="16"/>
                  </w:rPr>
                </w:pPr>
                <w:r>
                  <w:rPr/>
                  <w:fldChar w:fldCharType="begin"/>
                </w:r>
                <w:r>
                  <w:rPr>
                    <w:sz w:val="16"/>
                  </w:rPr>
                  <w:instrText> PAGE </w:instrText>
                </w:r>
                <w:r>
                  <w:rPr/>
                  <w:fldChar w:fldCharType="separate"/>
                </w:r>
                <w:r>
                  <w:rPr/>
                  <w:t>49</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4pt;margin-top:801.141113pt;width:14pt;height:10.9pt;mso-position-horizontal-relative:page;mso-position-vertical-relative:page;z-index:-21719552"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51</w:t>
                </w:r>
                <w:r>
                  <w:rPr/>
                  <w:fldChar w:fldCharType="end"/>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4pt;margin-top:801.141113pt;width:14pt;height:10.9pt;mso-position-horizontal-relative:page;mso-position-vertical-relative:page;z-index:-21719040"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53</w:t>
                </w:r>
                <w:r>
                  <w:rPr/>
                  <w:fldChar w:fldCharType="end"/>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279999pt;margin-top:801.141113pt;width:14pt;height:10.9pt;mso-position-horizontal-relative:page;mso-position-vertical-relative:page;z-index:-21716992"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54</w:t>
                </w:r>
                <w:r>
                  <w:rPr/>
                  <w:fldChar w:fldCharType="end"/>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4pt;margin-top:801.141113pt;width:14pt;height:10.9pt;mso-position-horizontal-relative:page;mso-position-vertical-relative:page;z-index:-21716480"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55</w:t>
                </w:r>
                <w:r>
                  <w:rPr/>
                  <w:fldChar w:fldCharType="end"/>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7pt;margin-top:800.141113pt;width:10pt;height:10.9pt;mso-position-horizontal-relative:page;mso-position-vertical-relative:page;z-index:-21758976"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3</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801.141113pt;width:10pt;height:10.9pt;mso-position-horizontal-relative:page;mso-position-vertical-relative:page;z-index:-21758464" type="#_x0000_t202" filled="false" stroked="false">
          <v:textbox inset="0,0,0,0">
            <w:txbxContent>
              <w:p>
                <w:pPr>
                  <w:spacing w:before="13"/>
                  <w:ind w:left="60" w:right="0" w:firstLine="0"/>
                  <w:jc w:val="left"/>
                  <w:rPr>
                    <w:sz w:val="16"/>
                  </w:rPr>
                </w:pPr>
                <w:r>
                  <w:rPr/>
                  <w:fldChar w:fldCharType="begin"/>
                </w:r>
                <w:r>
                  <w:rPr>
                    <w:sz w:val="16"/>
                  </w:rPr>
                  <w:instrText> PAGE </w:instrText>
                </w:r>
                <w:r>
                  <w:rPr/>
                  <w:fldChar w:fldCharType="separate"/>
                </w:r>
                <w:r>
                  <w:rPr/>
                  <w:t>4</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2.280029pt;margin-top:800.141113pt;width:14pt;height:10.9pt;mso-position-horizontal-relative:page;mso-position-vertical-relative:page;z-index:-21756416" type="#_x0000_t202" filled="false" stroked="false">
          <v:textbox inset="0,0,0,0">
            <w:txbxContent>
              <w:p>
                <w:pPr>
                  <w:spacing w:before="13"/>
                  <w:ind w:left="60" w:right="0" w:firstLine="0"/>
                  <w:jc w:val="left"/>
                  <w:rPr>
                    <w:sz w:val="16"/>
                  </w:rPr>
                </w:pPr>
                <w:r>
                  <w:rPr/>
                  <w:fldChar w:fldCharType="begin"/>
                </w:r>
                <w:r>
                  <w:rPr>
                    <w:sz w:val="16"/>
                  </w:rPr>
                  <w:instrText> PAGE </w:instrText>
                </w:r>
                <w:r>
                  <w:rPr/>
                  <w:fldChar w:fldCharType="separate"/>
                </w:r>
                <w:r>
                  <w:rPr/>
                  <w:t>11</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801.141113pt;width:10pt;height:10.9pt;mso-position-horizontal-relative:page;mso-position-vertical-relative:page;z-index:-21755904" type="#_x0000_t202" filled="false" stroked="false">
          <v:textbox inset="0,0,0,0">
            <w:txbxContent>
              <w:p>
                <w:pPr>
                  <w:spacing w:before="13"/>
                  <w:ind w:left="60" w:right="0" w:firstLine="0"/>
                  <w:jc w:val="left"/>
                  <w:rPr>
                    <w:sz w:val="16"/>
                  </w:rPr>
                </w:pPr>
                <w:r>
                  <w:rPr/>
                  <w:fldChar w:fldCharType="begin"/>
                </w:r>
                <w:r>
                  <w:rPr>
                    <w:sz w:val="16"/>
                  </w:rPr>
                  <w:instrText> PAGE </w:instrText>
                </w:r>
                <w:r>
                  <w:rPr/>
                  <w:fldChar w:fldCharType="separate"/>
                </w:r>
                <w:r>
                  <w:rPr/>
                  <w:t>6</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29.461094pt;width:519pt;height:10.9pt;mso-position-horizontal-relative:page;mso-position-vertical-relative:page;z-index:-21757952" type="#_x0000_t202" filled="false" stroked="false">
          <v:textbox inset="0,0,0,0">
            <w:txbxContent>
              <w:p>
                <w:pPr>
                  <w:tabs>
                    <w:tab w:pos="10359" w:val="left" w:leader="none"/>
                  </w:tabs>
                  <w:spacing w:before="13"/>
                  <w:ind w:left="20" w:right="0" w:firstLine="0"/>
                  <w:jc w:val="left"/>
                  <w:rPr>
                    <w:sz w:val="16"/>
                  </w:rPr>
                </w:pPr>
                <w:r>
                  <w:rPr>
                    <w:spacing w:val="-20"/>
                    <w:sz w:val="16"/>
                    <w:u w:val="single"/>
                  </w:rPr>
                  <w:t> </w:t>
                </w:r>
                <w:r>
                  <w:rPr>
                    <w:sz w:val="16"/>
                    <w:u w:val="single"/>
                  </w:rPr>
                  <w:t>Inflation Report:  November 1998</w:t>
                  <w:tab/>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29.461094pt;width:519pt;height:10.9pt;mso-position-horizontal-relative:page;mso-position-vertical-relative:page;z-index:-21748224" type="#_x0000_t202" filled="false" stroked="false">
          <v:textbox inset="0,0,0,0">
            <w:txbxContent>
              <w:p>
                <w:pPr>
                  <w:tabs>
                    <w:tab w:pos="10359" w:val="left" w:leader="none"/>
                  </w:tabs>
                  <w:spacing w:before="13"/>
                  <w:ind w:left="20" w:right="0" w:firstLine="0"/>
                  <w:jc w:val="left"/>
                  <w:rPr>
                    <w:sz w:val="16"/>
                  </w:rPr>
                </w:pPr>
                <w:r>
                  <w:rPr>
                    <w:color w:val="231F20"/>
                    <w:spacing w:val="-20"/>
                    <w:sz w:val="16"/>
                    <w:u w:val="single" w:color="231F20"/>
                  </w:rPr>
                  <w:t> </w:t>
                </w:r>
                <w:r>
                  <w:rPr>
                    <w:color w:val="231F20"/>
                    <w:sz w:val="16"/>
                    <w:u w:val="single" w:color="231F20"/>
                  </w:rPr>
                  <w:t>Inflation Report:  November 1998</w:t>
                  <w:tab/>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47712" from="38.25pt,39pt" to="555.25pt,39pt" stroked="true" strokeweight=".125pt" strokecolor="#231f20">
          <v:stroke dashstyle="solid"/>
          <w10:wrap type="none"/>
        </v:line>
      </w:pict>
    </w:r>
    <w:r>
      <w:rPr/>
      <w:pict>
        <v:line style="position:absolute;mso-position-horizontal-relative:page;mso-position-vertical-relative:page;z-index:-21747200" from="198.656998pt,125.334pt" to="202.350998pt,125.334pt" stroked="true" strokeweight=".5pt" strokecolor="#000000">
          <v:stroke dashstyle="solid"/>
          <w10:wrap type="none"/>
        </v:line>
      </w:pict>
    </w:r>
    <w:r>
      <w:rPr/>
      <w:pict>
        <v:line style="position:absolute;mso-position-horizontal-relative:page;mso-position-vertical-relative:page;z-index:-21746688" from="44.669998pt,125.363998pt" to="48.363998pt,125.363998pt" stroked="true" strokeweight=".5pt" strokecolor="#000000">
          <v:stroke dashstyle="solid"/>
          <w10:wrap type="none"/>
        </v:line>
      </w:pict>
    </w:r>
    <w:r>
      <w:rPr/>
      <w:pict>
        <v:shape style="position:absolute;margin-left:489.730011pt;margin-top:29.461094pt;width:65.6pt;height:10.9pt;mso-position-horizontal-relative:page;mso-position-vertical-relative:page;z-index:-21746176" type="#_x0000_t202" filled="false" stroked="false">
          <v:textbox inset="0,0,0,0">
            <w:txbxContent>
              <w:p>
                <w:pPr>
                  <w:spacing w:before="13"/>
                  <w:ind w:left="20" w:right="0" w:firstLine="0"/>
                  <w:jc w:val="left"/>
                  <w:rPr>
                    <w:i/>
                    <w:sz w:val="16"/>
                  </w:rPr>
                </w:pPr>
                <w:r>
                  <w:rPr>
                    <w:i/>
                    <w:color w:val="231F20"/>
                    <w:sz w:val="16"/>
                  </w:rPr>
                  <w:t>Demand and output</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44640" from="38.25pt,39pt" to="555.25pt,39pt" stroked="true" strokeweight=".125pt" strokecolor="#231f20">
          <v:stroke dashstyle="solid"/>
          <w10:wrap type="none"/>
        </v:line>
      </w:pict>
    </w:r>
    <w:r>
      <w:rPr/>
      <w:pict>
        <v:shape style="position:absolute;margin-left:489.730011pt;margin-top:29.461094pt;width:65.6pt;height:10.9pt;mso-position-horizontal-relative:page;mso-position-vertical-relative:page;z-index:-21744128" type="#_x0000_t202" filled="false" stroked="false">
          <v:textbox inset="0,0,0,0">
            <w:txbxContent>
              <w:p>
                <w:pPr>
                  <w:spacing w:before="13"/>
                  <w:ind w:left="20" w:right="0" w:firstLine="0"/>
                  <w:jc w:val="left"/>
                  <w:rPr>
                    <w:i/>
                    <w:sz w:val="16"/>
                  </w:rPr>
                </w:pPr>
                <w:r>
                  <w:rPr>
                    <w:i/>
                    <w:color w:val="231F20"/>
                    <w:sz w:val="16"/>
                  </w:rPr>
                  <w:t>Demand and output</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9pt;margin-top:29.461094pt;width:111.35pt;height:10.9pt;mso-position-horizontal-relative:page;mso-position-vertical-relative:page;z-index:-21743616" type="#_x0000_t202" filled="false" stroked="false">
          <v:textbox inset="0,0,0,0">
            <w:txbxContent>
              <w:p>
                <w:pPr>
                  <w:spacing w:before="13"/>
                  <w:ind w:left="20" w:right="0" w:firstLine="0"/>
                  <w:jc w:val="left"/>
                  <w:rPr>
                    <w:sz w:val="16"/>
                  </w:rPr>
                </w:pPr>
                <w:r>
                  <w:rPr>
                    <w:color w:val="231F20"/>
                    <w:sz w:val="16"/>
                  </w:rPr>
                  <w:t>Inflation Report: November 1998</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42080" from="38.25pt,39pt" to="555.25pt,39pt" stroked="true" strokeweight=".125pt" strokecolor="#231f20">
          <v:stroke dashstyle="solid"/>
          <w10:wrap type="none"/>
        </v:line>
      </w:pict>
    </w:r>
    <w:r>
      <w:rPr/>
      <w:pict>
        <v:shape style="position:absolute;margin-left:489.730011pt;margin-top:29.461094pt;width:65.6pt;height:10.9pt;mso-position-horizontal-relative:page;mso-position-vertical-relative:page;z-index:-21741568" type="#_x0000_t202" filled="false" stroked="false">
          <v:textbox inset="0,0,0,0">
            <w:txbxContent>
              <w:p>
                <w:pPr>
                  <w:spacing w:before="13"/>
                  <w:ind w:left="20" w:right="0" w:firstLine="0"/>
                  <w:jc w:val="left"/>
                  <w:rPr>
                    <w:i/>
                    <w:sz w:val="16"/>
                  </w:rPr>
                </w:pPr>
                <w:r>
                  <w:rPr>
                    <w:i/>
                    <w:color w:val="231F20"/>
                    <w:sz w:val="16"/>
                  </w:rPr>
                  <w:t>Demand and output</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29.461094pt;width:519pt;height:10.9pt;mso-position-horizontal-relative:page;mso-position-vertical-relative:page;z-index:-21741056" type="#_x0000_t202" filled="false" stroked="false">
          <v:textbox inset="0,0,0,0">
            <w:txbxContent>
              <w:p>
                <w:pPr>
                  <w:tabs>
                    <w:tab w:pos="10359" w:val="left" w:leader="none"/>
                  </w:tabs>
                  <w:spacing w:before="13"/>
                  <w:ind w:left="20" w:right="0" w:firstLine="0"/>
                  <w:jc w:val="left"/>
                  <w:rPr>
                    <w:sz w:val="16"/>
                  </w:rPr>
                </w:pPr>
                <w:r>
                  <w:rPr>
                    <w:color w:val="231F20"/>
                    <w:spacing w:val="-20"/>
                    <w:sz w:val="16"/>
                    <w:u w:val="single" w:color="231F20"/>
                  </w:rPr>
                  <w:t> </w:t>
                </w:r>
                <w:r>
                  <w:rPr>
                    <w:color w:val="231F20"/>
                    <w:sz w:val="16"/>
                    <w:u w:val="single" w:color="231F20"/>
                  </w:rPr>
                  <w:t>Inflation Report:  November 1998</w:t>
                  <w:tab/>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39008" from="38.25pt,39pt" to="555.25pt,39pt" stroked="true" strokeweight=".125pt" strokecolor="#231f20">
          <v:stroke dashstyle="solid"/>
          <w10:wrap type="none"/>
        </v:line>
      </w:pict>
    </w:r>
    <w:r>
      <w:rPr/>
      <w:pict>
        <v:shape style="position:absolute;margin-left:489.730011pt;margin-top:29.461094pt;width:65.6pt;height:10.9pt;mso-position-horizontal-relative:page;mso-position-vertical-relative:page;z-index:-21738496" type="#_x0000_t202" filled="false" stroked="false">
          <v:textbox inset="0,0,0,0">
            <w:txbxContent>
              <w:p>
                <w:pPr>
                  <w:spacing w:before="13"/>
                  <w:ind w:left="20" w:right="0" w:firstLine="0"/>
                  <w:jc w:val="left"/>
                  <w:rPr>
                    <w:i/>
                    <w:sz w:val="16"/>
                  </w:rPr>
                </w:pPr>
                <w:r>
                  <w:rPr>
                    <w:i/>
                    <w:color w:val="231F20"/>
                    <w:sz w:val="16"/>
                  </w:rPr>
                  <w:t>Demand and output</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36960" from="38.25pt,39pt" to="555.25pt,39pt" stroked="true" strokeweight=".125pt" strokecolor="#000000">
          <v:stroke dashstyle="solid"/>
          <w10:wrap type="none"/>
        </v:line>
      </w:pict>
    </w:r>
    <w:r>
      <w:rPr/>
      <w:pict>
        <v:shape style="position:absolute;margin-left:493.730011pt;margin-top:29.461094pt;width:61.6pt;height:10.9pt;mso-position-horizontal-relative:page;mso-position-vertical-relative:page;z-index:-21736448" type="#_x0000_t202" filled="false" stroked="false">
          <v:textbox inset="0,0,0,0">
            <w:txbxContent>
              <w:p>
                <w:pPr>
                  <w:spacing w:before="13"/>
                  <w:ind w:left="20" w:right="0" w:firstLine="0"/>
                  <w:jc w:val="left"/>
                  <w:rPr>
                    <w:i/>
                    <w:sz w:val="16"/>
                  </w:rPr>
                </w:pPr>
                <w:r>
                  <w:rPr>
                    <w:i/>
                    <w:sz w:val="16"/>
                  </w:rPr>
                  <w:t>The labour market</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29.461094pt;width:519.5pt;height:10.9pt;mso-position-horizontal-relative:page;mso-position-vertical-relative:page;z-index:-21735936" type="#_x0000_t202" filled="false" stroked="false">
          <v:textbox inset="0,0,0,0">
            <w:txbxContent>
              <w:p>
                <w:pPr>
                  <w:tabs>
                    <w:tab w:pos="10369" w:val="left" w:leader="none"/>
                  </w:tabs>
                  <w:spacing w:before="13"/>
                  <w:ind w:left="20" w:right="0" w:firstLine="0"/>
                  <w:jc w:val="left"/>
                  <w:rPr>
                    <w:sz w:val="16"/>
                  </w:rPr>
                </w:pPr>
                <w:r>
                  <w:rPr>
                    <w:spacing w:val="-20"/>
                    <w:sz w:val="16"/>
                    <w:u w:val="single"/>
                  </w:rPr>
                  <w:t> </w:t>
                </w:r>
                <w:r>
                  <w:rPr>
                    <w:sz w:val="16"/>
                    <w:u w:val="single"/>
                  </w:rPr>
                  <w:t>Inflation Report:  November 1998</w:t>
                  <w:tab/>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57440" from="38.25pt,39pt" to="555.25pt,39pt" stroked="true" strokeweight=".125pt" strokecolor="#000000">
          <v:stroke dashstyle="solid"/>
          <w10:wrap type="none"/>
        </v:line>
      </w:pict>
    </w:r>
    <w:r>
      <w:rPr/>
      <w:pict>
        <v:shape style="position:absolute;margin-left:459.75pt;margin-top:29.461094pt;width:95.55pt;height:10.9pt;mso-position-horizontal-relative:page;mso-position-vertical-relative:page;z-index:-21756928" type="#_x0000_t202" filled="false" stroked="false">
          <v:textbox inset="0,0,0,0">
            <w:txbxContent>
              <w:p>
                <w:pPr>
                  <w:spacing w:before="13"/>
                  <w:ind w:left="20" w:right="0" w:firstLine="0"/>
                  <w:jc w:val="left"/>
                  <w:rPr>
                    <w:i/>
                    <w:sz w:val="16"/>
                  </w:rPr>
                </w:pPr>
                <w:r>
                  <w:rPr>
                    <w:i/>
                    <w:sz w:val="16"/>
                  </w:rPr>
                  <w:t>Money and financial markets</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9pt;margin-top:29.461094pt;width:111.35pt;height:10.9pt;mso-position-horizontal-relative:page;mso-position-vertical-relative:page;z-index:-21734400" type="#_x0000_t202" filled="false" stroked="false">
          <v:textbox inset="0,0,0,0">
            <w:txbxContent>
              <w:p>
                <w:pPr>
                  <w:spacing w:before="13"/>
                  <w:ind w:left="20" w:right="0" w:firstLine="0"/>
                  <w:jc w:val="left"/>
                  <w:rPr>
                    <w:sz w:val="16"/>
                  </w:rPr>
                </w:pPr>
                <w:r>
                  <w:rPr>
                    <w:sz w:val="16"/>
                  </w:rPr>
                  <w:t>Inflation Report: November 1998</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33888" from="38.25pt,39pt" to="555.25pt,39pt" stroked="true" strokeweight=".125pt" strokecolor="#000000">
          <v:stroke dashstyle="solid"/>
          <w10:wrap type="none"/>
        </v:line>
      </w:pict>
    </w:r>
    <w:r>
      <w:rPr/>
      <w:pict>
        <v:shape style="position:absolute;margin-left:493.730011pt;margin-top:29.461094pt;width:61.6pt;height:10.9pt;mso-position-horizontal-relative:page;mso-position-vertical-relative:page;z-index:-21733376" type="#_x0000_t202" filled="false" stroked="false">
          <v:textbox inset="0,0,0,0">
            <w:txbxContent>
              <w:p>
                <w:pPr>
                  <w:spacing w:before="13"/>
                  <w:ind w:left="20" w:right="0" w:firstLine="0"/>
                  <w:jc w:val="left"/>
                  <w:rPr>
                    <w:i/>
                    <w:sz w:val="16"/>
                  </w:rPr>
                </w:pPr>
                <w:r>
                  <w:rPr>
                    <w:i/>
                    <w:sz w:val="16"/>
                  </w:rPr>
                  <w:t>The labour market</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30816" from="38.25pt,39pt" to="555.25pt,39pt" stroked="true" strokeweight=".125pt" strokecolor="#000000">
          <v:stroke dashstyle="solid"/>
          <w10:wrap type="none"/>
        </v:line>
      </w:pict>
    </w:r>
    <w:r>
      <w:rPr/>
      <w:pict>
        <v:shape style="position:absolute;margin-left:499.950012pt;margin-top:29.461094pt;width:55.35pt;height:10.9pt;mso-position-horizontal-relative:page;mso-position-vertical-relative:page;z-index:-21730304" type="#_x0000_t202" filled="false" stroked="false">
          <v:textbox inset="0,0,0,0">
            <w:txbxContent>
              <w:p>
                <w:pPr>
                  <w:spacing w:before="13"/>
                  <w:ind w:left="20" w:right="0" w:firstLine="0"/>
                  <w:jc w:val="left"/>
                  <w:rPr>
                    <w:i/>
                    <w:sz w:val="16"/>
                  </w:rPr>
                </w:pPr>
                <w:r>
                  <w:rPr>
                    <w:i/>
                    <w:sz w:val="16"/>
                  </w:rPr>
                  <w:t>Costs and prices</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29.461094pt;width:519pt;height:10.9pt;mso-position-horizontal-relative:page;mso-position-vertical-relative:page;z-index:-21729792" type="#_x0000_t202" filled="false" stroked="false">
          <v:textbox inset="0,0,0,0">
            <w:txbxContent>
              <w:p>
                <w:pPr>
                  <w:tabs>
                    <w:tab w:pos="10359" w:val="left" w:leader="none"/>
                  </w:tabs>
                  <w:spacing w:before="13"/>
                  <w:ind w:left="20" w:right="0" w:firstLine="0"/>
                  <w:jc w:val="left"/>
                  <w:rPr>
                    <w:sz w:val="16"/>
                  </w:rPr>
                </w:pPr>
                <w:r>
                  <w:rPr>
                    <w:spacing w:val="-20"/>
                    <w:sz w:val="16"/>
                    <w:u w:val="single"/>
                  </w:rPr>
                  <w:t> </w:t>
                </w:r>
                <w:r>
                  <w:rPr>
                    <w:sz w:val="16"/>
                    <w:u w:val="single"/>
                  </w:rPr>
                  <w:t>Inflation Report:  November 1998</w:t>
                  <w:tab/>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27232" from="38.25pt,39pt" to="555.25pt,39pt" stroked="true" strokeweight=".125pt" strokecolor="#231f20">
          <v:stroke dashstyle="solid"/>
          <w10:wrap type="none"/>
        </v:line>
      </w:pict>
    </w:r>
    <w:r>
      <w:rPr/>
      <w:pict>
        <v:shape style="position:absolute;margin-left:422.429993pt;margin-top:29.461094pt;width:132.85pt;height:10.9pt;mso-position-horizontal-relative:page;mso-position-vertical-relative:page;z-index:-21726720" type="#_x0000_t202" filled="false" stroked="false">
          <v:textbox inset="0,0,0,0">
            <w:txbxContent>
              <w:p>
                <w:pPr>
                  <w:spacing w:before="13"/>
                  <w:ind w:left="20" w:right="0" w:firstLine="0"/>
                  <w:jc w:val="left"/>
                  <w:rPr>
                    <w:sz w:val="16"/>
                  </w:rPr>
                </w:pPr>
                <w:r>
                  <w:rPr>
                    <w:i/>
                    <w:color w:val="231F20"/>
                    <w:sz w:val="16"/>
                  </w:rPr>
                  <w:t>Monetary policy since the August </w:t>
                </w:r>
                <w:r>
                  <w:rPr>
                    <w:color w:val="231F20"/>
                    <w:sz w:val="16"/>
                  </w:rPr>
                  <w:t>Report</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29.461094pt;width:519pt;height:10.9pt;mso-position-horizontal-relative:page;mso-position-vertical-relative:page;z-index:-21726208" type="#_x0000_t202" filled="false" stroked="false">
          <v:textbox inset="0,0,0,0">
            <w:txbxContent>
              <w:p>
                <w:pPr>
                  <w:tabs>
                    <w:tab w:pos="10359" w:val="left" w:leader="none"/>
                  </w:tabs>
                  <w:spacing w:before="13"/>
                  <w:ind w:left="20" w:right="0" w:firstLine="0"/>
                  <w:jc w:val="left"/>
                  <w:rPr>
                    <w:sz w:val="16"/>
                  </w:rPr>
                </w:pPr>
                <w:r>
                  <w:rPr>
                    <w:color w:val="231F20"/>
                    <w:spacing w:val="-20"/>
                    <w:sz w:val="16"/>
                    <w:u w:val="single" w:color="231F20"/>
                  </w:rPr>
                  <w:t> </w:t>
                </w:r>
                <w:r>
                  <w:rPr>
                    <w:color w:val="231F20"/>
                    <w:sz w:val="16"/>
                    <w:u w:val="single" w:color="231F20"/>
                  </w:rPr>
                  <w:t>Inflation Report:  November 1998</w:t>
                  <w:tab/>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25pt;margin-top:29.461094pt;width:519pt;height:10.9pt;mso-position-horizontal-relative:page;mso-position-vertical-relative:page;z-index:-21724672" type="#_x0000_t202" filled="false" stroked="false">
          <v:textbox inset="0,0,0,0">
            <w:txbxContent>
              <w:p>
                <w:pPr>
                  <w:tabs>
                    <w:tab w:pos="10359" w:val="left" w:leader="none"/>
                  </w:tabs>
                  <w:spacing w:before="13"/>
                  <w:ind w:left="20" w:right="0" w:firstLine="0"/>
                  <w:jc w:val="left"/>
                  <w:rPr>
                    <w:sz w:val="16"/>
                  </w:rPr>
                </w:pPr>
                <w:r>
                  <w:rPr>
                    <w:spacing w:val="-20"/>
                    <w:sz w:val="16"/>
                    <w:u w:val="single"/>
                  </w:rPr>
                  <w:t> </w:t>
                </w:r>
                <w:r>
                  <w:rPr>
                    <w:sz w:val="16"/>
                    <w:u w:val="single"/>
                  </w:rPr>
                  <w:t>Inflation Report:  November 1998</w:t>
                  <w:tab/>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9pt;margin-top:29.461094pt;width:111.35pt;height:10.9pt;mso-position-horizontal-relative:page;mso-position-vertical-relative:page;z-index:-21755392" type="#_x0000_t202" filled="false" stroked="false">
          <v:textbox inset="0,0,0,0">
            <w:txbxContent>
              <w:p>
                <w:pPr>
                  <w:spacing w:before="13"/>
                  <w:ind w:left="20" w:right="0" w:firstLine="0"/>
                  <w:jc w:val="left"/>
                  <w:rPr>
                    <w:sz w:val="16"/>
                  </w:rPr>
                </w:pPr>
                <w:r>
                  <w:rPr>
                    <w:sz w:val="16"/>
                  </w:rPr>
                  <w:t>Inflation Report: November 1998</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24160" from="39pt,39pt" to="556pt,39pt" stroked="true" strokeweight=".125pt" strokecolor="#000000">
          <v:stroke dashstyle="solid"/>
          <w10:wrap type="none"/>
        </v:line>
      </w:pict>
    </w:r>
    <w:r>
      <w:rPr/>
      <w:pict>
        <v:shape style="position:absolute;margin-left:482.01001pt;margin-top:29.461094pt;width:74pt;height:10.9pt;mso-position-horizontal-relative:page;mso-position-vertical-relative:page;z-index:-21723648" type="#_x0000_t202" filled="false" stroked="false">
          <v:textbox inset="0,0,0,0">
            <w:txbxContent>
              <w:p>
                <w:pPr>
                  <w:spacing w:before="13"/>
                  <w:ind w:left="20" w:right="0" w:firstLine="0"/>
                  <w:jc w:val="left"/>
                  <w:rPr>
                    <w:i/>
                    <w:sz w:val="16"/>
                  </w:rPr>
                </w:pPr>
                <w:r>
                  <w:rPr>
                    <w:i/>
                    <w:sz w:val="16"/>
                  </w:rPr>
                  <w:t>Prospects for inflation</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25pt;margin-top:29.461094pt;width:519pt;height:10.9pt;mso-position-horizontal-relative:page;mso-position-vertical-relative:page;z-index:-21722112" type="#_x0000_t202" filled="false" stroked="false">
          <v:textbox inset="0,0,0,0">
            <w:txbxContent>
              <w:p>
                <w:pPr>
                  <w:tabs>
                    <w:tab w:pos="10359" w:val="left" w:leader="none"/>
                  </w:tabs>
                  <w:spacing w:before="13"/>
                  <w:ind w:left="20" w:right="0" w:firstLine="0"/>
                  <w:jc w:val="left"/>
                  <w:rPr>
                    <w:sz w:val="16"/>
                  </w:rPr>
                </w:pPr>
                <w:r>
                  <w:rPr>
                    <w:spacing w:val="-20"/>
                    <w:sz w:val="16"/>
                    <w:u w:val="single"/>
                  </w:rPr>
                  <w:t> </w:t>
                </w:r>
                <w:r>
                  <w:rPr>
                    <w:sz w:val="16"/>
                    <w:u w:val="single"/>
                  </w:rPr>
                  <w:t>Inflation Report:  November 1998</w:t>
                  <w:tab/>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21600" from="39pt,39pt" to="556pt,39pt" stroked="true" strokeweight=".125pt" strokecolor="#000000">
          <v:stroke dashstyle="solid"/>
          <w10:wrap type="none"/>
        </v:line>
      </w:pict>
    </w:r>
    <w:r>
      <w:rPr/>
      <w:pict>
        <v:shape style="position:absolute;margin-left:482.01001pt;margin-top:29.461094pt;width:74pt;height:10.9pt;mso-position-horizontal-relative:page;mso-position-vertical-relative:page;z-index:-21721088" type="#_x0000_t202" filled="false" stroked="false">
          <v:textbox inset="0,0,0,0">
            <w:txbxContent>
              <w:p>
                <w:pPr>
                  <w:spacing w:before="13"/>
                  <w:ind w:left="20" w:right="0" w:firstLine="0"/>
                  <w:jc w:val="left"/>
                  <w:rPr>
                    <w:i/>
                    <w:sz w:val="16"/>
                  </w:rPr>
                </w:pPr>
                <w:r>
                  <w:rPr>
                    <w:i/>
                    <w:sz w:val="16"/>
                  </w:rPr>
                  <w:t>Prospects for inflation</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18528" from="39pt,38pt" to="556pt,38pt" stroked="true" strokeweight=".125pt" strokecolor="#231f20">
          <v:stroke dashstyle="solid"/>
          <w10:wrap type="none"/>
        </v:line>
      </w:pict>
    </w:r>
    <w:r>
      <w:rPr/>
      <w:pict>
        <v:shape style="position:absolute;margin-left:463.809998pt;margin-top:28.461094pt;width:92.2pt;height:10.9pt;mso-position-horizontal-relative:page;mso-position-vertical-relative:page;z-index:-21718016" type="#_x0000_t202" filled="false" stroked="false">
          <v:textbox inset="0,0,0,0">
            <w:txbxContent>
              <w:p>
                <w:pPr>
                  <w:spacing w:before="13"/>
                  <w:ind w:left="20" w:right="0" w:firstLine="0"/>
                  <w:jc w:val="left"/>
                  <w:rPr>
                    <w:i/>
                    <w:sz w:val="16"/>
                  </w:rPr>
                </w:pPr>
                <w:r>
                  <w:rPr>
                    <w:i/>
                    <w:color w:val="231F20"/>
                    <w:sz w:val="16"/>
                  </w:rPr>
                  <w:t>Monetary Policy Committee</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25pt;margin-top:28.461094pt;width:519pt;height:10.9pt;mso-position-horizontal-relative:page;mso-position-vertical-relative:page;z-index:-21717504" type="#_x0000_t202" filled="false" stroked="false">
          <v:textbox inset="0,0,0,0">
            <w:txbxContent>
              <w:p>
                <w:pPr>
                  <w:tabs>
                    <w:tab w:pos="10359" w:val="left" w:leader="none"/>
                  </w:tabs>
                  <w:spacing w:before="13"/>
                  <w:ind w:left="20" w:right="0" w:firstLine="0"/>
                  <w:jc w:val="left"/>
                  <w:rPr>
                    <w:sz w:val="16"/>
                  </w:rPr>
                </w:pPr>
                <w:r>
                  <w:rPr>
                    <w:color w:val="231F20"/>
                    <w:spacing w:val="-20"/>
                    <w:sz w:val="16"/>
                    <w:u w:val="single" w:color="231F20"/>
                  </w:rPr>
                  <w:t> </w:t>
                </w:r>
                <w:r>
                  <w:rPr>
                    <w:color w:val="231F20"/>
                    <w:sz w:val="16"/>
                    <w:u w:val="single" w:color="231F20"/>
                  </w:rPr>
                  <w:t>Inflation Report:  November 1998</w:t>
                  <w:tab/>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54880" from="38.25pt,39pt" to="555.25pt,39pt" stroked="true" strokeweight=".125pt" strokecolor="#000000">
          <v:stroke dashstyle="solid"/>
          <w10:wrap type="none"/>
        </v:line>
      </w:pict>
    </w:r>
    <w:r>
      <w:rPr/>
      <w:pict>
        <v:shape style="position:absolute;margin-left:459.75pt;margin-top:29.461094pt;width:95.55pt;height:10.9pt;mso-position-horizontal-relative:page;mso-position-vertical-relative:page;z-index:-21754368" type="#_x0000_t202" filled="false" stroked="false">
          <v:textbox inset="0,0,0,0">
            <w:txbxContent>
              <w:p>
                <w:pPr>
                  <w:spacing w:before="13"/>
                  <w:ind w:left="20" w:right="0" w:firstLine="0"/>
                  <w:jc w:val="left"/>
                  <w:rPr>
                    <w:i/>
                    <w:sz w:val="16"/>
                  </w:rPr>
                </w:pPr>
                <w:r>
                  <w:rPr>
                    <w:i/>
                    <w:sz w:val="16"/>
                  </w:rPr>
                  <w:t>Money and financial markets</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29.461094pt;width:519pt;height:10.9pt;mso-position-horizontal-relative:page;mso-position-vertical-relative:page;z-index:-21753856" type="#_x0000_t202" filled="false" stroked="false">
          <v:textbox inset="0,0,0,0">
            <w:txbxContent>
              <w:p>
                <w:pPr>
                  <w:tabs>
                    <w:tab w:pos="10359" w:val="left" w:leader="none"/>
                  </w:tabs>
                  <w:spacing w:before="13"/>
                  <w:ind w:left="20" w:right="0" w:firstLine="0"/>
                  <w:jc w:val="left"/>
                  <w:rPr>
                    <w:sz w:val="16"/>
                  </w:rPr>
                </w:pPr>
                <w:r>
                  <w:rPr>
                    <w:spacing w:val="-20"/>
                    <w:sz w:val="16"/>
                    <w:u w:val="single"/>
                  </w:rPr>
                  <w:t> </w:t>
                </w:r>
                <w:r>
                  <w:rPr>
                    <w:sz w:val="16"/>
                    <w:u w:val="single"/>
                  </w:rPr>
                  <w:t>Inflation Report:  November 1998</w:t>
                  <w:tab/>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53344" from="38.25pt,39pt" to="555.25pt,39pt" stroked="true" strokeweight=".125pt" strokecolor="#000000">
          <v:stroke dashstyle="solid"/>
          <w10:wrap type="none"/>
        </v:line>
      </w:pict>
    </w:r>
    <w:r>
      <w:rPr/>
      <w:pict>
        <v:shape style="position:absolute;margin-left:459.75pt;margin-top:29.461094pt;width:95.55pt;height:10.9pt;mso-position-horizontal-relative:page;mso-position-vertical-relative:page;z-index:-21752832" type="#_x0000_t202" filled="false" stroked="false">
          <v:textbox inset="0,0,0,0">
            <w:txbxContent>
              <w:p>
                <w:pPr>
                  <w:spacing w:before="13"/>
                  <w:ind w:left="20" w:right="0" w:firstLine="0"/>
                  <w:jc w:val="left"/>
                  <w:rPr>
                    <w:i/>
                    <w:sz w:val="16"/>
                  </w:rPr>
                </w:pPr>
                <w:r>
                  <w:rPr>
                    <w:i/>
                    <w:sz w:val="16"/>
                  </w:rPr>
                  <w:t>Money and financial markets</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89.730011pt;margin-top:29.461094pt;width:65.6pt;height:10.9pt;mso-position-horizontal-relative:page;mso-position-vertical-relative:page;z-index:-21750272" type="#_x0000_t202" filled="false" stroked="false">
          <v:textbox inset="0,0,0,0">
            <w:txbxContent>
              <w:p>
                <w:pPr>
                  <w:spacing w:before="13"/>
                  <w:ind w:left="20" w:right="0" w:firstLine="0"/>
                  <w:jc w:val="left"/>
                  <w:rPr>
                    <w:i/>
                    <w:sz w:val="16"/>
                  </w:rPr>
                </w:pPr>
                <w:r>
                  <w:rPr>
                    <w:i/>
                    <w:color w:val="231F20"/>
                    <w:sz w:val="16"/>
                  </w:rPr>
                  <w:t>Demand and output</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9pt;margin-top:29.461094pt;width:111.35pt;height:10.9pt;mso-position-horizontal-relative:page;mso-position-vertical-relative:page;z-index:-21749760" type="#_x0000_t202" filled="false" stroked="false">
          <v:textbox inset="0,0,0,0">
            <w:txbxContent>
              <w:p>
                <w:pPr>
                  <w:spacing w:before="13"/>
                  <w:ind w:left="20" w:right="0" w:firstLine="0"/>
                  <w:jc w:val="left"/>
                  <w:rPr>
                    <w:sz w:val="16"/>
                  </w:rPr>
                </w:pPr>
                <w:r>
                  <w:rPr>
                    <w:color w:val="231F20"/>
                    <w:sz w:val="16"/>
                  </w:rPr>
                  <w:t>Inflation Report: November 1998</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1">
    <w:multiLevelType w:val="hybridMultilevel"/>
    <w:lvl w:ilvl="0">
      <w:start w:val="1"/>
      <w:numFmt w:val="decimal"/>
      <w:lvlText w:val="(%1)"/>
      <w:lvlJc w:val="left"/>
      <w:pPr>
        <w:ind w:left="425" w:hanging="224"/>
        <w:jc w:val="left"/>
      </w:pPr>
      <w:rPr>
        <w:rFonts w:hint="default" w:ascii="Times New Roman" w:hAnsi="Times New Roman" w:eastAsia="Times New Roman" w:cs="Times New Roman"/>
        <w:color w:val="231F20"/>
        <w:spacing w:val="-10"/>
        <w:w w:val="100"/>
        <w:sz w:val="14"/>
        <w:szCs w:val="14"/>
        <w:lang w:val="en-US" w:eastAsia="en-US" w:bidi="ar-SA"/>
      </w:rPr>
    </w:lvl>
    <w:lvl w:ilvl="1">
      <w:start w:val="0"/>
      <w:numFmt w:val="bullet"/>
      <w:lvlText w:val="•"/>
      <w:lvlJc w:val="left"/>
      <w:pPr>
        <w:ind w:left="6020" w:hanging="224"/>
      </w:pPr>
      <w:rPr>
        <w:rFonts w:hint="default"/>
        <w:lang w:val="en-US" w:eastAsia="en-US" w:bidi="ar-SA"/>
      </w:rPr>
    </w:lvl>
    <w:lvl w:ilvl="2">
      <w:start w:val="0"/>
      <w:numFmt w:val="bullet"/>
      <w:lvlText w:val="•"/>
      <w:lvlJc w:val="left"/>
      <w:pPr>
        <w:ind w:left="6546" w:hanging="224"/>
      </w:pPr>
      <w:rPr>
        <w:rFonts w:hint="default"/>
        <w:lang w:val="en-US" w:eastAsia="en-US" w:bidi="ar-SA"/>
      </w:rPr>
    </w:lvl>
    <w:lvl w:ilvl="3">
      <w:start w:val="0"/>
      <w:numFmt w:val="bullet"/>
      <w:lvlText w:val="•"/>
      <w:lvlJc w:val="left"/>
      <w:pPr>
        <w:ind w:left="7073" w:hanging="224"/>
      </w:pPr>
      <w:rPr>
        <w:rFonts w:hint="default"/>
        <w:lang w:val="en-US" w:eastAsia="en-US" w:bidi="ar-SA"/>
      </w:rPr>
    </w:lvl>
    <w:lvl w:ilvl="4">
      <w:start w:val="0"/>
      <w:numFmt w:val="bullet"/>
      <w:lvlText w:val="•"/>
      <w:lvlJc w:val="left"/>
      <w:pPr>
        <w:ind w:left="7600" w:hanging="224"/>
      </w:pPr>
      <w:rPr>
        <w:rFonts w:hint="default"/>
        <w:lang w:val="en-US" w:eastAsia="en-US" w:bidi="ar-SA"/>
      </w:rPr>
    </w:lvl>
    <w:lvl w:ilvl="5">
      <w:start w:val="0"/>
      <w:numFmt w:val="bullet"/>
      <w:lvlText w:val="•"/>
      <w:lvlJc w:val="left"/>
      <w:pPr>
        <w:ind w:left="8126" w:hanging="224"/>
      </w:pPr>
      <w:rPr>
        <w:rFonts w:hint="default"/>
        <w:lang w:val="en-US" w:eastAsia="en-US" w:bidi="ar-SA"/>
      </w:rPr>
    </w:lvl>
    <w:lvl w:ilvl="6">
      <w:start w:val="0"/>
      <w:numFmt w:val="bullet"/>
      <w:lvlText w:val="•"/>
      <w:lvlJc w:val="left"/>
      <w:pPr>
        <w:ind w:left="8653" w:hanging="224"/>
      </w:pPr>
      <w:rPr>
        <w:rFonts w:hint="default"/>
        <w:lang w:val="en-US" w:eastAsia="en-US" w:bidi="ar-SA"/>
      </w:rPr>
    </w:lvl>
    <w:lvl w:ilvl="7">
      <w:start w:val="0"/>
      <w:numFmt w:val="bullet"/>
      <w:lvlText w:val="•"/>
      <w:lvlJc w:val="left"/>
      <w:pPr>
        <w:ind w:left="9180" w:hanging="224"/>
      </w:pPr>
      <w:rPr>
        <w:rFonts w:hint="default"/>
        <w:lang w:val="en-US" w:eastAsia="en-US" w:bidi="ar-SA"/>
      </w:rPr>
    </w:lvl>
    <w:lvl w:ilvl="8">
      <w:start w:val="0"/>
      <w:numFmt w:val="bullet"/>
      <w:lvlText w:val="•"/>
      <w:lvlJc w:val="left"/>
      <w:pPr>
        <w:ind w:left="9706" w:hanging="224"/>
      </w:pPr>
      <w:rPr>
        <w:rFonts w:hint="default"/>
        <w:lang w:val="en-US" w:eastAsia="en-US" w:bidi="ar-SA"/>
      </w:rPr>
    </w:lvl>
  </w:abstractNum>
  <w:abstractNum w:abstractNumId="50">
    <w:multiLevelType w:val="hybridMultilevel"/>
    <w:lvl w:ilvl="0">
      <w:start w:val="3"/>
      <w:numFmt w:val="decimal"/>
      <w:lvlText w:val="%1"/>
      <w:lvlJc w:val="left"/>
      <w:pPr>
        <w:ind w:left="204" w:hanging="481"/>
        <w:jc w:val="left"/>
      </w:pPr>
      <w:rPr>
        <w:rFonts w:hint="default" w:ascii="Times New Roman" w:hAnsi="Times New Roman" w:eastAsia="Times New Roman" w:cs="Times New Roman"/>
        <w:color w:val="231F20"/>
        <w:spacing w:val="-5"/>
        <w:w w:val="100"/>
        <w:sz w:val="18"/>
        <w:szCs w:val="18"/>
        <w:lang w:val="en-US" w:eastAsia="en-US" w:bidi="ar-SA"/>
      </w:rPr>
    </w:lvl>
    <w:lvl w:ilvl="1">
      <w:start w:val="0"/>
      <w:numFmt w:val="bullet"/>
      <w:lvlText w:val="•"/>
      <w:lvlJc w:val="left"/>
      <w:pPr>
        <w:ind w:left="693" w:hanging="481"/>
      </w:pPr>
      <w:rPr>
        <w:rFonts w:hint="default"/>
        <w:lang w:val="en-US" w:eastAsia="en-US" w:bidi="ar-SA"/>
      </w:rPr>
    </w:lvl>
    <w:lvl w:ilvl="2">
      <w:start w:val="0"/>
      <w:numFmt w:val="bullet"/>
      <w:lvlText w:val="•"/>
      <w:lvlJc w:val="left"/>
      <w:pPr>
        <w:ind w:left="1186" w:hanging="481"/>
      </w:pPr>
      <w:rPr>
        <w:rFonts w:hint="default"/>
        <w:lang w:val="en-US" w:eastAsia="en-US" w:bidi="ar-SA"/>
      </w:rPr>
    </w:lvl>
    <w:lvl w:ilvl="3">
      <w:start w:val="0"/>
      <w:numFmt w:val="bullet"/>
      <w:lvlText w:val="•"/>
      <w:lvlJc w:val="left"/>
      <w:pPr>
        <w:ind w:left="1680" w:hanging="481"/>
      </w:pPr>
      <w:rPr>
        <w:rFonts w:hint="default"/>
        <w:lang w:val="en-US" w:eastAsia="en-US" w:bidi="ar-SA"/>
      </w:rPr>
    </w:lvl>
    <w:lvl w:ilvl="4">
      <w:start w:val="0"/>
      <w:numFmt w:val="bullet"/>
      <w:lvlText w:val="•"/>
      <w:lvlJc w:val="left"/>
      <w:pPr>
        <w:ind w:left="2173" w:hanging="481"/>
      </w:pPr>
      <w:rPr>
        <w:rFonts w:hint="default"/>
        <w:lang w:val="en-US" w:eastAsia="en-US" w:bidi="ar-SA"/>
      </w:rPr>
    </w:lvl>
    <w:lvl w:ilvl="5">
      <w:start w:val="0"/>
      <w:numFmt w:val="bullet"/>
      <w:lvlText w:val="•"/>
      <w:lvlJc w:val="left"/>
      <w:pPr>
        <w:ind w:left="2666" w:hanging="481"/>
      </w:pPr>
      <w:rPr>
        <w:rFonts w:hint="default"/>
        <w:lang w:val="en-US" w:eastAsia="en-US" w:bidi="ar-SA"/>
      </w:rPr>
    </w:lvl>
    <w:lvl w:ilvl="6">
      <w:start w:val="0"/>
      <w:numFmt w:val="bullet"/>
      <w:lvlText w:val="•"/>
      <w:lvlJc w:val="left"/>
      <w:pPr>
        <w:ind w:left="3160" w:hanging="481"/>
      </w:pPr>
      <w:rPr>
        <w:rFonts w:hint="default"/>
        <w:lang w:val="en-US" w:eastAsia="en-US" w:bidi="ar-SA"/>
      </w:rPr>
    </w:lvl>
    <w:lvl w:ilvl="7">
      <w:start w:val="0"/>
      <w:numFmt w:val="bullet"/>
      <w:lvlText w:val="•"/>
      <w:lvlJc w:val="left"/>
      <w:pPr>
        <w:ind w:left="3653" w:hanging="481"/>
      </w:pPr>
      <w:rPr>
        <w:rFonts w:hint="default"/>
        <w:lang w:val="en-US" w:eastAsia="en-US" w:bidi="ar-SA"/>
      </w:rPr>
    </w:lvl>
    <w:lvl w:ilvl="8">
      <w:start w:val="0"/>
      <w:numFmt w:val="bullet"/>
      <w:lvlText w:val="•"/>
      <w:lvlJc w:val="left"/>
      <w:pPr>
        <w:ind w:left="4146" w:hanging="481"/>
      </w:pPr>
      <w:rPr>
        <w:rFonts w:hint="default"/>
        <w:lang w:val="en-US" w:eastAsia="en-US" w:bidi="ar-SA"/>
      </w:rPr>
    </w:lvl>
  </w:abstractNum>
  <w:abstractNum w:abstractNumId="49">
    <w:multiLevelType w:val="hybridMultilevel"/>
    <w:lvl w:ilvl="0">
      <w:start w:val="1"/>
      <w:numFmt w:val="upperRoman"/>
      <w:lvlText w:val="%1"/>
      <w:lvlJc w:val="left"/>
      <w:pPr>
        <w:ind w:left="684" w:hanging="481"/>
        <w:jc w:val="left"/>
      </w:pPr>
      <w:rPr>
        <w:rFonts w:hint="default" w:ascii="Times New Roman" w:hAnsi="Times New Roman" w:eastAsia="Times New Roman" w:cs="Times New Roman"/>
        <w:b/>
        <w:bCs/>
        <w:color w:val="009483"/>
        <w:spacing w:val="-3"/>
        <w:w w:val="100"/>
        <w:sz w:val="22"/>
        <w:szCs w:val="22"/>
        <w:lang w:val="en-US" w:eastAsia="en-US" w:bidi="ar-SA"/>
      </w:rPr>
    </w:lvl>
    <w:lvl w:ilvl="1">
      <w:start w:val="0"/>
      <w:numFmt w:val="bullet"/>
      <w:lvlText w:val="•"/>
      <w:lvlJc w:val="left"/>
      <w:pPr>
        <w:ind w:left="1125" w:hanging="481"/>
      </w:pPr>
      <w:rPr>
        <w:rFonts w:hint="default"/>
        <w:lang w:val="en-US" w:eastAsia="en-US" w:bidi="ar-SA"/>
      </w:rPr>
    </w:lvl>
    <w:lvl w:ilvl="2">
      <w:start w:val="0"/>
      <w:numFmt w:val="bullet"/>
      <w:lvlText w:val="•"/>
      <w:lvlJc w:val="left"/>
      <w:pPr>
        <w:ind w:left="1570" w:hanging="481"/>
      </w:pPr>
      <w:rPr>
        <w:rFonts w:hint="default"/>
        <w:lang w:val="en-US" w:eastAsia="en-US" w:bidi="ar-SA"/>
      </w:rPr>
    </w:lvl>
    <w:lvl w:ilvl="3">
      <w:start w:val="0"/>
      <w:numFmt w:val="bullet"/>
      <w:lvlText w:val="•"/>
      <w:lvlJc w:val="left"/>
      <w:pPr>
        <w:ind w:left="2016" w:hanging="481"/>
      </w:pPr>
      <w:rPr>
        <w:rFonts w:hint="default"/>
        <w:lang w:val="en-US" w:eastAsia="en-US" w:bidi="ar-SA"/>
      </w:rPr>
    </w:lvl>
    <w:lvl w:ilvl="4">
      <w:start w:val="0"/>
      <w:numFmt w:val="bullet"/>
      <w:lvlText w:val="•"/>
      <w:lvlJc w:val="left"/>
      <w:pPr>
        <w:ind w:left="2461" w:hanging="481"/>
      </w:pPr>
      <w:rPr>
        <w:rFonts w:hint="default"/>
        <w:lang w:val="en-US" w:eastAsia="en-US" w:bidi="ar-SA"/>
      </w:rPr>
    </w:lvl>
    <w:lvl w:ilvl="5">
      <w:start w:val="0"/>
      <w:numFmt w:val="bullet"/>
      <w:lvlText w:val="•"/>
      <w:lvlJc w:val="left"/>
      <w:pPr>
        <w:ind w:left="2906" w:hanging="481"/>
      </w:pPr>
      <w:rPr>
        <w:rFonts w:hint="default"/>
        <w:lang w:val="en-US" w:eastAsia="en-US" w:bidi="ar-SA"/>
      </w:rPr>
    </w:lvl>
    <w:lvl w:ilvl="6">
      <w:start w:val="0"/>
      <w:numFmt w:val="bullet"/>
      <w:lvlText w:val="•"/>
      <w:lvlJc w:val="left"/>
      <w:pPr>
        <w:ind w:left="3352" w:hanging="481"/>
      </w:pPr>
      <w:rPr>
        <w:rFonts w:hint="default"/>
        <w:lang w:val="en-US" w:eastAsia="en-US" w:bidi="ar-SA"/>
      </w:rPr>
    </w:lvl>
    <w:lvl w:ilvl="7">
      <w:start w:val="0"/>
      <w:numFmt w:val="bullet"/>
      <w:lvlText w:val="•"/>
      <w:lvlJc w:val="left"/>
      <w:pPr>
        <w:ind w:left="3797" w:hanging="481"/>
      </w:pPr>
      <w:rPr>
        <w:rFonts w:hint="default"/>
        <w:lang w:val="en-US" w:eastAsia="en-US" w:bidi="ar-SA"/>
      </w:rPr>
    </w:lvl>
    <w:lvl w:ilvl="8">
      <w:start w:val="0"/>
      <w:numFmt w:val="bullet"/>
      <w:lvlText w:val="•"/>
      <w:lvlJc w:val="left"/>
      <w:pPr>
        <w:ind w:left="4242" w:hanging="481"/>
      </w:pPr>
      <w:rPr>
        <w:rFonts w:hint="default"/>
        <w:lang w:val="en-US" w:eastAsia="en-US" w:bidi="ar-SA"/>
      </w:rPr>
    </w:lvl>
  </w:abstractNum>
  <w:abstractNum w:abstractNumId="48">
    <w:multiLevelType w:val="hybridMultilevel"/>
    <w:lvl w:ilvl="0">
      <w:start w:val="27"/>
      <w:numFmt w:val="decimal"/>
      <w:lvlText w:val="%1"/>
      <w:lvlJc w:val="left"/>
      <w:pPr>
        <w:ind w:left="185" w:hanging="481"/>
        <w:jc w:val="left"/>
      </w:pPr>
      <w:rPr>
        <w:rFonts w:hint="default" w:ascii="Times New Roman" w:hAnsi="Times New Roman" w:eastAsia="Times New Roman" w:cs="Times New Roman"/>
        <w:color w:val="231F20"/>
        <w:spacing w:val="-3"/>
        <w:w w:val="100"/>
        <w:sz w:val="18"/>
        <w:szCs w:val="18"/>
        <w:lang w:val="en-US" w:eastAsia="en-US" w:bidi="ar-SA"/>
      </w:rPr>
    </w:lvl>
    <w:lvl w:ilvl="1">
      <w:start w:val="0"/>
      <w:numFmt w:val="bullet"/>
      <w:lvlText w:val="•"/>
      <w:lvlJc w:val="left"/>
      <w:pPr>
        <w:ind w:left="673" w:hanging="481"/>
      </w:pPr>
      <w:rPr>
        <w:rFonts w:hint="default"/>
        <w:lang w:val="en-US" w:eastAsia="en-US" w:bidi="ar-SA"/>
      </w:rPr>
    </w:lvl>
    <w:lvl w:ilvl="2">
      <w:start w:val="0"/>
      <w:numFmt w:val="bullet"/>
      <w:lvlText w:val="•"/>
      <w:lvlJc w:val="left"/>
      <w:pPr>
        <w:ind w:left="1166" w:hanging="481"/>
      </w:pPr>
      <w:rPr>
        <w:rFonts w:hint="default"/>
        <w:lang w:val="en-US" w:eastAsia="en-US" w:bidi="ar-SA"/>
      </w:rPr>
    </w:lvl>
    <w:lvl w:ilvl="3">
      <w:start w:val="0"/>
      <w:numFmt w:val="bullet"/>
      <w:lvlText w:val="•"/>
      <w:lvlJc w:val="left"/>
      <w:pPr>
        <w:ind w:left="1660" w:hanging="481"/>
      </w:pPr>
      <w:rPr>
        <w:rFonts w:hint="default"/>
        <w:lang w:val="en-US" w:eastAsia="en-US" w:bidi="ar-SA"/>
      </w:rPr>
    </w:lvl>
    <w:lvl w:ilvl="4">
      <w:start w:val="0"/>
      <w:numFmt w:val="bullet"/>
      <w:lvlText w:val="•"/>
      <w:lvlJc w:val="left"/>
      <w:pPr>
        <w:ind w:left="2153" w:hanging="481"/>
      </w:pPr>
      <w:rPr>
        <w:rFonts w:hint="default"/>
        <w:lang w:val="en-US" w:eastAsia="en-US" w:bidi="ar-SA"/>
      </w:rPr>
    </w:lvl>
    <w:lvl w:ilvl="5">
      <w:start w:val="0"/>
      <w:numFmt w:val="bullet"/>
      <w:lvlText w:val="•"/>
      <w:lvlJc w:val="left"/>
      <w:pPr>
        <w:ind w:left="2647" w:hanging="481"/>
      </w:pPr>
      <w:rPr>
        <w:rFonts w:hint="default"/>
        <w:lang w:val="en-US" w:eastAsia="en-US" w:bidi="ar-SA"/>
      </w:rPr>
    </w:lvl>
    <w:lvl w:ilvl="6">
      <w:start w:val="0"/>
      <w:numFmt w:val="bullet"/>
      <w:lvlText w:val="•"/>
      <w:lvlJc w:val="left"/>
      <w:pPr>
        <w:ind w:left="3140" w:hanging="481"/>
      </w:pPr>
      <w:rPr>
        <w:rFonts w:hint="default"/>
        <w:lang w:val="en-US" w:eastAsia="en-US" w:bidi="ar-SA"/>
      </w:rPr>
    </w:lvl>
    <w:lvl w:ilvl="7">
      <w:start w:val="0"/>
      <w:numFmt w:val="bullet"/>
      <w:lvlText w:val="•"/>
      <w:lvlJc w:val="left"/>
      <w:pPr>
        <w:ind w:left="3634" w:hanging="481"/>
      </w:pPr>
      <w:rPr>
        <w:rFonts w:hint="default"/>
        <w:lang w:val="en-US" w:eastAsia="en-US" w:bidi="ar-SA"/>
      </w:rPr>
    </w:lvl>
    <w:lvl w:ilvl="8">
      <w:start w:val="0"/>
      <w:numFmt w:val="bullet"/>
      <w:lvlText w:val="•"/>
      <w:lvlJc w:val="left"/>
      <w:pPr>
        <w:ind w:left="4127" w:hanging="481"/>
      </w:pPr>
      <w:rPr>
        <w:rFonts w:hint="default"/>
        <w:lang w:val="en-US" w:eastAsia="en-US" w:bidi="ar-SA"/>
      </w:rPr>
    </w:lvl>
  </w:abstractNum>
  <w:abstractNum w:abstractNumId="47">
    <w:multiLevelType w:val="hybridMultilevel"/>
    <w:lvl w:ilvl="0">
      <w:start w:val="1"/>
      <w:numFmt w:val="upperRoman"/>
      <w:lvlText w:val="(%1)"/>
      <w:lvlJc w:val="left"/>
      <w:pPr>
        <w:ind w:left="645" w:hanging="481"/>
        <w:jc w:val="left"/>
      </w:pPr>
      <w:rPr>
        <w:rFonts w:hint="default" w:ascii="Times New Roman" w:hAnsi="Times New Roman" w:eastAsia="Times New Roman" w:cs="Times New Roman"/>
        <w:i/>
        <w:color w:val="009483"/>
        <w:w w:val="100"/>
        <w:sz w:val="18"/>
        <w:szCs w:val="18"/>
        <w:lang w:val="en-US" w:eastAsia="en-US" w:bidi="ar-SA"/>
      </w:rPr>
    </w:lvl>
    <w:lvl w:ilvl="1">
      <w:start w:val="0"/>
      <w:numFmt w:val="bullet"/>
      <w:lvlText w:val="•"/>
      <w:lvlJc w:val="left"/>
      <w:pPr>
        <w:ind w:left="1086" w:hanging="481"/>
      </w:pPr>
      <w:rPr>
        <w:rFonts w:hint="default"/>
        <w:lang w:val="en-US" w:eastAsia="en-US" w:bidi="ar-SA"/>
      </w:rPr>
    </w:lvl>
    <w:lvl w:ilvl="2">
      <w:start w:val="0"/>
      <w:numFmt w:val="bullet"/>
      <w:lvlText w:val="•"/>
      <w:lvlJc w:val="left"/>
      <w:pPr>
        <w:ind w:left="1533" w:hanging="481"/>
      </w:pPr>
      <w:rPr>
        <w:rFonts w:hint="default"/>
        <w:lang w:val="en-US" w:eastAsia="en-US" w:bidi="ar-SA"/>
      </w:rPr>
    </w:lvl>
    <w:lvl w:ilvl="3">
      <w:start w:val="0"/>
      <w:numFmt w:val="bullet"/>
      <w:lvlText w:val="•"/>
      <w:lvlJc w:val="left"/>
      <w:pPr>
        <w:ind w:left="1980" w:hanging="481"/>
      </w:pPr>
      <w:rPr>
        <w:rFonts w:hint="default"/>
        <w:lang w:val="en-US" w:eastAsia="en-US" w:bidi="ar-SA"/>
      </w:rPr>
    </w:lvl>
    <w:lvl w:ilvl="4">
      <w:start w:val="0"/>
      <w:numFmt w:val="bullet"/>
      <w:lvlText w:val="•"/>
      <w:lvlJc w:val="left"/>
      <w:pPr>
        <w:ind w:left="2427" w:hanging="481"/>
      </w:pPr>
      <w:rPr>
        <w:rFonts w:hint="default"/>
        <w:lang w:val="en-US" w:eastAsia="en-US" w:bidi="ar-SA"/>
      </w:rPr>
    </w:lvl>
    <w:lvl w:ilvl="5">
      <w:start w:val="0"/>
      <w:numFmt w:val="bullet"/>
      <w:lvlText w:val="•"/>
      <w:lvlJc w:val="left"/>
      <w:pPr>
        <w:ind w:left="2874" w:hanging="481"/>
      </w:pPr>
      <w:rPr>
        <w:rFonts w:hint="default"/>
        <w:lang w:val="en-US" w:eastAsia="en-US" w:bidi="ar-SA"/>
      </w:rPr>
    </w:lvl>
    <w:lvl w:ilvl="6">
      <w:start w:val="0"/>
      <w:numFmt w:val="bullet"/>
      <w:lvlText w:val="•"/>
      <w:lvlJc w:val="left"/>
      <w:pPr>
        <w:ind w:left="3321" w:hanging="481"/>
      </w:pPr>
      <w:rPr>
        <w:rFonts w:hint="default"/>
        <w:lang w:val="en-US" w:eastAsia="en-US" w:bidi="ar-SA"/>
      </w:rPr>
    </w:lvl>
    <w:lvl w:ilvl="7">
      <w:start w:val="0"/>
      <w:numFmt w:val="bullet"/>
      <w:lvlText w:val="•"/>
      <w:lvlJc w:val="left"/>
      <w:pPr>
        <w:ind w:left="3768" w:hanging="481"/>
      </w:pPr>
      <w:rPr>
        <w:rFonts w:hint="default"/>
        <w:lang w:val="en-US" w:eastAsia="en-US" w:bidi="ar-SA"/>
      </w:rPr>
    </w:lvl>
    <w:lvl w:ilvl="8">
      <w:start w:val="0"/>
      <w:numFmt w:val="bullet"/>
      <w:lvlText w:val="•"/>
      <w:lvlJc w:val="left"/>
      <w:pPr>
        <w:ind w:left="4215" w:hanging="481"/>
      </w:pPr>
      <w:rPr>
        <w:rFonts w:hint="default"/>
        <w:lang w:val="en-US" w:eastAsia="en-US" w:bidi="ar-SA"/>
      </w:rPr>
    </w:lvl>
  </w:abstractNum>
  <w:abstractNum w:abstractNumId="46">
    <w:multiLevelType w:val="hybridMultilevel"/>
    <w:lvl w:ilvl="0">
      <w:start w:val="1"/>
      <w:numFmt w:val="decimal"/>
      <w:lvlText w:val="%1"/>
      <w:lvlJc w:val="left"/>
      <w:pPr>
        <w:ind w:left="165" w:hanging="481"/>
        <w:jc w:val="left"/>
      </w:pPr>
      <w:rPr>
        <w:rFonts w:hint="default" w:ascii="Times New Roman" w:hAnsi="Times New Roman" w:eastAsia="Times New Roman" w:cs="Times New Roman"/>
        <w:color w:val="231F20"/>
        <w:spacing w:val="-5"/>
        <w:w w:val="100"/>
        <w:sz w:val="18"/>
        <w:szCs w:val="18"/>
        <w:lang w:val="en-US" w:eastAsia="en-US" w:bidi="ar-SA"/>
      </w:rPr>
    </w:lvl>
    <w:lvl w:ilvl="1">
      <w:start w:val="0"/>
      <w:numFmt w:val="bullet"/>
      <w:lvlText w:val="•"/>
      <w:lvlJc w:val="left"/>
      <w:pPr>
        <w:ind w:left="654" w:hanging="481"/>
      </w:pPr>
      <w:rPr>
        <w:rFonts w:hint="default"/>
        <w:lang w:val="en-US" w:eastAsia="en-US" w:bidi="ar-SA"/>
      </w:rPr>
    </w:lvl>
    <w:lvl w:ilvl="2">
      <w:start w:val="0"/>
      <w:numFmt w:val="bullet"/>
      <w:lvlText w:val="•"/>
      <w:lvlJc w:val="left"/>
      <w:pPr>
        <w:ind w:left="1149" w:hanging="481"/>
      </w:pPr>
      <w:rPr>
        <w:rFonts w:hint="default"/>
        <w:lang w:val="en-US" w:eastAsia="en-US" w:bidi="ar-SA"/>
      </w:rPr>
    </w:lvl>
    <w:lvl w:ilvl="3">
      <w:start w:val="0"/>
      <w:numFmt w:val="bullet"/>
      <w:lvlText w:val="•"/>
      <w:lvlJc w:val="left"/>
      <w:pPr>
        <w:ind w:left="1644" w:hanging="481"/>
      </w:pPr>
      <w:rPr>
        <w:rFonts w:hint="default"/>
        <w:lang w:val="en-US" w:eastAsia="en-US" w:bidi="ar-SA"/>
      </w:rPr>
    </w:lvl>
    <w:lvl w:ilvl="4">
      <w:start w:val="0"/>
      <w:numFmt w:val="bullet"/>
      <w:lvlText w:val="•"/>
      <w:lvlJc w:val="left"/>
      <w:pPr>
        <w:ind w:left="2139" w:hanging="481"/>
      </w:pPr>
      <w:rPr>
        <w:rFonts w:hint="default"/>
        <w:lang w:val="en-US" w:eastAsia="en-US" w:bidi="ar-SA"/>
      </w:rPr>
    </w:lvl>
    <w:lvl w:ilvl="5">
      <w:start w:val="0"/>
      <w:numFmt w:val="bullet"/>
      <w:lvlText w:val="•"/>
      <w:lvlJc w:val="left"/>
      <w:pPr>
        <w:ind w:left="2634" w:hanging="481"/>
      </w:pPr>
      <w:rPr>
        <w:rFonts w:hint="default"/>
        <w:lang w:val="en-US" w:eastAsia="en-US" w:bidi="ar-SA"/>
      </w:rPr>
    </w:lvl>
    <w:lvl w:ilvl="6">
      <w:start w:val="0"/>
      <w:numFmt w:val="bullet"/>
      <w:lvlText w:val="•"/>
      <w:lvlJc w:val="left"/>
      <w:pPr>
        <w:ind w:left="3129" w:hanging="481"/>
      </w:pPr>
      <w:rPr>
        <w:rFonts w:hint="default"/>
        <w:lang w:val="en-US" w:eastAsia="en-US" w:bidi="ar-SA"/>
      </w:rPr>
    </w:lvl>
    <w:lvl w:ilvl="7">
      <w:start w:val="0"/>
      <w:numFmt w:val="bullet"/>
      <w:lvlText w:val="•"/>
      <w:lvlJc w:val="left"/>
      <w:pPr>
        <w:ind w:left="3624" w:hanging="481"/>
      </w:pPr>
      <w:rPr>
        <w:rFonts w:hint="default"/>
        <w:lang w:val="en-US" w:eastAsia="en-US" w:bidi="ar-SA"/>
      </w:rPr>
    </w:lvl>
    <w:lvl w:ilvl="8">
      <w:start w:val="0"/>
      <w:numFmt w:val="bullet"/>
      <w:lvlText w:val="•"/>
      <w:lvlJc w:val="left"/>
      <w:pPr>
        <w:ind w:left="4119" w:hanging="481"/>
      </w:pPr>
      <w:rPr>
        <w:rFonts w:hint="default"/>
        <w:lang w:val="en-US" w:eastAsia="en-US" w:bidi="ar-SA"/>
      </w:rPr>
    </w:lvl>
  </w:abstractNum>
  <w:abstractNum w:abstractNumId="45">
    <w:multiLevelType w:val="hybridMultilevel"/>
    <w:lvl w:ilvl="0">
      <w:start w:val="9"/>
      <w:numFmt w:val="decimal"/>
      <w:lvlText w:val="%1"/>
      <w:lvlJc w:val="left"/>
      <w:pPr>
        <w:ind w:left="194" w:hanging="481"/>
        <w:jc w:val="left"/>
      </w:pPr>
      <w:rPr>
        <w:rFonts w:hint="default" w:ascii="Times New Roman" w:hAnsi="Times New Roman" w:eastAsia="Times New Roman" w:cs="Times New Roman"/>
        <w:color w:val="231F20"/>
        <w:spacing w:val="-3"/>
        <w:w w:val="100"/>
        <w:sz w:val="18"/>
        <w:szCs w:val="18"/>
        <w:lang w:val="en-US" w:eastAsia="en-US" w:bidi="ar-SA"/>
      </w:rPr>
    </w:lvl>
    <w:lvl w:ilvl="1">
      <w:start w:val="0"/>
      <w:numFmt w:val="bullet"/>
      <w:lvlText w:val="•"/>
      <w:lvlJc w:val="left"/>
      <w:pPr>
        <w:ind w:left="716" w:hanging="481"/>
      </w:pPr>
      <w:rPr>
        <w:rFonts w:hint="default"/>
        <w:lang w:val="en-US" w:eastAsia="en-US" w:bidi="ar-SA"/>
      </w:rPr>
    </w:lvl>
    <w:lvl w:ilvl="2">
      <w:start w:val="0"/>
      <w:numFmt w:val="bullet"/>
      <w:lvlText w:val="•"/>
      <w:lvlJc w:val="left"/>
      <w:pPr>
        <w:ind w:left="1233" w:hanging="481"/>
      </w:pPr>
      <w:rPr>
        <w:rFonts w:hint="default"/>
        <w:lang w:val="en-US" w:eastAsia="en-US" w:bidi="ar-SA"/>
      </w:rPr>
    </w:lvl>
    <w:lvl w:ilvl="3">
      <w:start w:val="0"/>
      <w:numFmt w:val="bullet"/>
      <w:lvlText w:val="•"/>
      <w:lvlJc w:val="left"/>
      <w:pPr>
        <w:ind w:left="1750" w:hanging="481"/>
      </w:pPr>
      <w:rPr>
        <w:rFonts w:hint="default"/>
        <w:lang w:val="en-US" w:eastAsia="en-US" w:bidi="ar-SA"/>
      </w:rPr>
    </w:lvl>
    <w:lvl w:ilvl="4">
      <w:start w:val="0"/>
      <w:numFmt w:val="bullet"/>
      <w:lvlText w:val="•"/>
      <w:lvlJc w:val="left"/>
      <w:pPr>
        <w:ind w:left="2266" w:hanging="481"/>
      </w:pPr>
      <w:rPr>
        <w:rFonts w:hint="default"/>
        <w:lang w:val="en-US" w:eastAsia="en-US" w:bidi="ar-SA"/>
      </w:rPr>
    </w:lvl>
    <w:lvl w:ilvl="5">
      <w:start w:val="0"/>
      <w:numFmt w:val="bullet"/>
      <w:lvlText w:val="•"/>
      <w:lvlJc w:val="left"/>
      <w:pPr>
        <w:ind w:left="2783" w:hanging="481"/>
      </w:pPr>
      <w:rPr>
        <w:rFonts w:hint="default"/>
        <w:lang w:val="en-US" w:eastAsia="en-US" w:bidi="ar-SA"/>
      </w:rPr>
    </w:lvl>
    <w:lvl w:ilvl="6">
      <w:start w:val="0"/>
      <w:numFmt w:val="bullet"/>
      <w:lvlText w:val="•"/>
      <w:lvlJc w:val="left"/>
      <w:pPr>
        <w:ind w:left="3300" w:hanging="481"/>
      </w:pPr>
      <w:rPr>
        <w:rFonts w:hint="default"/>
        <w:lang w:val="en-US" w:eastAsia="en-US" w:bidi="ar-SA"/>
      </w:rPr>
    </w:lvl>
    <w:lvl w:ilvl="7">
      <w:start w:val="0"/>
      <w:numFmt w:val="bullet"/>
      <w:lvlText w:val="•"/>
      <w:lvlJc w:val="left"/>
      <w:pPr>
        <w:ind w:left="3817" w:hanging="481"/>
      </w:pPr>
      <w:rPr>
        <w:rFonts w:hint="default"/>
        <w:lang w:val="en-US" w:eastAsia="en-US" w:bidi="ar-SA"/>
      </w:rPr>
    </w:lvl>
    <w:lvl w:ilvl="8">
      <w:start w:val="0"/>
      <w:numFmt w:val="bullet"/>
      <w:lvlText w:val="•"/>
      <w:lvlJc w:val="left"/>
      <w:pPr>
        <w:ind w:left="4333" w:hanging="481"/>
      </w:pPr>
      <w:rPr>
        <w:rFonts w:hint="default"/>
        <w:lang w:val="en-US" w:eastAsia="en-US" w:bidi="ar-SA"/>
      </w:rPr>
    </w:lvl>
  </w:abstractNum>
  <w:abstractNum w:abstractNumId="44">
    <w:multiLevelType w:val="hybridMultilevel"/>
    <w:lvl w:ilvl="0">
      <w:start w:val="1"/>
      <w:numFmt w:val="lowerRoman"/>
      <w:lvlText w:val="(%1)"/>
      <w:lvlJc w:val="left"/>
      <w:pPr>
        <w:ind w:left="674" w:hanging="481"/>
        <w:jc w:val="left"/>
      </w:pPr>
      <w:rPr>
        <w:rFonts w:hint="default" w:ascii="Times New Roman" w:hAnsi="Times New Roman" w:eastAsia="Times New Roman" w:cs="Times New Roman"/>
        <w:i/>
        <w:color w:val="009483"/>
        <w:w w:val="100"/>
        <w:sz w:val="18"/>
        <w:szCs w:val="18"/>
        <w:lang w:val="en-US" w:eastAsia="en-US" w:bidi="ar-SA"/>
      </w:rPr>
    </w:lvl>
    <w:lvl w:ilvl="1">
      <w:start w:val="0"/>
      <w:numFmt w:val="bullet"/>
      <w:lvlText w:val="•"/>
      <w:lvlJc w:val="left"/>
      <w:pPr>
        <w:ind w:left="1124" w:hanging="481"/>
      </w:pPr>
      <w:rPr>
        <w:rFonts w:hint="default"/>
        <w:lang w:val="en-US" w:eastAsia="en-US" w:bidi="ar-SA"/>
      </w:rPr>
    </w:lvl>
    <w:lvl w:ilvl="2">
      <w:start w:val="0"/>
      <w:numFmt w:val="bullet"/>
      <w:lvlText w:val="•"/>
      <w:lvlJc w:val="left"/>
      <w:pPr>
        <w:ind w:left="1568" w:hanging="481"/>
      </w:pPr>
      <w:rPr>
        <w:rFonts w:hint="default"/>
        <w:lang w:val="en-US" w:eastAsia="en-US" w:bidi="ar-SA"/>
      </w:rPr>
    </w:lvl>
    <w:lvl w:ilvl="3">
      <w:start w:val="0"/>
      <w:numFmt w:val="bullet"/>
      <w:lvlText w:val="•"/>
      <w:lvlJc w:val="left"/>
      <w:pPr>
        <w:ind w:left="2012" w:hanging="481"/>
      </w:pPr>
      <w:rPr>
        <w:rFonts w:hint="default"/>
        <w:lang w:val="en-US" w:eastAsia="en-US" w:bidi="ar-SA"/>
      </w:rPr>
    </w:lvl>
    <w:lvl w:ilvl="4">
      <w:start w:val="0"/>
      <w:numFmt w:val="bullet"/>
      <w:lvlText w:val="•"/>
      <w:lvlJc w:val="left"/>
      <w:pPr>
        <w:ind w:left="2457" w:hanging="481"/>
      </w:pPr>
      <w:rPr>
        <w:rFonts w:hint="default"/>
        <w:lang w:val="en-US" w:eastAsia="en-US" w:bidi="ar-SA"/>
      </w:rPr>
    </w:lvl>
    <w:lvl w:ilvl="5">
      <w:start w:val="0"/>
      <w:numFmt w:val="bullet"/>
      <w:lvlText w:val="•"/>
      <w:lvlJc w:val="left"/>
      <w:pPr>
        <w:ind w:left="2901" w:hanging="481"/>
      </w:pPr>
      <w:rPr>
        <w:rFonts w:hint="default"/>
        <w:lang w:val="en-US" w:eastAsia="en-US" w:bidi="ar-SA"/>
      </w:rPr>
    </w:lvl>
    <w:lvl w:ilvl="6">
      <w:start w:val="0"/>
      <w:numFmt w:val="bullet"/>
      <w:lvlText w:val="•"/>
      <w:lvlJc w:val="left"/>
      <w:pPr>
        <w:ind w:left="3345" w:hanging="481"/>
      </w:pPr>
      <w:rPr>
        <w:rFonts w:hint="default"/>
        <w:lang w:val="en-US" w:eastAsia="en-US" w:bidi="ar-SA"/>
      </w:rPr>
    </w:lvl>
    <w:lvl w:ilvl="7">
      <w:start w:val="0"/>
      <w:numFmt w:val="bullet"/>
      <w:lvlText w:val="•"/>
      <w:lvlJc w:val="left"/>
      <w:pPr>
        <w:ind w:left="3790" w:hanging="481"/>
      </w:pPr>
      <w:rPr>
        <w:rFonts w:hint="default"/>
        <w:lang w:val="en-US" w:eastAsia="en-US" w:bidi="ar-SA"/>
      </w:rPr>
    </w:lvl>
    <w:lvl w:ilvl="8">
      <w:start w:val="0"/>
      <w:numFmt w:val="bullet"/>
      <w:lvlText w:val="•"/>
      <w:lvlJc w:val="left"/>
      <w:pPr>
        <w:ind w:left="4234" w:hanging="481"/>
      </w:pPr>
      <w:rPr>
        <w:rFonts w:hint="default"/>
        <w:lang w:val="en-US" w:eastAsia="en-US" w:bidi="ar-SA"/>
      </w:rPr>
    </w:lvl>
  </w:abstractNum>
  <w:abstractNum w:abstractNumId="43">
    <w:multiLevelType w:val="hybridMultilevel"/>
    <w:lvl w:ilvl="0">
      <w:start w:val="1"/>
      <w:numFmt w:val="upperRoman"/>
      <w:lvlText w:val="%1"/>
      <w:lvlJc w:val="left"/>
      <w:pPr>
        <w:ind w:left="674" w:hanging="481"/>
        <w:jc w:val="left"/>
      </w:pPr>
      <w:rPr>
        <w:rFonts w:hint="default" w:ascii="Times New Roman" w:hAnsi="Times New Roman" w:eastAsia="Times New Roman" w:cs="Times New Roman"/>
        <w:b/>
        <w:bCs/>
        <w:color w:val="009483"/>
        <w:spacing w:val="-6"/>
        <w:w w:val="100"/>
        <w:sz w:val="22"/>
        <w:szCs w:val="22"/>
        <w:lang w:val="en-US" w:eastAsia="en-US" w:bidi="ar-SA"/>
      </w:rPr>
    </w:lvl>
    <w:lvl w:ilvl="1">
      <w:start w:val="0"/>
      <w:numFmt w:val="bullet"/>
      <w:lvlText w:val="•"/>
      <w:lvlJc w:val="left"/>
      <w:pPr>
        <w:ind w:left="1124" w:hanging="481"/>
      </w:pPr>
      <w:rPr>
        <w:rFonts w:hint="default"/>
        <w:lang w:val="en-US" w:eastAsia="en-US" w:bidi="ar-SA"/>
      </w:rPr>
    </w:lvl>
    <w:lvl w:ilvl="2">
      <w:start w:val="0"/>
      <w:numFmt w:val="bullet"/>
      <w:lvlText w:val="•"/>
      <w:lvlJc w:val="left"/>
      <w:pPr>
        <w:ind w:left="1568" w:hanging="481"/>
      </w:pPr>
      <w:rPr>
        <w:rFonts w:hint="default"/>
        <w:lang w:val="en-US" w:eastAsia="en-US" w:bidi="ar-SA"/>
      </w:rPr>
    </w:lvl>
    <w:lvl w:ilvl="3">
      <w:start w:val="0"/>
      <w:numFmt w:val="bullet"/>
      <w:lvlText w:val="•"/>
      <w:lvlJc w:val="left"/>
      <w:pPr>
        <w:ind w:left="2012" w:hanging="481"/>
      </w:pPr>
      <w:rPr>
        <w:rFonts w:hint="default"/>
        <w:lang w:val="en-US" w:eastAsia="en-US" w:bidi="ar-SA"/>
      </w:rPr>
    </w:lvl>
    <w:lvl w:ilvl="4">
      <w:start w:val="0"/>
      <w:numFmt w:val="bullet"/>
      <w:lvlText w:val="•"/>
      <w:lvlJc w:val="left"/>
      <w:pPr>
        <w:ind w:left="2457" w:hanging="481"/>
      </w:pPr>
      <w:rPr>
        <w:rFonts w:hint="default"/>
        <w:lang w:val="en-US" w:eastAsia="en-US" w:bidi="ar-SA"/>
      </w:rPr>
    </w:lvl>
    <w:lvl w:ilvl="5">
      <w:start w:val="0"/>
      <w:numFmt w:val="bullet"/>
      <w:lvlText w:val="•"/>
      <w:lvlJc w:val="left"/>
      <w:pPr>
        <w:ind w:left="2901" w:hanging="481"/>
      </w:pPr>
      <w:rPr>
        <w:rFonts w:hint="default"/>
        <w:lang w:val="en-US" w:eastAsia="en-US" w:bidi="ar-SA"/>
      </w:rPr>
    </w:lvl>
    <w:lvl w:ilvl="6">
      <w:start w:val="0"/>
      <w:numFmt w:val="bullet"/>
      <w:lvlText w:val="•"/>
      <w:lvlJc w:val="left"/>
      <w:pPr>
        <w:ind w:left="3345" w:hanging="481"/>
      </w:pPr>
      <w:rPr>
        <w:rFonts w:hint="default"/>
        <w:lang w:val="en-US" w:eastAsia="en-US" w:bidi="ar-SA"/>
      </w:rPr>
    </w:lvl>
    <w:lvl w:ilvl="7">
      <w:start w:val="0"/>
      <w:numFmt w:val="bullet"/>
      <w:lvlText w:val="•"/>
      <w:lvlJc w:val="left"/>
      <w:pPr>
        <w:ind w:left="3790" w:hanging="481"/>
      </w:pPr>
      <w:rPr>
        <w:rFonts w:hint="default"/>
        <w:lang w:val="en-US" w:eastAsia="en-US" w:bidi="ar-SA"/>
      </w:rPr>
    </w:lvl>
    <w:lvl w:ilvl="8">
      <w:start w:val="0"/>
      <w:numFmt w:val="bullet"/>
      <w:lvlText w:val="•"/>
      <w:lvlJc w:val="left"/>
      <w:pPr>
        <w:ind w:left="4234" w:hanging="481"/>
      </w:pPr>
      <w:rPr>
        <w:rFonts w:hint="default"/>
        <w:lang w:val="en-US" w:eastAsia="en-US" w:bidi="ar-SA"/>
      </w:rPr>
    </w:lvl>
  </w:abstractNum>
  <w:abstractNum w:abstractNumId="42">
    <w:multiLevelType w:val="hybridMultilevel"/>
    <w:lvl w:ilvl="0">
      <w:start w:val="1"/>
      <w:numFmt w:val="decimal"/>
      <w:lvlText w:val="%1"/>
      <w:lvlJc w:val="left"/>
      <w:pPr>
        <w:ind w:left="194" w:hanging="481"/>
        <w:jc w:val="left"/>
      </w:pPr>
      <w:rPr>
        <w:rFonts w:hint="default" w:ascii="Times New Roman" w:hAnsi="Times New Roman" w:eastAsia="Times New Roman" w:cs="Times New Roman"/>
        <w:color w:val="231F20"/>
        <w:spacing w:val="-9"/>
        <w:w w:val="100"/>
        <w:sz w:val="18"/>
        <w:szCs w:val="18"/>
        <w:lang w:val="en-US" w:eastAsia="en-US" w:bidi="ar-SA"/>
      </w:rPr>
    </w:lvl>
    <w:lvl w:ilvl="1">
      <w:start w:val="0"/>
      <w:numFmt w:val="bullet"/>
      <w:lvlText w:val="•"/>
      <w:lvlJc w:val="left"/>
      <w:pPr>
        <w:ind w:left="692" w:hanging="481"/>
      </w:pPr>
      <w:rPr>
        <w:rFonts w:hint="default"/>
        <w:lang w:val="en-US" w:eastAsia="en-US" w:bidi="ar-SA"/>
      </w:rPr>
    </w:lvl>
    <w:lvl w:ilvl="2">
      <w:start w:val="0"/>
      <w:numFmt w:val="bullet"/>
      <w:lvlText w:val="•"/>
      <w:lvlJc w:val="left"/>
      <w:pPr>
        <w:ind w:left="1184" w:hanging="481"/>
      </w:pPr>
      <w:rPr>
        <w:rFonts w:hint="default"/>
        <w:lang w:val="en-US" w:eastAsia="en-US" w:bidi="ar-SA"/>
      </w:rPr>
    </w:lvl>
    <w:lvl w:ilvl="3">
      <w:start w:val="0"/>
      <w:numFmt w:val="bullet"/>
      <w:lvlText w:val="•"/>
      <w:lvlJc w:val="left"/>
      <w:pPr>
        <w:ind w:left="1676" w:hanging="481"/>
      </w:pPr>
      <w:rPr>
        <w:rFonts w:hint="default"/>
        <w:lang w:val="en-US" w:eastAsia="en-US" w:bidi="ar-SA"/>
      </w:rPr>
    </w:lvl>
    <w:lvl w:ilvl="4">
      <w:start w:val="0"/>
      <w:numFmt w:val="bullet"/>
      <w:lvlText w:val="•"/>
      <w:lvlJc w:val="left"/>
      <w:pPr>
        <w:ind w:left="2169" w:hanging="481"/>
      </w:pPr>
      <w:rPr>
        <w:rFonts w:hint="default"/>
        <w:lang w:val="en-US" w:eastAsia="en-US" w:bidi="ar-SA"/>
      </w:rPr>
    </w:lvl>
    <w:lvl w:ilvl="5">
      <w:start w:val="0"/>
      <w:numFmt w:val="bullet"/>
      <w:lvlText w:val="•"/>
      <w:lvlJc w:val="left"/>
      <w:pPr>
        <w:ind w:left="2661" w:hanging="481"/>
      </w:pPr>
      <w:rPr>
        <w:rFonts w:hint="default"/>
        <w:lang w:val="en-US" w:eastAsia="en-US" w:bidi="ar-SA"/>
      </w:rPr>
    </w:lvl>
    <w:lvl w:ilvl="6">
      <w:start w:val="0"/>
      <w:numFmt w:val="bullet"/>
      <w:lvlText w:val="•"/>
      <w:lvlJc w:val="left"/>
      <w:pPr>
        <w:ind w:left="3153" w:hanging="481"/>
      </w:pPr>
      <w:rPr>
        <w:rFonts w:hint="default"/>
        <w:lang w:val="en-US" w:eastAsia="en-US" w:bidi="ar-SA"/>
      </w:rPr>
    </w:lvl>
    <w:lvl w:ilvl="7">
      <w:start w:val="0"/>
      <w:numFmt w:val="bullet"/>
      <w:lvlText w:val="•"/>
      <w:lvlJc w:val="left"/>
      <w:pPr>
        <w:ind w:left="3646" w:hanging="481"/>
      </w:pPr>
      <w:rPr>
        <w:rFonts w:hint="default"/>
        <w:lang w:val="en-US" w:eastAsia="en-US" w:bidi="ar-SA"/>
      </w:rPr>
    </w:lvl>
    <w:lvl w:ilvl="8">
      <w:start w:val="0"/>
      <w:numFmt w:val="bullet"/>
      <w:lvlText w:val="•"/>
      <w:lvlJc w:val="left"/>
      <w:pPr>
        <w:ind w:left="4138" w:hanging="481"/>
      </w:pPr>
      <w:rPr>
        <w:rFonts w:hint="default"/>
        <w:lang w:val="en-US" w:eastAsia="en-US" w:bidi="ar-SA"/>
      </w:rPr>
    </w:lvl>
  </w:abstractNum>
  <w:abstractNum w:abstractNumId="41">
    <w:multiLevelType w:val="hybridMultilevel"/>
    <w:lvl w:ilvl="0">
      <w:start w:val="1"/>
      <w:numFmt w:val="decimal"/>
      <w:lvlText w:val="%1"/>
      <w:lvlJc w:val="left"/>
      <w:pPr>
        <w:ind w:left="180" w:hanging="481"/>
        <w:jc w:val="left"/>
      </w:pPr>
      <w:rPr>
        <w:rFonts w:hint="default" w:ascii="Times New Roman" w:hAnsi="Times New Roman" w:eastAsia="Times New Roman" w:cs="Times New Roman"/>
        <w:color w:val="231F20"/>
        <w:spacing w:val="-6"/>
        <w:w w:val="100"/>
        <w:sz w:val="18"/>
        <w:szCs w:val="18"/>
        <w:lang w:val="en-US" w:eastAsia="en-US" w:bidi="ar-SA"/>
      </w:rPr>
    </w:lvl>
    <w:lvl w:ilvl="1">
      <w:start w:val="0"/>
      <w:numFmt w:val="bullet"/>
      <w:lvlText w:val="•"/>
      <w:lvlJc w:val="left"/>
      <w:pPr>
        <w:ind w:left="675" w:hanging="481"/>
      </w:pPr>
      <w:rPr>
        <w:rFonts w:hint="default"/>
        <w:lang w:val="en-US" w:eastAsia="en-US" w:bidi="ar-SA"/>
      </w:rPr>
    </w:lvl>
    <w:lvl w:ilvl="2">
      <w:start w:val="0"/>
      <w:numFmt w:val="bullet"/>
      <w:lvlText w:val="•"/>
      <w:lvlJc w:val="left"/>
      <w:pPr>
        <w:ind w:left="1170" w:hanging="481"/>
      </w:pPr>
      <w:rPr>
        <w:rFonts w:hint="default"/>
        <w:lang w:val="en-US" w:eastAsia="en-US" w:bidi="ar-SA"/>
      </w:rPr>
    </w:lvl>
    <w:lvl w:ilvl="3">
      <w:start w:val="0"/>
      <w:numFmt w:val="bullet"/>
      <w:lvlText w:val="•"/>
      <w:lvlJc w:val="left"/>
      <w:pPr>
        <w:ind w:left="1665" w:hanging="481"/>
      </w:pPr>
      <w:rPr>
        <w:rFonts w:hint="default"/>
        <w:lang w:val="en-US" w:eastAsia="en-US" w:bidi="ar-SA"/>
      </w:rPr>
    </w:lvl>
    <w:lvl w:ilvl="4">
      <w:start w:val="0"/>
      <w:numFmt w:val="bullet"/>
      <w:lvlText w:val="•"/>
      <w:lvlJc w:val="left"/>
      <w:pPr>
        <w:ind w:left="2161" w:hanging="481"/>
      </w:pPr>
      <w:rPr>
        <w:rFonts w:hint="default"/>
        <w:lang w:val="en-US" w:eastAsia="en-US" w:bidi="ar-SA"/>
      </w:rPr>
    </w:lvl>
    <w:lvl w:ilvl="5">
      <w:start w:val="0"/>
      <w:numFmt w:val="bullet"/>
      <w:lvlText w:val="•"/>
      <w:lvlJc w:val="left"/>
      <w:pPr>
        <w:ind w:left="2656" w:hanging="481"/>
      </w:pPr>
      <w:rPr>
        <w:rFonts w:hint="default"/>
        <w:lang w:val="en-US" w:eastAsia="en-US" w:bidi="ar-SA"/>
      </w:rPr>
    </w:lvl>
    <w:lvl w:ilvl="6">
      <w:start w:val="0"/>
      <w:numFmt w:val="bullet"/>
      <w:lvlText w:val="•"/>
      <w:lvlJc w:val="left"/>
      <w:pPr>
        <w:ind w:left="3151" w:hanging="481"/>
      </w:pPr>
      <w:rPr>
        <w:rFonts w:hint="default"/>
        <w:lang w:val="en-US" w:eastAsia="en-US" w:bidi="ar-SA"/>
      </w:rPr>
    </w:lvl>
    <w:lvl w:ilvl="7">
      <w:start w:val="0"/>
      <w:numFmt w:val="bullet"/>
      <w:lvlText w:val="•"/>
      <w:lvlJc w:val="left"/>
      <w:pPr>
        <w:ind w:left="3647" w:hanging="481"/>
      </w:pPr>
      <w:rPr>
        <w:rFonts w:hint="default"/>
        <w:lang w:val="en-US" w:eastAsia="en-US" w:bidi="ar-SA"/>
      </w:rPr>
    </w:lvl>
    <w:lvl w:ilvl="8">
      <w:start w:val="0"/>
      <w:numFmt w:val="bullet"/>
      <w:lvlText w:val="•"/>
      <w:lvlJc w:val="left"/>
      <w:pPr>
        <w:ind w:left="4142" w:hanging="481"/>
      </w:pPr>
      <w:rPr>
        <w:rFonts w:hint="default"/>
        <w:lang w:val="en-US" w:eastAsia="en-US" w:bidi="ar-SA"/>
      </w:rPr>
    </w:lvl>
  </w:abstractNum>
  <w:abstractNum w:abstractNumId="40">
    <w:multiLevelType w:val="hybridMultilevel"/>
    <w:lvl w:ilvl="0">
      <w:start w:val="65"/>
      <w:numFmt w:val="decimal"/>
      <w:lvlText w:val="%1"/>
      <w:lvlJc w:val="left"/>
      <w:pPr>
        <w:ind w:left="194" w:hanging="481"/>
        <w:jc w:val="left"/>
      </w:pPr>
      <w:rPr>
        <w:rFonts w:hint="default" w:ascii="Times New Roman" w:hAnsi="Times New Roman" w:eastAsia="Times New Roman" w:cs="Times New Roman"/>
        <w:color w:val="231F20"/>
        <w:spacing w:val="-3"/>
        <w:w w:val="100"/>
        <w:sz w:val="18"/>
        <w:szCs w:val="18"/>
        <w:lang w:val="en-US" w:eastAsia="en-US" w:bidi="ar-SA"/>
      </w:rPr>
    </w:lvl>
    <w:lvl w:ilvl="1">
      <w:start w:val="0"/>
      <w:numFmt w:val="bullet"/>
      <w:lvlText w:val="•"/>
      <w:lvlJc w:val="left"/>
      <w:pPr>
        <w:ind w:left="717" w:hanging="481"/>
      </w:pPr>
      <w:rPr>
        <w:rFonts w:hint="default"/>
        <w:lang w:val="en-US" w:eastAsia="en-US" w:bidi="ar-SA"/>
      </w:rPr>
    </w:lvl>
    <w:lvl w:ilvl="2">
      <w:start w:val="0"/>
      <w:numFmt w:val="bullet"/>
      <w:lvlText w:val="•"/>
      <w:lvlJc w:val="left"/>
      <w:pPr>
        <w:ind w:left="1234" w:hanging="481"/>
      </w:pPr>
      <w:rPr>
        <w:rFonts w:hint="default"/>
        <w:lang w:val="en-US" w:eastAsia="en-US" w:bidi="ar-SA"/>
      </w:rPr>
    </w:lvl>
    <w:lvl w:ilvl="3">
      <w:start w:val="0"/>
      <w:numFmt w:val="bullet"/>
      <w:lvlText w:val="•"/>
      <w:lvlJc w:val="left"/>
      <w:pPr>
        <w:ind w:left="1751" w:hanging="481"/>
      </w:pPr>
      <w:rPr>
        <w:rFonts w:hint="default"/>
        <w:lang w:val="en-US" w:eastAsia="en-US" w:bidi="ar-SA"/>
      </w:rPr>
    </w:lvl>
    <w:lvl w:ilvl="4">
      <w:start w:val="0"/>
      <w:numFmt w:val="bullet"/>
      <w:lvlText w:val="•"/>
      <w:lvlJc w:val="left"/>
      <w:pPr>
        <w:ind w:left="2268" w:hanging="481"/>
      </w:pPr>
      <w:rPr>
        <w:rFonts w:hint="default"/>
        <w:lang w:val="en-US" w:eastAsia="en-US" w:bidi="ar-SA"/>
      </w:rPr>
    </w:lvl>
    <w:lvl w:ilvl="5">
      <w:start w:val="0"/>
      <w:numFmt w:val="bullet"/>
      <w:lvlText w:val="•"/>
      <w:lvlJc w:val="left"/>
      <w:pPr>
        <w:ind w:left="2785" w:hanging="481"/>
      </w:pPr>
      <w:rPr>
        <w:rFonts w:hint="default"/>
        <w:lang w:val="en-US" w:eastAsia="en-US" w:bidi="ar-SA"/>
      </w:rPr>
    </w:lvl>
    <w:lvl w:ilvl="6">
      <w:start w:val="0"/>
      <w:numFmt w:val="bullet"/>
      <w:lvlText w:val="•"/>
      <w:lvlJc w:val="left"/>
      <w:pPr>
        <w:ind w:left="3302" w:hanging="481"/>
      </w:pPr>
      <w:rPr>
        <w:rFonts w:hint="default"/>
        <w:lang w:val="en-US" w:eastAsia="en-US" w:bidi="ar-SA"/>
      </w:rPr>
    </w:lvl>
    <w:lvl w:ilvl="7">
      <w:start w:val="0"/>
      <w:numFmt w:val="bullet"/>
      <w:lvlText w:val="•"/>
      <w:lvlJc w:val="left"/>
      <w:pPr>
        <w:ind w:left="3819" w:hanging="481"/>
      </w:pPr>
      <w:rPr>
        <w:rFonts w:hint="default"/>
        <w:lang w:val="en-US" w:eastAsia="en-US" w:bidi="ar-SA"/>
      </w:rPr>
    </w:lvl>
    <w:lvl w:ilvl="8">
      <w:start w:val="0"/>
      <w:numFmt w:val="bullet"/>
      <w:lvlText w:val="•"/>
      <w:lvlJc w:val="left"/>
      <w:pPr>
        <w:ind w:left="4336" w:hanging="481"/>
      </w:pPr>
      <w:rPr>
        <w:rFonts w:hint="default"/>
        <w:lang w:val="en-US" w:eastAsia="en-US" w:bidi="ar-SA"/>
      </w:rPr>
    </w:lvl>
  </w:abstractNum>
  <w:abstractNum w:abstractNumId="39">
    <w:multiLevelType w:val="hybridMultilevel"/>
    <w:lvl w:ilvl="0">
      <w:start w:val="1"/>
      <w:numFmt w:val="upperRoman"/>
      <w:lvlText w:val="%1"/>
      <w:lvlJc w:val="left"/>
      <w:pPr>
        <w:ind w:left="670" w:hanging="481"/>
        <w:jc w:val="left"/>
      </w:pPr>
      <w:rPr>
        <w:rFonts w:hint="default" w:ascii="Times New Roman" w:hAnsi="Times New Roman" w:eastAsia="Times New Roman" w:cs="Times New Roman"/>
        <w:b/>
        <w:bCs/>
        <w:color w:val="009483"/>
        <w:w w:val="100"/>
        <w:sz w:val="22"/>
        <w:szCs w:val="22"/>
        <w:lang w:val="en-US" w:eastAsia="en-US" w:bidi="ar-SA"/>
      </w:rPr>
    </w:lvl>
    <w:lvl w:ilvl="1">
      <w:start w:val="0"/>
      <w:numFmt w:val="bullet"/>
      <w:lvlText w:val="•"/>
      <w:lvlJc w:val="left"/>
      <w:pPr>
        <w:ind w:left="1124" w:hanging="481"/>
      </w:pPr>
      <w:rPr>
        <w:rFonts w:hint="default"/>
        <w:lang w:val="en-US" w:eastAsia="en-US" w:bidi="ar-SA"/>
      </w:rPr>
    </w:lvl>
    <w:lvl w:ilvl="2">
      <w:start w:val="0"/>
      <w:numFmt w:val="bullet"/>
      <w:lvlText w:val="•"/>
      <w:lvlJc w:val="left"/>
      <w:pPr>
        <w:ind w:left="1568" w:hanging="481"/>
      </w:pPr>
      <w:rPr>
        <w:rFonts w:hint="default"/>
        <w:lang w:val="en-US" w:eastAsia="en-US" w:bidi="ar-SA"/>
      </w:rPr>
    </w:lvl>
    <w:lvl w:ilvl="3">
      <w:start w:val="0"/>
      <w:numFmt w:val="bullet"/>
      <w:lvlText w:val="•"/>
      <w:lvlJc w:val="left"/>
      <w:pPr>
        <w:ind w:left="2013" w:hanging="481"/>
      </w:pPr>
      <w:rPr>
        <w:rFonts w:hint="default"/>
        <w:lang w:val="en-US" w:eastAsia="en-US" w:bidi="ar-SA"/>
      </w:rPr>
    </w:lvl>
    <w:lvl w:ilvl="4">
      <w:start w:val="0"/>
      <w:numFmt w:val="bullet"/>
      <w:lvlText w:val="•"/>
      <w:lvlJc w:val="left"/>
      <w:pPr>
        <w:ind w:left="2457" w:hanging="481"/>
      </w:pPr>
      <w:rPr>
        <w:rFonts w:hint="default"/>
        <w:lang w:val="en-US" w:eastAsia="en-US" w:bidi="ar-SA"/>
      </w:rPr>
    </w:lvl>
    <w:lvl w:ilvl="5">
      <w:start w:val="0"/>
      <w:numFmt w:val="bullet"/>
      <w:lvlText w:val="•"/>
      <w:lvlJc w:val="left"/>
      <w:pPr>
        <w:ind w:left="2901" w:hanging="481"/>
      </w:pPr>
      <w:rPr>
        <w:rFonts w:hint="default"/>
        <w:lang w:val="en-US" w:eastAsia="en-US" w:bidi="ar-SA"/>
      </w:rPr>
    </w:lvl>
    <w:lvl w:ilvl="6">
      <w:start w:val="0"/>
      <w:numFmt w:val="bullet"/>
      <w:lvlText w:val="•"/>
      <w:lvlJc w:val="left"/>
      <w:pPr>
        <w:ind w:left="3346" w:hanging="481"/>
      </w:pPr>
      <w:rPr>
        <w:rFonts w:hint="default"/>
        <w:lang w:val="en-US" w:eastAsia="en-US" w:bidi="ar-SA"/>
      </w:rPr>
    </w:lvl>
    <w:lvl w:ilvl="7">
      <w:start w:val="0"/>
      <w:numFmt w:val="bullet"/>
      <w:lvlText w:val="•"/>
      <w:lvlJc w:val="left"/>
      <w:pPr>
        <w:ind w:left="3790" w:hanging="481"/>
      </w:pPr>
      <w:rPr>
        <w:rFonts w:hint="default"/>
        <w:lang w:val="en-US" w:eastAsia="en-US" w:bidi="ar-SA"/>
      </w:rPr>
    </w:lvl>
    <w:lvl w:ilvl="8">
      <w:start w:val="0"/>
      <w:numFmt w:val="bullet"/>
      <w:lvlText w:val="•"/>
      <w:lvlJc w:val="left"/>
      <w:pPr>
        <w:ind w:left="4234" w:hanging="481"/>
      </w:pPr>
      <w:rPr>
        <w:rFonts w:hint="default"/>
        <w:lang w:val="en-US" w:eastAsia="en-US" w:bidi="ar-SA"/>
      </w:rPr>
    </w:lvl>
  </w:abstractNum>
  <w:abstractNum w:abstractNumId="38">
    <w:multiLevelType w:val="hybridMultilevel"/>
    <w:lvl w:ilvl="0">
      <w:start w:val="1"/>
      <w:numFmt w:val="decimal"/>
      <w:lvlText w:val="%1"/>
      <w:lvlJc w:val="left"/>
      <w:pPr>
        <w:ind w:left="190" w:hanging="481"/>
        <w:jc w:val="left"/>
      </w:pPr>
      <w:rPr>
        <w:rFonts w:hint="default" w:ascii="Times New Roman" w:hAnsi="Times New Roman" w:eastAsia="Times New Roman" w:cs="Times New Roman"/>
        <w:color w:val="231F20"/>
        <w:spacing w:val="-9"/>
        <w:w w:val="100"/>
        <w:sz w:val="18"/>
        <w:szCs w:val="18"/>
        <w:lang w:val="en-US" w:eastAsia="en-US" w:bidi="ar-SA"/>
      </w:rPr>
    </w:lvl>
    <w:lvl w:ilvl="1">
      <w:start w:val="0"/>
      <w:numFmt w:val="bullet"/>
      <w:lvlText w:val="•"/>
      <w:lvlJc w:val="left"/>
      <w:pPr>
        <w:ind w:left="692" w:hanging="481"/>
      </w:pPr>
      <w:rPr>
        <w:rFonts w:hint="default"/>
        <w:lang w:val="en-US" w:eastAsia="en-US" w:bidi="ar-SA"/>
      </w:rPr>
    </w:lvl>
    <w:lvl w:ilvl="2">
      <w:start w:val="0"/>
      <w:numFmt w:val="bullet"/>
      <w:lvlText w:val="•"/>
      <w:lvlJc w:val="left"/>
      <w:pPr>
        <w:ind w:left="1184" w:hanging="481"/>
      </w:pPr>
      <w:rPr>
        <w:rFonts w:hint="default"/>
        <w:lang w:val="en-US" w:eastAsia="en-US" w:bidi="ar-SA"/>
      </w:rPr>
    </w:lvl>
    <w:lvl w:ilvl="3">
      <w:start w:val="0"/>
      <w:numFmt w:val="bullet"/>
      <w:lvlText w:val="•"/>
      <w:lvlJc w:val="left"/>
      <w:pPr>
        <w:ind w:left="1677" w:hanging="481"/>
      </w:pPr>
      <w:rPr>
        <w:rFonts w:hint="default"/>
        <w:lang w:val="en-US" w:eastAsia="en-US" w:bidi="ar-SA"/>
      </w:rPr>
    </w:lvl>
    <w:lvl w:ilvl="4">
      <w:start w:val="0"/>
      <w:numFmt w:val="bullet"/>
      <w:lvlText w:val="•"/>
      <w:lvlJc w:val="left"/>
      <w:pPr>
        <w:ind w:left="2169" w:hanging="481"/>
      </w:pPr>
      <w:rPr>
        <w:rFonts w:hint="default"/>
        <w:lang w:val="en-US" w:eastAsia="en-US" w:bidi="ar-SA"/>
      </w:rPr>
    </w:lvl>
    <w:lvl w:ilvl="5">
      <w:start w:val="0"/>
      <w:numFmt w:val="bullet"/>
      <w:lvlText w:val="•"/>
      <w:lvlJc w:val="left"/>
      <w:pPr>
        <w:ind w:left="2661" w:hanging="481"/>
      </w:pPr>
      <w:rPr>
        <w:rFonts w:hint="default"/>
        <w:lang w:val="en-US" w:eastAsia="en-US" w:bidi="ar-SA"/>
      </w:rPr>
    </w:lvl>
    <w:lvl w:ilvl="6">
      <w:start w:val="0"/>
      <w:numFmt w:val="bullet"/>
      <w:lvlText w:val="•"/>
      <w:lvlJc w:val="left"/>
      <w:pPr>
        <w:ind w:left="3154" w:hanging="481"/>
      </w:pPr>
      <w:rPr>
        <w:rFonts w:hint="default"/>
        <w:lang w:val="en-US" w:eastAsia="en-US" w:bidi="ar-SA"/>
      </w:rPr>
    </w:lvl>
    <w:lvl w:ilvl="7">
      <w:start w:val="0"/>
      <w:numFmt w:val="bullet"/>
      <w:lvlText w:val="•"/>
      <w:lvlJc w:val="left"/>
      <w:pPr>
        <w:ind w:left="3646" w:hanging="481"/>
      </w:pPr>
      <w:rPr>
        <w:rFonts w:hint="default"/>
        <w:lang w:val="en-US" w:eastAsia="en-US" w:bidi="ar-SA"/>
      </w:rPr>
    </w:lvl>
    <w:lvl w:ilvl="8">
      <w:start w:val="0"/>
      <w:numFmt w:val="bullet"/>
      <w:lvlText w:val="•"/>
      <w:lvlJc w:val="left"/>
      <w:pPr>
        <w:ind w:left="4138" w:hanging="481"/>
      </w:pPr>
      <w:rPr>
        <w:rFonts w:hint="default"/>
        <w:lang w:val="en-US" w:eastAsia="en-US" w:bidi="ar-SA"/>
      </w:rPr>
    </w:lvl>
  </w:abstractNum>
  <w:abstractNum w:abstractNumId="37">
    <w:multiLevelType w:val="hybridMultilevel"/>
    <w:lvl w:ilvl="0">
      <w:start w:val="1"/>
      <w:numFmt w:val="decimal"/>
      <w:lvlText w:val="%1"/>
      <w:lvlJc w:val="left"/>
      <w:pPr>
        <w:ind w:left="180" w:hanging="481"/>
        <w:jc w:val="left"/>
      </w:pPr>
      <w:rPr>
        <w:rFonts w:hint="default" w:ascii="Times New Roman" w:hAnsi="Times New Roman" w:eastAsia="Times New Roman" w:cs="Times New Roman"/>
        <w:color w:val="231F20"/>
        <w:spacing w:val="-3"/>
        <w:w w:val="100"/>
        <w:sz w:val="18"/>
        <w:szCs w:val="18"/>
        <w:lang w:val="en-US" w:eastAsia="en-US" w:bidi="ar-SA"/>
      </w:rPr>
    </w:lvl>
    <w:lvl w:ilvl="1">
      <w:start w:val="0"/>
      <w:numFmt w:val="bullet"/>
      <w:lvlText w:val="•"/>
      <w:lvlJc w:val="left"/>
      <w:pPr>
        <w:ind w:left="674" w:hanging="481"/>
      </w:pPr>
      <w:rPr>
        <w:rFonts w:hint="default"/>
        <w:lang w:val="en-US" w:eastAsia="en-US" w:bidi="ar-SA"/>
      </w:rPr>
    </w:lvl>
    <w:lvl w:ilvl="2">
      <w:start w:val="0"/>
      <w:numFmt w:val="bullet"/>
      <w:lvlText w:val="•"/>
      <w:lvlJc w:val="left"/>
      <w:pPr>
        <w:ind w:left="1169" w:hanging="481"/>
      </w:pPr>
      <w:rPr>
        <w:rFonts w:hint="default"/>
        <w:lang w:val="en-US" w:eastAsia="en-US" w:bidi="ar-SA"/>
      </w:rPr>
    </w:lvl>
    <w:lvl w:ilvl="3">
      <w:start w:val="0"/>
      <w:numFmt w:val="bullet"/>
      <w:lvlText w:val="•"/>
      <w:lvlJc w:val="left"/>
      <w:pPr>
        <w:ind w:left="1664" w:hanging="481"/>
      </w:pPr>
      <w:rPr>
        <w:rFonts w:hint="default"/>
        <w:lang w:val="en-US" w:eastAsia="en-US" w:bidi="ar-SA"/>
      </w:rPr>
    </w:lvl>
    <w:lvl w:ilvl="4">
      <w:start w:val="0"/>
      <w:numFmt w:val="bullet"/>
      <w:lvlText w:val="•"/>
      <w:lvlJc w:val="left"/>
      <w:pPr>
        <w:ind w:left="2159" w:hanging="481"/>
      </w:pPr>
      <w:rPr>
        <w:rFonts w:hint="default"/>
        <w:lang w:val="en-US" w:eastAsia="en-US" w:bidi="ar-SA"/>
      </w:rPr>
    </w:lvl>
    <w:lvl w:ilvl="5">
      <w:start w:val="0"/>
      <w:numFmt w:val="bullet"/>
      <w:lvlText w:val="•"/>
      <w:lvlJc w:val="left"/>
      <w:pPr>
        <w:ind w:left="2654" w:hanging="481"/>
      </w:pPr>
      <w:rPr>
        <w:rFonts w:hint="default"/>
        <w:lang w:val="en-US" w:eastAsia="en-US" w:bidi="ar-SA"/>
      </w:rPr>
    </w:lvl>
    <w:lvl w:ilvl="6">
      <w:start w:val="0"/>
      <w:numFmt w:val="bullet"/>
      <w:lvlText w:val="•"/>
      <w:lvlJc w:val="left"/>
      <w:pPr>
        <w:ind w:left="3149" w:hanging="481"/>
      </w:pPr>
      <w:rPr>
        <w:rFonts w:hint="default"/>
        <w:lang w:val="en-US" w:eastAsia="en-US" w:bidi="ar-SA"/>
      </w:rPr>
    </w:lvl>
    <w:lvl w:ilvl="7">
      <w:start w:val="0"/>
      <w:numFmt w:val="bullet"/>
      <w:lvlText w:val="•"/>
      <w:lvlJc w:val="left"/>
      <w:pPr>
        <w:ind w:left="3643" w:hanging="481"/>
      </w:pPr>
      <w:rPr>
        <w:rFonts w:hint="default"/>
        <w:lang w:val="en-US" w:eastAsia="en-US" w:bidi="ar-SA"/>
      </w:rPr>
    </w:lvl>
    <w:lvl w:ilvl="8">
      <w:start w:val="0"/>
      <w:numFmt w:val="bullet"/>
      <w:lvlText w:val="•"/>
      <w:lvlJc w:val="left"/>
      <w:pPr>
        <w:ind w:left="4138" w:hanging="481"/>
      </w:pPr>
      <w:rPr>
        <w:rFonts w:hint="default"/>
        <w:lang w:val="en-US" w:eastAsia="en-US" w:bidi="ar-SA"/>
      </w:rPr>
    </w:lvl>
  </w:abstractNum>
  <w:abstractNum w:abstractNumId="36">
    <w:multiLevelType w:val="hybridMultilevel"/>
    <w:lvl w:ilvl="0">
      <w:start w:val="1"/>
      <w:numFmt w:val="lowerLetter"/>
      <w:lvlText w:val="(%1)"/>
      <w:lvlJc w:val="left"/>
      <w:pPr>
        <w:ind w:left="456" w:hanging="250"/>
        <w:jc w:val="left"/>
      </w:pPr>
      <w:rPr>
        <w:rFonts w:hint="default" w:ascii="Times New Roman" w:hAnsi="Times New Roman" w:eastAsia="Times New Roman" w:cs="Times New Roman"/>
        <w:spacing w:val="-4"/>
        <w:w w:val="100"/>
        <w:sz w:val="12"/>
        <w:szCs w:val="12"/>
        <w:lang w:val="en-US" w:eastAsia="en-US" w:bidi="ar-SA"/>
      </w:rPr>
    </w:lvl>
    <w:lvl w:ilvl="1">
      <w:start w:val="1"/>
      <w:numFmt w:val="decimal"/>
      <w:lvlText w:val="(%2)"/>
      <w:lvlJc w:val="left"/>
      <w:pPr>
        <w:ind w:left="5246" w:hanging="267"/>
        <w:jc w:val="left"/>
      </w:pPr>
      <w:rPr>
        <w:rFonts w:hint="default" w:ascii="Times New Roman" w:hAnsi="Times New Roman" w:eastAsia="Times New Roman" w:cs="Times New Roman"/>
        <w:w w:val="100"/>
        <w:sz w:val="16"/>
        <w:szCs w:val="16"/>
        <w:lang w:val="en-US" w:eastAsia="en-US" w:bidi="ar-SA"/>
      </w:rPr>
    </w:lvl>
    <w:lvl w:ilvl="2">
      <w:start w:val="0"/>
      <w:numFmt w:val="bullet"/>
      <w:lvlText w:val="•"/>
      <w:lvlJc w:val="left"/>
      <w:pPr>
        <w:ind w:left="5148" w:hanging="267"/>
      </w:pPr>
      <w:rPr>
        <w:rFonts w:hint="default"/>
        <w:lang w:val="en-US" w:eastAsia="en-US" w:bidi="ar-SA"/>
      </w:rPr>
    </w:lvl>
    <w:lvl w:ilvl="3">
      <w:start w:val="0"/>
      <w:numFmt w:val="bullet"/>
      <w:lvlText w:val="•"/>
      <w:lvlJc w:val="left"/>
      <w:pPr>
        <w:ind w:left="5056" w:hanging="267"/>
      </w:pPr>
      <w:rPr>
        <w:rFonts w:hint="default"/>
        <w:lang w:val="en-US" w:eastAsia="en-US" w:bidi="ar-SA"/>
      </w:rPr>
    </w:lvl>
    <w:lvl w:ilvl="4">
      <w:start w:val="0"/>
      <w:numFmt w:val="bullet"/>
      <w:lvlText w:val="•"/>
      <w:lvlJc w:val="left"/>
      <w:pPr>
        <w:ind w:left="4965" w:hanging="267"/>
      </w:pPr>
      <w:rPr>
        <w:rFonts w:hint="default"/>
        <w:lang w:val="en-US" w:eastAsia="en-US" w:bidi="ar-SA"/>
      </w:rPr>
    </w:lvl>
    <w:lvl w:ilvl="5">
      <w:start w:val="0"/>
      <w:numFmt w:val="bullet"/>
      <w:lvlText w:val="•"/>
      <w:lvlJc w:val="left"/>
      <w:pPr>
        <w:ind w:left="4873" w:hanging="267"/>
      </w:pPr>
      <w:rPr>
        <w:rFonts w:hint="default"/>
        <w:lang w:val="en-US" w:eastAsia="en-US" w:bidi="ar-SA"/>
      </w:rPr>
    </w:lvl>
    <w:lvl w:ilvl="6">
      <w:start w:val="0"/>
      <w:numFmt w:val="bullet"/>
      <w:lvlText w:val="•"/>
      <w:lvlJc w:val="left"/>
      <w:pPr>
        <w:ind w:left="4781" w:hanging="267"/>
      </w:pPr>
      <w:rPr>
        <w:rFonts w:hint="default"/>
        <w:lang w:val="en-US" w:eastAsia="en-US" w:bidi="ar-SA"/>
      </w:rPr>
    </w:lvl>
    <w:lvl w:ilvl="7">
      <w:start w:val="0"/>
      <w:numFmt w:val="bullet"/>
      <w:lvlText w:val="•"/>
      <w:lvlJc w:val="left"/>
      <w:pPr>
        <w:ind w:left="4690" w:hanging="267"/>
      </w:pPr>
      <w:rPr>
        <w:rFonts w:hint="default"/>
        <w:lang w:val="en-US" w:eastAsia="en-US" w:bidi="ar-SA"/>
      </w:rPr>
    </w:lvl>
    <w:lvl w:ilvl="8">
      <w:start w:val="0"/>
      <w:numFmt w:val="bullet"/>
      <w:lvlText w:val="•"/>
      <w:lvlJc w:val="left"/>
      <w:pPr>
        <w:ind w:left="4598" w:hanging="267"/>
      </w:pPr>
      <w:rPr>
        <w:rFonts w:hint="default"/>
        <w:lang w:val="en-US" w:eastAsia="en-US" w:bidi="ar-SA"/>
      </w:rPr>
    </w:lvl>
  </w:abstractNum>
  <w:abstractNum w:abstractNumId="35">
    <w:multiLevelType w:val="hybridMultilevel"/>
    <w:lvl w:ilvl="0">
      <w:start w:val="1"/>
      <w:numFmt w:val="lowerLetter"/>
      <w:lvlText w:val="(%1)"/>
      <w:lvlJc w:val="left"/>
      <w:pPr>
        <w:ind w:left="440" w:hanging="241"/>
        <w:jc w:val="left"/>
      </w:pPr>
      <w:rPr>
        <w:rFonts w:hint="default" w:ascii="Times New Roman" w:hAnsi="Times New Roman" w:eastAsia="Times New Roman" w:cs="Times New Roman"/>
        <w:spacing w:val="-18"/>
        <w:w w:val="100"/>
        <w:sz w:val="16"/>
        <w:szCs w:val="16"/>
        <w:lang w:val="en-US" w:eastAsia="en-US" w:bidi="ar-SA"/>
      </w:rPr>
    </w:lvl>
    <w:lvl w:ilvl="1">
      <w:start w:val="0"/>
      <w:numFmt w:val="bullet"/>
      <w:lvlText w:val="•"/>
      <w:lvlJc w:val="left"/>
      <w:pPr>
        <w:ind w:left="1472" w:hanging="241"/>
      </w:pPr>
      <w:rPr>
        <w:rFonts w:hint="default"/>
        <w:lang w:val="en-US" w:eastAsia="en-US" w:bidi="ar-SA"/>
      </w:rPr>
    </w:lvl>
    <w:lvl w:ilvl="2">
      <w:start w:val="0"/>
      <w:numFmt w:val="bullet"/>
      <w:lvlText w:val="•"/>
      <w:lvlJc w:val="left"/>
      <w:pPr>
        <w:ind w:left="2504" w:hanging="241"/>
      </w:pPr>
      <w:rPr>
        <w:rFonts w:hint="default"/>
        <w:lang w:val="en-US" w:eastAsia="en-US" w:bidi="ar-SA"/>
      </w:rPr>
    </w:lvl>
    <w:lvl w:ilvl="3">
      <w:start w:val="0"/>
      <w:numFmt w:val="bullet"/>
      <w:lvlText w:val="•"/>
      <w:lvlJc w:val="left"/>
      <w:pPr>
        <w:ind w:left="3536" w:hanging="241"/>
      </w:pPr>
      <w:rPr>
        <w:rFonts w:hint="default"/>
        <w:lang w:val="en-US" w:eastAsia="en-US" w:bidi="ar-SA"/>
      </w:rPr>
    </w:lvl>
    <w:lvl w:ilvl="4">
      <w:start w:val="0"/>
      <w:numFmt w:val="bullet"/>
      <w:lvlText w:val="•"/>
      <w:lvlJc w:val="left"/>
      <w:pPr>
        <w:ind w:left="4568" w:hanging="241"/>
      </w:pPr>
      <w:rPr>
        <w:rFonts w:hint="default"/>
        <w:lang w:val="en-US" w:eastAsia="en-US" w:bidi="ar-SA"/>
      </w:rPr>
    </w:lvl>
    <w:lvl w:ilvl="5">
      <w:start w:val="0"/>
      <w:numFmt w:val="bullet"/>
      <w:lvlText w:val="•"/>
      <w:lvlJc w:val="left"/>
      <w:pPr>
        <w:ind w:left="5600" w:hanging="241"/>
      </w:pPr>
      <w:rPr>
        <w:rFonts w:hint="default"/>
        <w:lang w:val="en-US" w:eastAsia="en-US" w:bidi="ar-SA"/>
      </w:rPr>
    </w:lvl>
    <w:lvl w:ilvl="6">
      <w:start w:val="0"/>
      <w:numFmt w:val="bullet"/>
      <w:lvlText w:val="•"/>
      <w:lvlJc w:val="left"/>
      <w:pPr>
        <w:ind w:left="6632" w:hanging="241"/>
      </w:pPr>
      <w:rPr>
        <w:rFonts w:hint="default"/>
        <w:lang w:val="en-US" w:eastAsia="en-US" w:bidi="ar-SA"/>
      </w:rPr>
    </w:lvl>
    <w:lvl w:ilvl="7">
      <w:start w:val="0"/>
      <w:numFmt w:val="bullet"/>
      <w:lvlText w:val="•"/>
      <w:lvlJc w:val="left"/>
      <w:pPr>
        <w:ind w:left="7664" w:hanging="241"/>
      </w:pPr>
      <w:rPr>
        <w:rFonts w:hint="default"/>
        <w:lang w:val="en-US" w:eastAsia="en-US" w:bidi="ar-SA"/>
      </w:rPr>
    </w:lvl>
    <w:lvl w:ilvl="8">
      <w:start w:val="0"/>
      <w:numFmt w:val="bullet"/>
      <w:lvlText w:val="•"/>
      <w:lvlJc w:val="left"/>
      <w:pPr>
        <w:ind w:left="8696" w:hanging="241"/>
      </w:pPr>
      <w:rPr>
        <w:rFonts w:hint="default"/>
        <w:lang w:val="en-US" w:eastAsia="en-US" w:bidi="ar-SA"/>
      </w:rPr>
    </w:lvl>
  </w:abstractNum>
  <w:abstractNum w:abstractNumId="34">
    <w:multiLevelType w:val="hybridMultilevel"/>
    <w:lvl w:ilvl="0">
      <w:start w:val="6"/>
      <w:numFmt w:val="decimal"/>
      <w:lvlText w:val="%1"/>
      <w:lvlJc w:val="left"/>
      <w:pPr>
        <w:ind w:left="5871" w:hanging="892"/>
        <w:jc w:val="left"/>
      </w:pPr>
      <w:rPr>
        <w:rFonts w:hint="default"/>
        <w:lang w:val="en-US" w:eastAsia="en-US" w:bidi="ar-SA"/>
      </w:rPr>
    </w:lvl>
    <w:lvl w:ilvl="1">
      <w:start w:val="1"/>
      <w:numFmt w:val="decimal"/>
      <w:lvlText w:val="%1.%2"/>
      <w:lvlJc w:val="left"/>
      <w:pPr>
        <w:ind w:left="5871" w:hanging="892"/>
        <w:jc w:val="right"/>
      </w:pPr>
      <w:rPr>
        <w:rFonts w:hint="default" w:ascii="Times New Roman" w:hAnsi="Times New Roman" w:eastAsia="Times New Roman" w:cs="Times New Roman"/>
        <w:b/>
        <w:bCs/>
        <w:color w:val="009483"/>
        <w:spacing w:val="-6"/>
        <w:w w:val="100"/>
        <w:sz w:val="28"/>
        <w:szCs w:val="28"/>
        <w:u w:val="thick" w:color="0093C1"/>
        <w:lang w:val="en-US" w:eastAsia="en-US" w:bidi="ar-SA"/>
      </w:rPr>
    </w:lvl>
    <w:lvl w:ilvl="2">
      <w:start w:val="0"/>
      <w:numFmt w:val="bullet"/>
      <w:lvlText w:val="•"/>
      <w:lvlJc w:val="left"/>
      <w:pPr>
        <w:ind w:left="6856" w:hanging="892"/>
      </w:pPr>
      <w:rPr>
        <w:rFonts w:hint="default"/>
        <w:lang w:val="en-US" w:eastAsia="en-US" w:bidi="ar-SA"/>
      </w:rPr>
    </w:lvl>
    <w:lvl w:ilvl="3">
      <w:start w:val="0"/>
      <w:numFmt w:val="bullet"/>
      <w:lvlText w:val="•"/>
      <w:lvlJc w:val="left"/>
      <w:pPr>
        <w:ind w:left="7344" w:hanging="892"/>
      </w:pPr>
      <w:rPr>
        <w:rFonts w:hint="default"/>
        <w:lang w:val="en-US" w:eastAsia="en-US" w:bidi="ar-SA"/>
      </w:rPr>
    </w:lvl>
    <w:lvl w:ilvl="4">
      <w:start w:val="0"/>
      <w:numFmt w:val="bullet"/>
      <w:lvlText w:val="•"/>
      <w:lvlJc w:val="left"/>
      <w:pPr>
        <w:ind w:left="7832" w:hanging="892"/>
      </w:pPr>
      <w:rPr>
        <w:rFonts w:hint="default"/>
        <w:lang w:val="en-US" w:eastAsia="en-US" w:bidi="ar-SA"/>
      </w:rPr>
    </w:lvl>
    <w:lvl w:ilvl="5">
      <w:start w:val="0"/>
      <w:numFmt w:val="bullet"/>
      <w:lvlText w:val="•"/>
      <w:lvlJc w:val="left"/>
      <w:pPr>
        <w:ind w:left="8320" w:hanging="892"/>
      </w:pPr>
      <w:rPr>
        <w:rFonts w:hint="default"/>
        <w:lang w:val="en-US" w:eastAsia="en-US" w:bidi="ar-SA"/>
      </w:rPr>
    </w:lvl>
    <w:lvl w:ilvl="6">
      <w:start w:val="0"/>
      <w:numFmt w:val="bullet"/>
      <w:lvlText w:val="•"/>
      <w:lvlJc w:val="left"/>
      <w:pPr>
        <w:ind w:left="8808" w:hanging="892"/>
      </w:pPr>
      <w:rPr>
        <w:rFonts w:hint="default"/>
        <w:lang w:val="en-US" w:eastAsia="en-US" w:bidi="ar-SA"/>
      </w:rPr>
    </w:lvl>
    <w:lvl w:ilvl="7">
      <w:start w:val="0"/>
      <w:numFmt w:val="bullet"/>
      <w:lvlText w:val="•"/>
      <w:lvlJc w:val="left"/>
      <w:pPr>
        <w:ind w:left="9296" w:hanging="892"/>
      </w:pPr>
      <w:rPr>
        <w:rFonts w:hint="default"/>
        <w:lang w:val="en-US" w:eastAsia="en-US" w:bidi="ar-SA"/>
      </w:rPr>
    </w:lvl>
    <w:lvl w:ilvl="8">
      <w:start w:val="0"/>
      <w:numFmt w:val="bullet"/>
      <w:lvlText w:val="•"/>
      <w:lvlJc w:val="left"/>
      <w:pPr>
        <w:ind w:left="9784" w:hanging="892"/>
      </w:pPr>
      <w:rPr>
        <w:rFonts w:hint="default"/>
        <w:lang w:val="en-US" w:eastAsia="en-US" w:bidi="ar-SA"/>
      </w:rPr>
    </w:lvl>
  </w:abstractNum>
  <w:abstractNum w:abstractNumId="33">
    <w:multiLevelType w:val="hybridMultilevel"/>
    <w:lvl w:ilvl="0">
      <w:start w:val="1"/>
      <w:numFmt w:val="lowerLetter"/>
      <w:lvlText w:val="(%1)"/>
      <w:lvlJc w:val="left"/>
      <w:pPr>
        <w:ind w:left="354" w:hanging="180"/>
        <w:jc w:val="left"/>
      </w:pPr>
      <w:rPr>
        <w:rFonts w:hint="default" w:ascii="Times New Roman" w:hAnsi="Times New Roman" w:eastAsia="Times New Roman" w:cs="Times New Roman"/>
        <w:spacing w:val="-14"/>
        <w:w w:val="100"/>
        <w:sz w:val="12"/>
        <w:szCs w:val="12"/>
        <w:lang w:val="en-US" w:eastAsia="en-US" w:bidi="ar-SA"/>
      </w:rPr>
    </w:lvl>
    <w:lvl w:ilvl="1">
      <w:start w:val="0"/>
      <w:numFmt w:val="bullet"/>
      <w:lvlText w:val="•"/>
      <w:lvlJc w:val="left"/>
      <w:pPr>
        <w:ind w:left="773" w:hanging="180"/>
      </w:pPr>
      <w:rPr>
        <w:rFonts w:hint="default"/>
        <w:lang w:val="en-US" w:eastAsia="en-US" w:bidi="ar-SA"/>
      </w:rPr>
    </w:lvl>
    <w:lvl w:ilvl="2">
      <w:start w:val="0"/>
      <w:numFmt w:val="bullet"/>
      <w:lvlText w:val="•"/>
      <w:lvlJc w:val="left"/>
      <w:pPr>
        <w:ind w:left="1185" w:hanging="180"/>
      </w:pPr>
      <w:rPr>
        <w:rFonts w:hint="default"/>
        <w:lang w:val="en-US" w:eastAsia="en-US" w:bidi="ar-SA"/>
      </w:rPr>
    </w:lvl>
    <w:lvl w:ilvl="3">
      <w:start w:val="0"/>
      <w:numFmt w:val="bullet"/>
      <w:lvlText w:val="•"/>
      <w:lvlJc w:val="left"/>
      <w:pPr>
        <w:ind w:left="1598" w:hanging="180"/>
      </w:pPr>
      <w:rPr>
        <w:rFonts w:hint="default"/>
        <w:lang w:val="en-US" w:eastAsia="en-US" w:bidi="ar-SA"/>
      </w:rPr>
    </w:lvl>
    <w:lvl w:ilvl="4">
      <w:start w:val="0"/>
      <w:numFmt w:val="bullet"/>
      <w:lvlText w:val="•"/>
      <w:lvlJc w:val="left"/>
      <w:pPr>
        <w:ind w:left="2011" w:hanging="180"/>
      </w:pPr>
      <w:rPr>
        <w:rFonts w:hint="default"/>
        <w:lang w:val="en-US" w:eastAsia="en-US" w:bidi="ar-SA"/>
      </w:rPr>
    </w:lvl>
    <w:lvl w:ilvl="5">
      <w:start w:val="0"/>
      <w:numFmt w:val="bullet"/>
      <w:lvlText w:val="•"/>
      <w:lvlJc w:val="left"/>
      <w:pPr>
        <w:ind w:left="2424" w:hanging="180"/>
      </w:pPr>
      <w:rPr>
        <w:rFonts w:hint="default"/>
        <w:lang w:val="en-US" w:eastAsia="en-US" w:bidi="ar-SA"/>
      </w:rPr>
    </w:lvl>
    <w:lvl w:ilvl="6">
      <w:start w:val="0"/>
      <w:numFmt w:val="bullet"/>
      <w:lvlText w:val="•"/>
      <w:lvlJc w:val="left"/>
      <w:pPr>
        <w:ind w:left="2837" w:hanging="180"/>
      </w:pPr>
      <w:rPr>
        <w:rFonts w:hint="default"/>
        <w:lang w:val="en-US" w:eastAsia="en-US" w:bidi="ar-SA"/>
      </w:rPr>
    </w:lvl>
    <w:lvl w:ilvl="7">
      <w:start w:val="0"/>
      <w:numFmt w:val="bullet"/>
      <w:lvlText w:val="•"/>
      <w:lvlJc w:val="left"/>
      <w:pPr>
        <w:ind w:left="3250" w:hanging="180"/>
      </w:pPr>
      <w:rPr>
        <w:rFonts w:hint="default"/>
        <w:lang w:val="en-US" w:eastAsia="en-US" w:bidi="ar-SA"/>
      </w:rPr>
    </w:lvl>
    <w:lvl w:ilvl="8">
      <w:start w:val="0"/>
      <w:numFmt w:val="bullet"/>
      <w:lvlText w:val="•"/>
      <w:lvlJc w:val="left"/>
      <w:pPr>
        <w:ind w:left="3663" w:hanging="180"/>
      </w:pPr>
      <w:rPr>
        <w:rFonts w:hint="default"/>
        <w:lang w:val="en-US" w:eastAsia="en-US" w:bidi="ar-SA"/>
      </w:rPr>
    </w:lvl>
  </w:abstractNum>
  <w:abstractNum w:abstractNumId="32">
    <w:multiLevelType w:val="hybridMultilevel"/>
    <w:lvl w:ilvl="0">
      <w:start w:val="1"/>
      <w:numFmt w:val="lowerLetter"/>
      <w:lvlText w:val="(%1)"/>
      <w:lvlJc w:val="left"/>
      <w:pPr>
        <w:ind w:left="454" w:hanging="240"/>
        <w:jc w:val="left"/>
      </w:pPr>
      <w:rPr>
        <w:rFonts w:hint="default" w:ascii="Times New Roman" w:hAnsi="Times New Roman" w:eastAsia="Times New Roman" w:cs="Times New Roman"/>
        <w:spacing w:val="-14"/>
        <w:w w:val="100"/>
        <w:sz w:val="12"/>
        <w:szCs w:val="12"/>
        <w:lang w:val="en-US" w:eastAsia="en-US" w:bidi="ar-SA"/>
      </w:rPr>
    </w:lvl>
    <w:lvl w:ilvl="1">
      <w:start w:val="0"/>
      <w:numFmt w:val="bullet"/>
      <w:lvlText w:val="•"/>
      <w:lvlJc w:val="left"/>
      <w:pPr>
        <w:ind w:left="799" w:hanging="240"/>
      </w:pPr>
      <w:rPr>
        <w:rFonts w:hint="default"/>
        <w:lang w:val="en-US" w:eastAsia="en-US" w:bidi="ar-SA"/>
      </w:rPr>
    </w:lvl>
    <w:lvl w:ilvl="2">
      <w:start w:val="0"/>
      <w:numFmt w:val="bullet"/>
      <w:lvlText w:val="•"/>
      <w:lvlJc w:val="left"/>
      <w:pPr>
        <w:ind w:left="1138" w:hanging="240"/>
      </w:pPr>
      <w:rPr>
        <w:rFonts w:hint="default"/>
        <w:lang w:val="en-US" w:eastAsia="en-US" w:bidi="ar-SA"/>
      </w:rPr>
    </w:lvl>
    <w:lvl w:ilvl="3">
      <w:start w:val="0"/>
      <w:numFmt w:val="bullet"/>
      <w:lvlText w:val="•"/>
      <w:lvlJc w:val="left"/>
      <w:pPr>
        <w:ind w:left="1477" w:hanging="240"/>
      </w:pPr>
      <w:rPr>
        <w:rFonts w:hint="default"/>
        <w:lang w:val="en-US" w:eastAsia="en-US" w:bidi="ar-SA"/>
      </w:rPr>
    </w:lvl>
    <w:lvl w:ilvl="4">
      <w:start w:val="0"/>
      <w:numFmt w:val="bullet"/>
      <w:lvlText w:val="•"/>
      <w:lvlJc w:val="left"/>
      <w:pPr>
        <w:ind w:left="1817" w:hanging="240"/>
      </w:pPr>
      <w:rPr>
        <w:rFonts w:hint="default"/>
        <w:lang w:val="en-US" w:eastAsia="en-US" w:bidi="ar-SA"/>
      </w:rPr>
    </w:lvl>
    <w:lvl w:ilvl="5">
      <w:start w:val="0"/>
      <w:numFmt w:val="bullet"/>
      <w:lvlText w:val="•"/>
      <w:lvlJc w:val="left"/>
      <w:pPr>
        <w:ind w:left="2156" w:hanging="240"/>
      </w:pPr>
      <w:rPr>
        <w:rFonts w:hint="default"/>
        <w:lang w:val="en-US" w:eastAsia="en-US" w:bidi="ar-SA"/>
      </w:rPr>
    </w:lvl>
    <w:lvl w:ilvl="6">
      <w:start w:val="0"/>
      <w:numFmt w:val="bullet"/>
      <w:lvlText w:val="•"/>
      <w:lvlJc w:val="left"/>
      <w:pPr>
        <w:ind w:left="2495" w:hanging="240"/>
      </w:pPr>
      <w:rPr>
        <w:rFonts w:hint="default"/>
        <w:lang w:val="en-US" w:eastAsia="en-US" w:bidi="ar-SA"/>
      </w:rPr>
    </w:lvl>
    <w:lvl w:ilvl="7">
      <w:start w:val="0"/>
      <w:numFmt w:val="bullet"/>
      <w:lvlText w:val="•"/>
      <w:lvlJc w:val="left"/>
      <w:pPr>
        <w:ind w:left="2834" w:hanging="240"/>
      </w:pPr>
      <w:rPr>
        <w:rFonts w:hint="default"/>
        <w:lang w:val="en-US" w:eastAsia="en-US" w:bidi="ar-SA"/>
      </w:rPr>
    </w:lvl>
    <w:lvl w:ilvl="8">
      <w:start w:val="0"/>
      <w:numFmt w:val="bullet"/>
      <w:lvlText w:val="•"/>
      <w:lvlJc w:val="left"/>
      <w:pPr>
        <w:ind w:left="3174" w:hanging="240"/>
      </w:pPr>
      <w:rPr>
        <w:rFonts w:hint="default"/>
        <w:lang w:val="en-US" w:eastAsia="en-US" w:bidi="ar-SA"/>
      </w:rPr>
    </w:lvl>
  </w:abstractNum>
  <w:abstractNum w:abstractNumId="31">
    <w:multiLevelType w:val="hybridMultilevel"/>
    <w:lvl w:ilvl="0">
      <w:start w:val="4"/>
      <w:numFmt w:val="decimal"/>
      <w:lvlText w:val="%1"/>
      <w:lvlJc w:val="left"/>
      <w:pPr>
        <w:ind w:left="3188" w:hanging="2995"/>
        <w:jc w:val="left"/>
      </w:pPr>
      <w:rPr>
        <w:rFonts w:hint="default"/>
        <w:lang w:val="en-US" w:eastAsia="en-US" w:bidi="ar-SA"/>
      </w:rPr>
    </w:lvl>
    <w:lvl w:ilvl="1">
      <w:start w:val="6"/>
      <w:numFmt w:val="decimal"/>
      <w:lvlText w:val="%1.%2"/>
      <w:lvlJc w:val="left"/>
      <w:pPr>
        <w:ind w:left="3188" w:hanging="2995"/>
        <w:jc w:val="left"/>
      </w:pPr>
      <w:rPr>
        <w:rFonts w:hint="default" w:ascii="Times New Roman" w:hAnsi="Times New Roman" w:eastAsia="Times New Roman" w:cs="Times New Roman"/>
        <w:b/>
        <w:bCs/>
        <w:color w:val="009483"/>
        <w:w w:val="100"/>
        <w:sz w:val="28"/>
        <w:szCs w:val="28"/>
        <w:u w:val="thick" w:color="0093C1"/>
        <w:lang w:val="en-US" w:eastAsia="en-US" w:bidi="ar-SA"/>
      </w:rPr>
    </w:lvl>
    <w:lvl w:ilvl="2">
      <w:start w:val="0"/>
      <w:numFmt w:val="bullet"/>
      <w:lvlText w:val="•"/>
      <w:lvlJc w:val="left"/>
      <w:pPr>
        <w:ind w:left="3738" w:hanging="2995"/>
      </w:pPr>
      <w:rPr>
        <w:rFonts w:hint="default"/>
        <w:lang w:val="en-US" w:eastAsia="en-US" w:bidi="ar-SA"/>
      </w:rPr>
    </w:lvl>
    <w:lvl w:ilvl="3">
      <w:start w:val="0"/>
      <w:numFmt w:val="bullet"/>
      <w:lvlText w:val="•"/>
      <w:lvlJc w:val="left"/>
      <w:pPr>
        <w:ind w:left="4018" w:hanging="2995"/>
      </w:pPr>
      <w:rPr>
        <w:rFonts w:hint="default"/>
        <w:lang w:val="en-US" w:eastAsia="en-US" w:bidi="ar-SA"/>
      </w:rPr>
    </w:lvl>
    <w:lvl w:ilvl="4">
      <w:start w:val="0"/>
      <w:numFmt w:val="bullet"/>
      <w:lvlText w:val="•"/>
      <w:lvlJc w:val="left"/>
      <w:pPr>
        <w:ind w:left="4297" w:hanging="2995"/>
      </w:pPr>
      <w:rPr>
        <w:rFonts w:hint="default"/>
        <w:lang w:val="en-US" w:eastAsia="en-US" w:bidi="ar-SA"/>
      </w:rPr>
    </w:lvl>
    <w:lvl w:ilvl="5">
      <w:start w:val="0"/>
      <w:numFmt w:val="bullet"/>
      <w:lvlText w:val="•"/>
      <w:lvlJc w:val="left"/>
      <w:pPr>
        <w:ind w:left="4577" w:hanging="2995"/>
      </w:pPr>
      <w:rPr>
        <w:rFonts w:hint="default"/>
        <w:lang w:val="en-US" w:eastAsia="en-US" w:bidi="ar-SA"/>
      </w:rPr>
    </w:lvl>
    <w:lvl w:ilvl="6">
      <w:start w:val="0"/>
      <w:numFmt w:val="bullet"/>
      <w:lvlText w:val="•"/>
      <w:lvlJc w:val="left"/>
      <w:pPr>
        <w:ind w:left="4856" w:hanging="2995"/>
      </w:pPr>
      <w:rPr>
        <w:rFonts w:hint="default"/>
        <w:lang w:val="en-US" w:eastAsia="en-US" w:bidi="ar-SA"/>
      </w:rPr>
    </w:lvl>
    <w:lvl w:ilvl="7">
      <w:start w:val="0"/>
      <w:numFmt w:val="bullet"/>
      <w:lvlText w:val="•"/>
      <w:lvlJc w:val="left"/>
      <w:pPr>
        <w:ind w:left="5136" w:hanging="2995"/>
      </w:pPr>
      <w:rPr>
        <w:rFonts w:hint="default"/>
        <w:lang w:val="en-US" w:eastAsia="en-US" w:bidi="ar-SA"/>
      </w:rPr>
    </w:lvl>
    <w:lvl w:ilvl="8">
      <w:start w:val="0"/>
      <w:numFmt w:val="bullet"/>
      <w:lvlText w:val="•"/>
      <w:lvlJc w:val="left"/>
      <w:pPr>
        <w:ind w:left="5415" w:hanging="2995"/>
      </w:pPr>
      <w:rPr>
        <w:rFonts w:hint="default"/>
        <w:lang w:val="en-US" w:eastAsia="en-US" w:bidi="ar-SA"/>
      </w:rPr>
    </w:lvl>
  </w:abstractNum>
  <w:abstractNum w:abstractNumId="30">
    <w:multiLevelType w:val="hybridMultilevel"/>
    <w:lvl w:ilvl="0">
      <w:start w:val="1"/>
      <w:numFmt w:val="lowerLetter"/>
      <w:lvlText w:val="(%1)"/>
      <w:lvlJc w:val="left"/>
      <w:pPr>
        <w:ind w:left="434" w:hanging="240"/>
        <w:jc w:val="left"/>
      </w:pPr>
      <w:rPr>
        <w:rFonts w:hint="default" w:ascii="Times New Roman" w:hAnsi="Times New Roman" w:eastAsia="Times New Roman" w:cs="Times New Roman"/>
        <w:spacing w:val="-14"/>
        <w:w w:val="100"/>
        <w:sz w:val="12"/>
        <w:szCs w:val="12"/>
        <w:lang w:val="en-US" w:eastAsia="en-US" w:bidi="ar-SA"/>
      </w:rPr>
    </w:lvl>
    <w:lvl w:ilvl="1">
      <w:start w:val="0"/>
      <w:numFmt w:val="bullet"/>
      <w:lvlText w:val="•"/>
      <w:lvlJc w:val="left"/>
      <w:pPr>
        <w:ind w:left="794" w:hanging="240"/>
      </w:pPr>
      <w:rPr>
        <w:rFonts w:hint="default"/>
        <w:lang w:val="en-US" w:eastAsia="en-US" w:bidi="ar-SA"/>
      </w:rPr>
    </w:lvl>
    <w:lvl w:ilvl="2">
      <w:start w:val="0"/>
      <w:numFmt w:val="bullet"/>
      <w:lvlText w:val="•"/>
      <w:lvlJc w:val="left"/>
      <w:pPr>
        <w:ind w:left="1148" w:hanging="240"/>
      </w:pPr>
      <w:rPr>
        <w:rFonts w:hint="default"/>
        <w:lang w:val="en-US" w:eastAsia="en-US" w:bidi="ar-SA"/>
      </w:rPr>
    </w:lvl>
    <w:lvl w:ilvl="3">
      <w:start w:val="0"/>
      <w:numFmt w:val="bullet"/>
      <w:lvlText w:val="•"/>
      <w:lvlJc w:val="left"/>
      <w:pPr>
        <w:ind w:left="1502" w:hanging="240"/>
      </w:pPr>
      <w:rPr>
        <w:rFonts w:hint="default"/>
        <w:lang w:val="en-US" w:eastAsia="en-US" w:bidi="ar-SA"/>
      </w:rPr>
    </w:lvl>
    <w:lvl w:ilvl="4">
      <w:start w:val="0"/>
      <w:numFmt w:val="bullet"/>
      <w:lvlText w:val="•"/>
      <w:lvlJc w:val="left"/>
      <w:pPr>
        <w:ind w:left="1857" w:hanging="240"/>
      </w:pPr>
      <w:rPr>
        <w:rFonts w:hint="default"/>
        <w:lang w:val="en-US" w:eastAsia="en-US" w:bidi="ar-SA"/>
      </w:rPr>
    </w:lvl>
    <w:lvl w:ilvl="5">
      <w:start w:val="0"/>
      <w:numFmt w:val="bullet"/>
      <w:lvlText w:val="•"/>
      <w:lvlJc w:val="left"/>
      <w:pPr>
        <w:ind w:left="2211" w:hanging="240"/>
      </w:pPr>
      <w:rPr>
        <w:rFonts w:hint="default"/>
        <w:lang w:val="en-US" w:eastAsia="en-US" w:bidi="ar-SA"/>
      </w:rPr>
    </w:lvl>
    <w:lvl w:ilvl="6">
      <w:start w:val="0"/>
      <w:numFmt w:val="bullet"/>
      <w:lvlText w:val="•"/>
      <w:lvlJc w:val="left"/>
      <w:pPr>
        <w:ind w:left="2565" w:hanging="240"/>
      </w:pPr>
      <w:rPr>
        <w:rFonts w:hint="default"/>
        <w:lang w:val="en-US" w:eastAsia="en-US" w:bidi="ar-SA"/>
      </w:rPr>
    </w:lvl>
    <w:lvl w:ilvl="7">
      <w:start w:val="0"/>
      <w:numFmt w:val="bullet"/>
      <w:lvlText w:val="•"/>
      <w:lvlJc w:val="left"/>
      <w:pPr>
        <w:ind w:left="2920" w:hanging="240"/>
      </w:pPr>
      <w:rPr>
        <w:rFonts w:hint="default"/>
        <w:lang w:val="en-US" w:eastAsia="en-US" w:bidi="ar-SA"/>
      </w:rPr>
    </w:lvl>
    <w:lvl w:ilvl="8">
      <w:start w:val="0"/>
      <w:numFmt w:val="bullet"/>
      <w:lvlText w:val="•"/>
      <w:lvlJc w:val="left"/>
      <w:pPr>
        <w:ind w:left="3274" w:hanging="240"/>
      </w:pPr>
      <w:rPr>
        <w:rFonts w:hint="default"/>
        <w:lang w:val="en-US" w:eastAsia="en-US" w:bidi="ar-SA"/>
      </w:rPr>
    </w:lvl>
  </w:abstractNum>
  <w:abstractNum w:abstractNumId="29">
    <w:multiLevelType w:val="hybridMultilevel"/>
    <w:lvl w:ilvl="0">
      <w:start w:val="1"/>
      <w:numFmt w:val="lowerLetter"/>
      <w:lvlText w:val="(%1)"/>
      <w:lvlJc w:val="left"/>
      <w:pPr>
        <w:ind w:left="429" w:hanging="240"/>
        <w:jc w:val="left"/>
      </w:pPr>
      <w:rPr>
        <w:rFonts w:hint="default" w:ascii="Times New Roman" w:hAnsi="Times New Roman" w:eastAsia="Times New Roman" w:cs="Times New Roman"/>
        <w:spacing w:val="-14"/>
        <w:w w:val="100"/>
        <w:sz w:val="12"/>
        <w:szCs w:val="12"/>
        <w:lang w:val="en-US" w:eastAsia="en-US" w:bidi="ar-SA"/>
      </w:rPr>
    </w:lvl>
    <w:lvl w:ilvl="1">
      <w:start w:val="0"/>
      <w:numFmt w:val="bullet"/>
      <w:lvlText w:val="•"/>
      <w:lvlJc w:val="left"/>
      <w:pPr>
        <w:ind w:left="798" w:hanging="240"/>
      </w:pPr>
      <w:rPr>
        <w:rFonts w:hint="default"/>
        <w:lang w:val="en-US" w:eastAsia="en-US" w:bidi="ar-SA"/>
      </w:rPr>
    </w:lvl>
    <w:lvl w:ilvl="2">
      <w:start w:val="0"/>
      <w:numFmt w:val="bullet"/>
      <w:lvlText w:val="•"/>
      <w:lvlJc w:val="left"/>
      <w:pPr>
        <w:ind w:left="1176" w:hanging="240"/>
      </w:pPr>
      <w:rPr>
        <w:rFonts w:hint="default"/>
        <w:lang w:val="en-US" w:eastAsia="en-US" w:bidi="ar-SA"/>
      </w:rPr>
    </w:lvl>
    <w:lvl w:ilvl="3">
      <w:start w:val="0"/>
      <w:numFmt w:val="bullet"/>
      <w:lvlText w:val="•"/>
      <w:lvlJc w:val="left"/>
      <w:pPr>
        <w:ind w:left="1554" w:hanging="240"/>
      </w:pPr>
      <w:rPr>
        <w:rFonts w:hint="default"/>
        <w:lang w:val="en-US" w:eastAsia="en-US" w:bidi="ar-SA"/>
      </w:rPr>
    </w:lvl>
    <w:lvl w:ilvl="4">
      <w:start w:val="0"/>
      <w:numFmt w:val="bullet"/>
      <w:lvlText w:val="•"/>
      <w:lvlJc w:val="left"/>
      <w:pPr>
        <w:ind w:left="1933" w:hanging="240"/>
      </w:pPr>
      <w:rPr>
        <w:rFonts w:hint="default"/>
        <w:lang w:val="en-US" w:eastAsia="en-US" w:bidi="ar-SA"/>
      </w:rPr>
    </w:lvl>
    <w:lvl w:ilvl="5">
      <w:start w:val="0"/>
      <w:numFmt w:val="bullet"/>
      <w:lvlText w:val="•"/>
      <w:lvlJc w:val="left"/>
      <w:pPr>
        <w:ind w:left="2311" w:hanging="240"/>
      </w:pPr>
      <w:rPr>
        <w:rFonts w:hint="default"/>
        <w:lang w:val="en-US" w:eastAsia="en-US" w:bidi="ar-SA"/>
      </w:rPr>
    </w:lvl>
    <w:lvl w:ilvl="6">
      <w:start w:val="0"/>
      <w:numFmt w:val="bullet"/>
      <w:lvlText w:val="•"/>
      <w:lvlJc w:val="left"/>
      <w:pPr>
        <w:ind w:left="2689" w:hanging="240"/>
      </w:pPr>
      <w:rPr>
        <w:rFonts w:hint="default"/>
        <w:lang w:val="en-US" w:eastAsia="en-US" w:bidi="ar-SA"/>
      </w:rPr>
    </w:lvl>
    <w:lvl w:ilvl="7">
      <w:start w:val="0"/>
      <w:numFmt w:val="bullet"/>
      <w:lvlText w:val="•"/>
      <w:lvlJc w:val="left"/>
      <w:pPr>
        <w:ind w:left="3068" w:hanging="240"/>
      </w:pPr>
      <w:rPr>
        <w:rFonts w:hint="default"/>
        <w:lang w:val="en-US" w:eastAsia="en-US" w:bidi="ar-SA"/>
      </w:rPr>
    </w:lvl>
    <w:lvl w:ilvl="8">
      <w:start w:val="0"/>
      <w:numFmt w:val="bullet"/>
      <w:lvlText w:val="•"/>
      <w:lvlJc w:val="left"/>
      <w:pPr>
        <w:ind w:left="3446" w:hanging="240"/>
      </w:pPr>
      <w:rPr>
        <w:rFonts w:hint="default"/>
        <w:lang w:val="en-US" w:eastAsia="en-US" w:bidi="ar-SA"/>
      </w:rPr>
    </w:lvl>
  </w:abstractNum>
  <w:abstractNum w:abstractNumId="28">
    <w:multiLevelType w:val="hybridMultilevel"/>
    <w:lvl w:ilvl="0">
      <w:start w:val="4"/>
      <w:numFmt w:val="decimal"/>
      <w:lvlText w:val="%1"/>
      <w:lvlJc w:val="left"/>
      <w:pPr>
        <w:ind w:left="1338" w:hanging="1159"/>
        <w:jc w:val="left"/>
      </w:pPr>
      <w:rPr>
        <w:rFonts w:hint="default"/>
        <w:lang w:val="en-US" w:eastAsia="en-US" w:bidi="ar-SA"/>
      </w:rPr>
    </w:lvl>
    <w:lvl w:ilvl="1">
      <w:start w:val="4"/>
      <w:numFmt w:val="decimal"/>
      <w:lvlText w:val="%1.%2"/>
      <w:lvlJc w:val="left"/>
      <w:pPr>
        <w:ind w:left="1338" w:hanging="1159"/>
        <w:jc w:val="left"/>
      </w:pPr>
      <w:rPr>
        <w:rFonts w:hint="default" w:ascii="Times New Roman" w:hAnsi="Times New Roman" w:eastAsia="Times New Roman" w:cs="Times New Roman"/>
        <w:b/>
        <w:bCs/>
        <w:color w:val="009483"/>
        <w:w w:val="100"/>
        <w:sz w:val="28"/>
        <w:szCs w:val="28"/>
        <w:u w:val="thick" w:color="0093C1"/>
        <w:lang w:val="en-US" w:eastAsia="en-US" w:bidi="ar-SA"/>
      </w:rPr>
    </w:lvl>
    <w:lvl w:ilvl="2">
      <w:start w:val="0"/>
      <w:numFmt w:val="bullet"/>
      <w:lvlText w:val="•"/>
      <w:lvlJc w:val="left"/>
      <w:pPr>
        <w:ind w:left="2267" w:hanging="1159"/>
      </w:pPr>
      <w:rPr>
        <w:rFonts w:hint="default"/>
        <w:lang w:val="en-US" w:eastAsia="en-US" w:bidi="ar-SA"/>
      </w:rPr>
    </w:lvl>
    <w:lvl w:ilvl="3">
      <w:start w:val="0"/>
      <w:numFmt w:val="bullet"/>
      <w:lvlText w:val="•"/>
      <w:lvlJc w:val="left"/>
      <w:pPr>
        <w:ind w:left="2731" w:hanging="1159"/>
      </w:pPr>
      <w:rPr>
        <w:rFonts w:hint="default"/>
        <w:lang w:val="en-US" w:eastAsia="en-US" w:bidi="ar-SA"/>
      </w:rPr>
    </w:lvl>
    <w:lvl w:ilvl="4">
      <w:start w:val="0"/>
      <w:numFmt w:val="bullet"/>
      <w:lvlText w:val="•"/>
      <w:lvlJc w:val="left"/>
      <w:pPr>
        <w:ind w:left="3195" w:hanging="1159"/>
      </w:pPr>
      <w:rPr>
        <w:rFonts w:hint="default"/>
        <w:lang w:val="en-US" w:eastAsia="en-US" w:bidi="ar-SA"/>
      </w:rPr>
    </w:lvl>
    <w:lvl w:ilvl="5">
      <w:start w:val="0"/>
      <w:numFmt w:val="bullet"/>
      <w:lvlText w:val="•"/>
      <w:lvlJc w:val="left"/>
      <w:pPr>
        <w:ind w:left="3659" w:hanging="1159"/>
      </w:pPr>
      <w:rPr>
        <w:rFonts w:hint="default"/>
        <w:lang w:val="en-US" w:eastAsia="en-US" w:bidi="ar-SA"/>
      </w:rPr>
    </w:lvl>
    <w:lvl w:ilvl="6">
      <w:start w:val="0"/>
      <w:numFmt w:val="bullet"/>
      <w:lvlText w:val="•"/>
      <w:lvlJc w:val="left"/>
      <w:pPr>
        <w:ind w:left="4123" w:hanging="1159"/>
      </w:pPr>
      <w:rPr>
        <w:rFonts w:hint="default"/>
        <w:lang w:val="en-US" w:eastAsia="en-US" w:bidi="ar-SA"/>
      </w:rPr>
    </w:lvl>
    <w:lvl w:ilvl="7">
      <w:start w:val="0"/>
      <w:numFmt w:val="bullet"/>
      <w:lvlText w:val="•"/>
      <w:lvlJc w:val="left"/>
      <w:pPr>
        <w:ind w:left="4587" w:hanging="1159"/>
      </w:pPr>
      <w:rPr>
        <w:rFonts w:hint="default"/>
        <w:lang w:val="en-US" w:eastAsia="en-US" w:bidi="ar-SA"/>
      </w:rPr>
    </w:lvl>
    <w:lvl w:ilvl="8">
      <w:start w:val="0"/>
      <w:numFmt w:val="bullet"/>
      <w:lvlText w:val="•"/>
      <w:lvlJc w:val="left"/>
      <w:pPr>
        <w:ind w:left="5051" w:hanging="1159"/>
      </w:pPr>
      <w:rPr>
        <w:rFonts w:hint="default"/>
        <w:lang w:val="en-US" w:eastAsia="en-US" w:bidi="ar-SA"/>
      </w:rPr>
    </w:lvl>
  </w:abstractNum>
  <w:abstractNum w:abstractNumId="27">
    <w:multiLevelType w:val="hybridMultilevel"/>
    <w:lvl w:ilvl="0">
      <w:start w:val="1"/>
      <w:numFmt w:val="decimal"/>
      <w:lvlText w:val="(%1)"/>
      <w:lvlJc w:val="left"/>
      <w:pPr>
        <w:ind w:left="448" w:hanging="241"/>
        <w:jc w:val="left"/>
      </w:pPr>
      <w:rPr>
        <w:rFonts w:hint="default" w:ascii="Times New Roman" w:hAnsi="Times New Roman" w:eastAsia="Times New Roman" w:cs="Times New Roman"/>
        <w:w w:val="100"/>
        <w:sz w:val="16"/>
        <w:szCs w:val="16"/>
        <w:lang w:val="en-US" w:eastAsia="en-US" w:bidi="ar-SA"/>
      </w:rPr>
    </w:lvl>
    <w:lvl w:ilvl="1">
      <w:start w:val="0"/>
      <w:numFmt w:val="bullet"/>
      <w:lvlText w:val="•"/>
      <w:lvlJc w:val="left"/>
      <w:pPr>
        <w:ind w:left="994" w:hanging="241"/>
      </w:pPr>
      <w:rPr>
        <w:rFonts w:hint="default"/>
        <w:lang w:val="en-US" w:eastAsia="en-US" w:bidi="ar-SA"/>
      </w:rPr>
    </w:lvl>
    <w:lvl w:ilvl="2">
      <w:start w:val="0"/>
      <w:numFmt w:val="bullet"/>
      <w:lvlText w:val="•"/>
      <w:lvlJc w:val="left"/>
      <w:pPr>
        <w:ind w:left="1548" w:hanging="241"/>
      </w:pPr>
      <w:rPr>
        <w:rFonts w:hint="default"/>
        <w:lang w:val="en-US" w:eastAsia="en-US" w:bidi="ar-SA"/>
      </w:rPr>
    </w:lvl>
    <w:lvl w:ilvl="3">
      <w:start w:val="0"/>
      <w:numFmt w:val="bullet"/>
      <w:lvlText w:val="•"/>
      <w:lvlJc w:val="left"/>
      <w:pPr>
        <w:ind w:left="2102" w:hanging="241"/>
      </w:pPr>
      <w:rPr>
        <w:rFonts w:hint="default"/>
        <w:lang w:val="en-US" w:eastAsia="en-US" w:bidi="ar-SA"/>
      </w:rPr>
    </w:lvl>
    <w:lvl w:ilvl="4">
      <w:start w:val="0"/>
      <w:numFmt w:val="bullet"/>
      <w:lvlText w:val="•"/>
      <w:lvlJc w:val="left"/>
      <w:pPr>
        <w:ind w:left="2656" w:hanging="241"/>
      </w:pPr>
      <w:rPr>
        <w:rFonts w:hint="default"/>
        <w:lang w:val="en-US" w:eastAsia="en-US" w:bidi="ar-SA"/>
      </w:rPr>
    </w:lvl>
    <w:lvl w:ilvl="5">
      <w:start w:val="0"/>
      <w:numFmt w:val="bullet"/>
      <w:lvlText w:val="•"/>
      <w:lvlJc w:val="left"/>
      <w:pPr>
        <w:ind w:left="3210" w:hanging="241"/>
      </w:pPr>
      <w:rPr>
        <w:rFonts w:hint="default"/>
        <w:lang w:val="en-US" w:eastAsia="en-US" w:bidi="ar-SA"/>
      </w:rPr>
    </w:lvl>
    <w:lvl w:ilvl="6">
      <w:start w:val="0"/>
      <w:numFmt w:val="bullet"/>
      <w:lvlText w:val="•"/>
      <w:lvlJc w:val="left"/>
      <w:pPr>
        <w:ind w:left="3764" w:hanging="241"/>
      </w:pPr>
      <w:rPr>
        <w:rFonts w:hint="default"/>
        <w:lang w:val="en-US" w:eastAsia="en-US" w:bidi="ar-SA"/>
      </w:rPr>
    </w:lvl>
    <w:lvl w:ilvl="7">
      <w:start w:val="0"/>
      <w:numFmt w:val="bullet"/>
      <w:lvlText w:val="•"/>
      <w:lvlJc w:val="left"/>
      <w:pPr>
        <w:ind w:left="4318" w:hanging="241"/>
      </w:pPr>
      <w:rPr>
        <w:rFonts w:hint="default"/>
        <w:lang w:val="en-US" w:eastAsia="en-US" w:bidi="ar-SA"/>
      </w:rPr>
    </w:lvl>
    <w:lvl w:ilvl="8">
      <w:start w:val="0"/>
      <w:numFmt w:val="bullet"/>
      <w:lvlText w:val="•"/>
      <w:lvlJc w:val="left"/>
      <w:pPr>
        <w:ind w:left="4872" w:hanging="241"/>
      </w:pPr>
      <w:rPr>
        <w:rFonts w:hint="default"/>
        <w:lang w:val="en-US" w:eastAsia="en-US" w:bidi="ar-SA"/>
      </w:rPr>
    </w:lvl>
  </w:abstractNum>
  <w:abstractNum w:abstractNumId="26">
    <w:multiLevelType w:val="hybridMultilevel"/>
    <w:lvl w:ilvl="0">
      <w:start w:val="1"/>
      <w:numFmt w:val="lowerLetter"/>
      <w:lvlText w:val="(%1)"/>
      <w:lvlJc w:val="left"/>
      <w:pPr>
        <w:ind w:left="445" w:hanging="240"/>
        <w:jc w:val="left"/>
      </w:pPr>
      <w:rPr>
        <w:rFonts w:hint="default" w:ascii="Times New Roman" w:hAnsi="Times New Roman" w:eastAsia="Times New Roman" w:cs="Times New Roman"/>
        <w:spacing w:val="-14"/>
        <w:w w:val="100"/>
        <w:sz w:val="12"/>
        <w:szCs w:val="12"/>
        <w:lang w:val="en-US" w:eastAsia="en-US" w:bidi="ar-SA"/>
      </w:rPr>
    </w:lvl>
    <w:lvl w:ilvl="1">
      <w:start w:val="1"/>
      <w:numFmt w:val="decimal"/>
      <w:lvlText w:val="(%2)"/>
      <w:lvlJc w:val="left"/>
      <w:pPr>
        <w:ind w:left="5220" w:hanging="227"/>
        <w:jc w:val="left"/>
      </w:pPr>
      <w:rPr>
        <w:rFonts w:hint="default" w:ascii="Times New Roman" w:hAnsi="Times New Roman" w:eastAsia="Times New Roman" w:cs="Times New Roman"/>
        <w:spacing w:val="-4"/>
        <w:w w:val="100"/>
        <w:sz w:val="16"/>
        <w:szCs w:val="16"/>
        <w:lang w:val="en-US" w:eastAsia="en-US" w:bidi="ar-SA"/>
      </w:rPr>
    </w:lvl>
    <w:lvl w:ilvl="2">
      <w:start w:val="0"/>
      <w:numFmt w:val="bullet"/>
      <w:lvlText w:val="•"/>
      <w:lvlJc w:val="left"/>
      <w:pPr>
        <w:ind w:left="5038" w:hanging="227"/>
      </w:pPr>
      <w:rPr>
        <w:rFonts w:hint="default"/>
        <w:lang w:val="en-US" w:eastAsia="en-US" w:bidi="ar-SA"/>
      </w:rPr>
    </w:lvl>
    <w:lvl w:ilvl="3">
      <w:start w:val="0"/>
      <w:numFmt w:val="bullet"/>
      <w:lvlText w:val="•"/>
      <w:lvlJc w:val="left"/>
      <w:pPr>
        <w:ind w:left="4857" w:hanging="227"/>
      </w:pPr>
      <w:rPr>
        <w:rFonts w:hint="default"/>
        <w:lang w:val="en-US" w:eastAsia="en-US" w:bidi="ar-SA"/>
      </w:rPr>
    </w:lvl>
    <w:lvl w:ilvl="4">
      <w:start w:val="0"/>
      <w:numFmt w:val="bullet"/>
      <w:lvlText w:val="•"/>
      <w:lvlJc w:val="left"/>
      <w:pPr>
        <w:ind w:left="4676" w:hanging="227"/>
      </w:pPr>
      <w:rPr>
        <w:rFonts w:hint="default"/>
        <w:lang w:val="en-US" w:eastAsia="en-US" w:bidi="ar-SA"/>
      </w:rPr>
    </w:lvl>
    <w:lvl w:ilvl="5">
      <w:start w:val="0"/>
      <w:numFmt w:val="bullet"/>
      <w:lvlText w:val="•"/>
      <w:lvlJc w:val="left"/>
      <w:pPr>
        <w:ind w:left="4494" w:hanging="227"/>
      </w:pPr>
      <w:rPr>
        <w:rFonts w:hint="default"/>
        <w:lang w:val="en-US" w:eastAsia="en-US" w:bidi="ar-SA"/>
      </w:rPr>
    </w:lvl>
    <w:lvl w:ilvl="6">
      <w:start w:val="0"/>
      <w:numFmt w:val="bullet"/>
      <w:lvlText w:val="•"/>
      <w:lvlJc w:val="left"/>
      <w:pPr>
        <w:ind w:left="4313" w:hanging="227"/>
      </w:pPr>
      <w:rPr>
        <w:rFonts w:hint="default"/>
        <w:lang w:val="en-US" w:eastAsia="en-US" w:bidi="ar-SA"/>
      </w:rPr>
    </w:lvl>
    <w:lvl w:ilvl="7">
      <w:start w:val="0"/>
      <w:numFmt w:val="bullet"/>
      <w:lvlText w:val="•"/>
      <w:lvlJc w:val="left"/>
      <w:pPr>
        <w:ind w:left="4132" w:hanging="227"/>
      </w:pPr>
      <w:rPr>
        <w:rFonts w:hint="default"/>
        <w:lang w:val="en-US" w:eastAsia="en-US" w:bidi="ar-SA"/>
      </w:rPr>
    </w:lvl>
    <w:lvl w:ilvl="8">
      <w:start w:val="0"/>
      <w:numFmt w:val="bullet"/>
      <w:lvlText w:val="•"/>
      <w:lvlJc w:val="left"/>
      <w:pPr>
        <w:ind w:left="3950" w:hanging="227"/>
      </w:pPr>
      <w:rPr>
        <w:rFonts w:hint="default"/>
        <w:lang w:val="en-US" w:eastAsia="en-US" w:bidi="ar-SA"/>
      </w:rPr>
    </w:lvl>
  </w:abstractNum>
  <w:abstractNum w:abstractNumId="25">
    <w:multiLevelType w:val="hybridMultilevel"/>
    <w:lvl w:ilvl="0">
      <w:start w:val="1"/>
      <w:numFmt w:val="lowerLetter"/>
      <w:lvlText w:val="(%1)"/>
      <w:lvlJc w:val="left"/>
      <w:pPr>
        <w:ind w:left="436" w:hanging="240"/>
        <w:jc w:val="left"/>
      </w:pPr>
      <w:rPr>
        <w:rFonts w:hint="default" w:ascii="Times New Roman" w:hAnsi="Times New Roman" w:eastAsia="Times New Roman" w:cs="Times New Roman"/>
        <w:spacing w:val="-14"/>
        <w:w w:val="100"/>
        <w:sz w:val="12"/>
        <w:szCs w:val="12"/>
        <w:lang w:val="en-US" w:eastAsia="en-US" w:bidi="ar-SA"/>
      </w:rPr>
    </w:lvl>
    <w:lvl w:ilvl="1">
      <w:start w:val="1"/>
      <w:numFmt w:val="decimal"/>
      <w:lvlText w:val="(%2)"/>
      <w:lvlJc w:val="left"/>
      <w:pPr>
        <w:ind w:left="5259" w:hanging="241"/>
        <w:jc w:val="left"/>
      </w:pPr>
      <w:rPr>
        <w:rFonts w:hint="default" w:ascii="Times New Roman" w:hAnsi="Times New Roman" w:eastAsia="Times New Roman" w:cs="Times New Roman"/>
        <w:w w:val="100"/>
        <w:sz w:val="16"/>
        <w:szCs w:val="16"/>
        <w:lang w:val="en-US" w:eastAsia="en-US" w:bidi="ar-SA"/>
      </w:rPr>
    </w:lvl>
    <w:lvl w:ilvl="2">
      <w:start w:val="0"/>
      <w:numFmt w:val="bullet"/>
      <w:lvlText w:val="•"/>
      <w:lvlJc w:val="left"/>
      <w:pPr>
        <w:ind w:left="5168" w:hanging="241"/>
      </w:pPr>
      <w:rPr>
        <w:rFonts w:hint="default"/>
        <w:lang w:val="en-US" w:eastAsia="en-US" w:bidi="ar-SA"/>
      </w:rPr>
    </w:lvl>
    <w:lvl w:ilvl="3">
      <w:start w:val="0"/>
      <w:numFmt w:val="bullet"/>
      <w:lvlText w:val="•"/>
      <w:lvlJc w:val="left"/>
      <w:pPr>
        <w:ind w:left="5077" w:hanging="241"/>
      </w:pPr>
      <w:rPr>
        <w:rFonts w:hint="default"/>
        <w:lang w:val="en-US" w:eastAsia="en-US" w:bidi="ar-SA"/>
      </w:rPr>
    </w:lvl>
    <w:lvl w:ilvl="4">
      <w:start w:val="0"/>
      <w:numFmt w:val="bullet"/>
      <w:lvlText w:val="•"/>
      <w:lvlJc w:val="left"/>
      <w:pPr>
        <w:ind w:left="4986" w:hanging="241"/>
      </w:pPr>
      <w:rPr>
        <w:rFonts w:hint="default"/>
        <w:lang w:val="en-US" w:eastAsia="en-US" w:bidi="ar-SA"/>
      </w:rPr>
    </w:lvl>
    <w:lvl w:ilvl="5">
      <w:start w:val="0"/>
      <w:numFmt w:val="bullet"/>
      <w:lvlText w:val="•"/>
      <w:lvlJc w:val="left"/>
      <w:pPr>
        <w:ind w:left="4894" w:hanging="241"/>
      </w:pPr>
      <w:rPr>
        <w:rFonts w:hint="default"/>
        <w:lang w:val="en-US" w:eastAsia="en-US" w:bidi="ar-SA"/>
      </w:rPr>
    </w:lvl>
    <w:lvl w:ilvl="6">
      <w:start w:val="0"/>
      <w:numFmt w:val="bullet"/>
      <w:lvlText w:val="•"/>
      <w:lvlJc w:val="left"/>
      <w:pPr>
        <w:ind w:left="4803" w:hanging="241"/>
      </w:pPr>
      <w:rPr>
        <w:rFonts w:hint="default"/>
        <w:lang w:val="en-US" w:eastAsia="en-US" w:bidi="ar-SA"/>
      </w:rPr>
    </w:lvl>
    <w:lvl w:ilvl="7">
      <w:start w:val="0"/>
      <w:numFmt w:val="bullet"/>
      <w:lvlText w:val="•"/>
      <w:lvlJc w:val="left"/>
      <w:pPr>
        <w:ind w:left="4712" w:hanging="241"/>
      </w:pPr>
      <w:rPr>
        <w:rFonts w:hint="default"/>
        <w:lang w:val="en-US" w:eastAsia="en-US" w:bidi="ar-SA"/>
      </w:rPr>
    </w:lvl>
    <w:lvl w:ilvl="8">
      <w:start w:val="0"/>
      <w:numFmt w:val="bullet"/>
      <w:lvlText w:val="•"/>
      <w:lvlJc w:val="left"/>
      <w:pPr>
        <w:ind w:left="4621" w:hanging="241"/>
      </w:pPr>
      <w:rPr>
        <w:rFonts w:hint="default"/>
        <w:lang w:val="en-US" w:eastAsia="en-US" w:bidi="ar-SA"/>
      </w:rPr>
    </w:lvl>
  </w:abstractNum>
  <w:abstractNum w:abstractNumId="24">
    <w:multiLevelType w:val="hybridMultilevel"/>
    <w:lvl w:ilvl="0">
      <w:start w:val="4"/>
      <w:numFmt w:val="decimal"/>
      <w:lvlText w:val="%1"/>
      <w:lvlJc w:val="left"/>
      <w:pPr>
        <w:ind w:left="1138" w:hanging="942"/>
        <w:jc w:val="left"/>
      </w:pPr>
      <w:rPr>
        <w:rFonts w:hint="default"/>
        <w:lang w:val="en-US" w:eastAsia="en-US" w:bidi="ar-SA"/>
      </w:rPr>
    </w:lvl>
    <w:lvl w:ilvl="1">
      <w:start w:val="1"/>
      <w:numFmt w:val="decimal"/>
      <w:lvlText w:val="%1.%2"/>
      <w:lvlJc w:val="left"/>
      <w:pPr>
        <w:ind w:left="1138" w:hanging="942"/>
        <w:jc w:val="left"/>
      </w:pPr>
      <w:rPr>
        <w:rFonts w:hint="default"/>
        <w:b/>
        <w:bCs/>
        <w:w w:val="100"/>
        <w:lang w:val="en-US" w:eastAsia="en-US" w:bidi="ar-SA"/>
      </w:rPr>
    </w:lvl>
    <w:lvl w:ilvl="2">
      <w:start w:val="0"/>
      <w:numFmt w:val="bullet"/>
      <w:lvlText w:val="•"/>
      <w:lvlJc w:val="left"/>
      <w:pPr>
        <w:ind w:left="2107" w:hanging="942"/>
      </w:pPr>
      <w:rPr>
        <w:rFonts w:hint="default"/>
        <w:lang w:val="en-US" w:eastAsia="en-US" w:bidi="ar-SA"/>
      </w:rPr>
    </w:lvl>
    <w:lvl w:ilvl="3">
      <w:start w:val="0"/>
      <w:numFmt w:val="bullet"/>
      <w:lvlText w:val="•"/>
      <w:lvlJc w:val="left"/>
      <w:pPr>
        <w:ind w:left="2590" w:hanging="942"/>
      </w:pPr>
      <w:rPr>
        <w:rFonts w:hint="default"/>
        <w:lang w:val="en-US" w:eastAsia="en-US" w:bidi="ar-SA"/>
      </w:rPr>
    </w:lvl>
    <w:lvl w:ilvl="4">
      <w:start w:val="0"/>
      <w:numFmt w:val="bullet"/>
      <w:lvlText w:val="•"/>
      <w:lvlJc w:val="left"/>
      <w:pPr>
        <w:ind w:left="3074" w:hanging="942"/>
      </w:pPr>
      <w:rPr>
        <w:rFonts w:hint="default"/>
        <w:lang w:val="en-US" w:eastAsia="en-US" w:bidi="ar-SA"/>
      </w:rPr>
    </w:lvl>
    <w:lvl w:ilvl="5">
      <w:start w:val="0"/>
      <w:numFmt w:val="bullet"/>
      <w:lvlText w:val="•"/>
      <w:lvlJc w:val="left"/>
      <w:pPr>
        <w:ind w:left="3558" w:hanging="942"/>
      </w:pPr>
      <w:rPr>
        <w:rFonts w:hint="default"/>
        <w:lang w:val="en-US" w:eastAsia="en-US" w:bidi="ar-SA"/>
      </w:rPr>
    </w:lvl>
    <w:lvl w:ilvl="6">
      <w:start w:val="0"/>
      <w:numFmt w:val="bullet"/>
      <w:lvlText w:val="•"/>
      <w:lvlJc w:val="left"/>
      <w:pPr>
        <w:ind w:left="4041" w:hanging="942"/>
      </w:pPr>
      <w:rPr>
        <w:rFonts w:hint="default"/>
        <w:lang w:val="en-US" w:eastAsia="en-US" w:bidi="ar-SA"/>
      </w:rPr>
    </w:lvl>
    <w:lvl w:ilvl="7">
      <w:start w:val="0"/>
      <w:numFmt w:val="bullet"/>
      <w:lvlText w:val="•"/>
      <w:lvlJc w:val="left"/>
      <w:pPr>
        <w:ind w:left="4525" w:hanging="942"/>
      </w:pPr>
      <w:rPr>
        <w:rFonts w:hint="default"/>
        <w:lang w:val="en-US" w:eastAsia="en-US" w:bidi="ar-SA"/>
      </w:rPr>
    </w:lvl>
    <w:lvl w:ilvl="8">
      <w:start w:val="0"/>
      <w:numFmt w:val="bullet"/>
      <w:lvlText w:val="•"/>
      <w:lvlJc w:val="left"/>
      <w:pPr>
        <w:ind w:left="5009" w:hanging="942"/>
      </w:pPr>
      <w:rPr>
        <w:rFonts w:hint="default"/>
        <w:lang w:val="en-US" w:eastAsia="en-US" w:bidi="ar-SA"/>
      </w:rPr>
    </w:lvl>
  </w:abstractNum>
  <w:abstractNum w:abstractNumId="23">
    <w:multiLevelType w:val="hybridMultilevel"/>
    <w:lvl w:ilvl="0">
      <w:start w:val="5"/>
      <w:numFmt w:val="decimal"/>
      <w:lvlText w:val="%1"/>
      <w:lvlJc w:val="left"/>
      <w:pPr>
        <w:ind w:left="274" w:hanging="251"/>
        <w:jc w:val="left"/>
      </w:pPr>
      <w:rPr>
        <w:rFonts w:hint="default"/>
        <w:lang w:val="en-US" w:eastAsia="en-US" w:bidi="ar-SA"/>
      </w:rPr>
    </w:lvl>
    <w:lvl w:ilvl="1">
      <w:start w:val="2"/>
      <w:numFmt w:val="decimal"/>
      <w:lvlText w:val="%1.%2"/>
      <w:lvlJc w:val="left"/>
      <w:pPr>
        <w:ind w:left="274" w:hanging="251"/>
        <w:jc w:val="left"/>
      </w:pPr>
      <w:rPr>
        <w:rFonts w:hint="default" w:ascii="Times New Roman" w:hAnsi="Times New Roman" w:eastAsia="Times New Roman" w:cs="Times New Roman"/>
        <w:spacing w:val="-5"/>
        <w:w w:val="100"/>
        <w:sz w:val="18"/>
        <w:szCs w:val="18"/>
        <w:lang w:val="en-US" w:eastAsia="en-US" w:bidi="ar-SA"/>
      </w:rPr>
    </w:lvl>
    <w:lvl w:ilvl="2">
      <w:start w:val="1"/>
      <w:numFmt w:val="decimal"/>
      <w:lvlText w:val="(%3)"/>
      <w:lvlJc w:val="left"/>
      <w:pPr>
        <w:ind w:left="674" w:hanging="241"/>
        <w:jc w:val="left"/>
      </w:pPr>
      <w:rPr>
        <w:rFonts w:hint="default" w:ascii="Times New Roman" w:hAnsi="Times New Roman" w:eastAsia="Times New Roman" w:cs="Times New Roman"/>
        <w:w w:val="100"/>
        <w:sz w:val="16"/>
        <w:szCs w:val="16"/>
        <w:lang w:val="en-US" w:eastAsia="en-US" w:bidi="ar-SA"/>
      </w:rPr>
    </w:lvl>
    <w:lvl w:ilvl="3">
      <w:start w:val="1"/>
      <w:numFmt w:val="decimal"/>
      <w:lvlText w:val="(%4)"/>
      <w:lvlJc w:val="left"/>
      <w:pPr>
        <w:ind w:left="5229" w:hanging="241"/>
        <w:jc w:val="left"/>
      </w:pPr>
      <w:rPr>
        <w:rFonts w:hint="default" w:ascii="Times New Roman" w:hAnsi="Times New Roman" w:eastAsia="Times New Roman" w:cs="Times New Roman"/>
        <w:w w:val="100"/>
        <w:sz w:val="16"/>
        <w:szCs w:val="16"/>
        <w:lang w:val="en-US" w:eastAsia="en-US" w:bidi="ar-SA"/>
      </w:rPr>
    </w:lvl>
    <w:lvl w:ilvl="4">
      <w:start w:val="0"/>
      <w:numFmt w:val="bullet"/>
      <w:lvlText w:val="•"/>
      <w:lvlJc w:val="left"/>
      <w:pPr>
        <w:ind w:left="3867" w:hanging="241"/>
      </w:pPr>
      <w:rPr>
        <w:rFonts w:hint="default"/>
        <w:lang w:val="en-US" w:eastAsia="en-US" w:bidi="ar-SA"/>
      </w:rPr>
    </w:lvl>
    <w:lvl w:ilvl="5">
      <w:start w:val="0"/>
      <w:numFmt w:val="bullet"/>
      <w:lvlText w:val="•"/>
      <w:lvlJc w:val="left"/>
      <w:pPr>
        <w:ind w:left="3191" w:hanging="241"/>
      </w:pPr>
      <w:rPr>
        <w:rFonts w:hint="default"/>
        <w:lang w:val="en-US" w:eastAsia="en-US" w:bidi="ar-SA"/>
      </w:rPr>
    </w:lvl>
    <w:lvl w:ilvl="6">
      <w:start w:val="0"/>
      <w:numFmt w:val="bullet"/>
      <w:lvlText w:val="•"/>
      <w:lvlJc w:val="left"/>
      <w:pPr>
        <w:ind w:left="2515" w:hanging="241"/>
      </w:pPr>
      <w:rPr>
        <w:rFonts w:hint="default"/>
        <w:lang w:val="en-US" w:eastAsia="en-US" w:bidi="ar-SA"/>
      </w:rPr>
    </w:lvl>
    <w:lvl w:ilvl="7">
      <w:start w:val="0"/>
      <w:numFmt w:val="bullet"/>
      <w:lvlText w:val="•"/>
      <w:lvlJc w:val="left"/>
      <w:pPr>
        <w:ind w:left="1838" w:hanging="241"/>
      </w:pPr>
      <w:rPr>
        <w:rFonts w:hint="default"/>
        <w:lang w:val="en-US" w:eastAsia="en-US" w:bidi="ar-SA"/>
      </w:rPr>
    </w:lvl>
    <w:lvl w:ilvl="8">
      <w:start w:val="0"/>
      <w:numFmt w:val="bullet"/>
      <w:lvlText w:val="•"/>
      <w:lvlJc w:val="left"/>
      <w:pPr>
        <w:ind w:left="1162" w:hanging="241"/>
      </w:pPr>
      <w:rPr>
        <w:rFonts w:hint="default"/>
        <w:lang w:val="en-US" w:eastAsia="en-US" w:bidi="ar-SA"/>
      </w:rPr>
    </w:lvl>
  </w:abstractNum>
  <w:abstractNum w:abstractNumId="22">
    <w:multiLevelType w:val="hybridMultilevel"/>
    <w:lvl w:ilvl="0">
      <w:start w:val="1"/>
      <w:numFmt w:val="lowerLetter"/>
      <w:lvlText w:val="(%1)"/>
      <w:lvlJc w:val="left"/>
      <w:pPr>
        <w:ind w:left="412" w:hanging="240"/>
        <w:jc w:val="left"/>
      </w:pPr>
      <w:rPr>
        <w:rFonts w:hint="default" w:ascii="Times New Roman" w:hAnsi="Times New Roman" w:eastAsia="Times New Roman" w:cs="Times New Roman"/>
        <w:spacing w:val="-14"/>
        <w:w w:val="100"/>
        <w:sz w:val="12"/>
        <w:szCs w:val="12"/>
        <w:lang w:val="en-US" w:eastAsia="en-US" w:bidi="ar-SA"/>
      </w:rPr>
    </w:lvl>
    <w:lvl w:ilvl="1">
      <w:start w:val="0"/>
      <w:numFmt w:val="bullet"/>
      <w:lvlText w:val="•"/>
      <w:lvlJc w:val="left"/>
      <w:pPr>
        <w:ind w:left="824" w:hanging="240"/>
      </w:pPr>
      <w:rPr>
        <w:rFonts w:hint="default"/>
        <w:lang w:val="en-US" w:eastAsia="en-US" w:bidi="ar-SA"/>
      </w:rPr>
    </w:lvl>
    <w:lvl w:ilvl="2">
      <w:start w:val="0"/>
      <w:numFmt w:val="bullet"/>
      <w:lvlText w:val="•"/>
      <w:lvlJc w:val="left"/>
      <w:pPr>
        <w:ind w:left="1229" w:hanging="240"/>
      </w:pPr>
      <w:rPr>
        <w:rFonts w:hint="default"/>
        <w:lang w:val="en-US" w:eastAsia="en-US" w:bidi="ar-SA"/>
      </w:rPr>
    </w:lvl>
    <w:lvl w:ilvl="3">
      <w:start w:val="0"/>
      <w:numFmt w:val="bullet"/>
      <w:lvlText w:val="•"/>
      <w:lvlJc w:val="left"/>
      <w:pPr>
        <w:ind w:left="1633" w:hanging="240"/>
      </w:pPr>
      <w:rPr>
        <w:rFonts w:hint="default"/>
        <w:lang w:val="en-US" w:eastAsia="en-US" w:bidi="ar-SA"/>
      </w:rPr>
    </w:lvl>
    <w:lvl w:ilvl="4">
      <w:start w:val="0"/>
      <w:numFmt w:val="bullet"/>
      <w:lvlText w:val="•"/>
      <w:lvlJc w:val="left"/>
      <w:pPr>
        <w:ind w:left="2038" w:hanging="240"/>
      </w:pPr>
      <w:rPr>
        <w:rFonts w:hint="default"/>
        <w:lang w:val="en-US" w:eastAsia="en-US" w:bidi="ar-SA"/>
      </w:rPr>
    </w:lvl>
    <w:lvl w:ilvl="5">
      <w:start w:val="0"/>
      <w:numFmt w:val="bullet"/>
      <w:lvlText w:val="•"/>
      <w:lvlJc w:val="left"/>
      <w:pPr>
        <w:ind w:left="2442" w:hanging="240"/>
      </w:pPr>
      <w:rPr>
        <w:rFonts w:hint="default"/>
        <w:lang w:val="en-US" w:eastAsia="en-US" w:bidi="ar-SA"/>
      </w:rPr>
    </w:lvl>
    <w:lvl w:ilvl="6">
      <w:start w:val="0"/>
      <w:numFmt w:val="bullet"/>
      <w:lvlText w:val="•"/>
      <w:lvlJc w:val="left"/>
      <w:pPr>
        <w:ind w:left="2847" w:hanging="240"/>
      </w:pPr>
      <w:rPr>
        <w:rFonts w:hint="default"/>
        <w:lang w:val="en-US" w:eastAsia="en-US" w:bidi="ar-SA"/>
      </w:rPr>
    </w:lvl>
    <w:lvl w:ilvl="7">
      <w:start w:val="0"/>
      <w:numFmt w:val="bullet"/>
      <w:lvlText w:val="•"/>
      <w:lvlJc w:val="left"/>
      <w:pPr>
        <w:ind w:left="3251" w:hanging="240"/>
      </w:pPr>
      <w:rPr>
        <w:rFonts w:hint="default"/>
        <w:lang w:val="en-US" w:eastAsia="en-US" w:bidi="ar-SA"/>
      </w:rPr>
    </w:lvl>
    <w:lvl w:ilvl="8">
      <w:start w:val="0"/>
      <w:numFmt w:val="bullet"/>
      <w:lvlText w:val="•"/>
      <w:lvlJc w:val="left"/>
      <w:pPr>
        <w:ind w:left="3656" w:hanging="240"/>
      </w:pPr>
      <w:rPr>
        <w:rFonts w:hint="default"/>
        <w:lang w:val="en-US" w:eastAsia="en-US" w:bidi="ar-SA"/>
      </w:rPr>
    </w:lvl>
  </w:abstractNum>
  <w:abstractNum w:abstractNumId="21">
    <w:multiLevelType w:val="hybridMultilevel"/>
    <w:lvl w:ilvl="0">
      <w:start w:val="1"/>
      <w:numFmt w:val="lowerLetter"/>
      <w:lvlText w:val="(%1)"/>
      <w:lvlJc w:val="left"/>
      <w:pPr>
        <w:ind w:left="445" w:hanging="240"/>
        <w:jc w:val="left"/>
      </w:pPr>
      <w:rPr>
        <w:rFonts w:hint="default" w:ascii="Times New Roman" w:hAnsi="Times New Roman" w:eastAsia="Times New Roman" w:cs="Times New Roman"/>
        <w:spacing w:val="-14"/>
        <w:w w:val="100"/>
        <w:sz w:val="12"/>
        <w:szCs w:val="12"/>
        <w:lang w:val="en-US" w:eastAsia="en-US" w:bidi="ar-SA"/>
      </w:rPr>
    </w:lvl>
    <w:lvl w:ilvl="1">
      <w:start w:val="0"/>
      <w:numFmt w:val="bullet"/>
      <w:lvlText w:val="•"/>
      <w:lvlJc w:val="left"/>
      <w:pPr>
        <w:ind w:left="822" w:hanging="240"/>
      </w:pPr>
      <w:rPr>
        <w:rFonts w:hint="default"/>
        <w:lang w:val="en-US" w:eastAsia="en-US" w:bidi="ar-SA"/>
      </w:rPr>
    </w:lvl>
    <w:lvl w:ilvl="2">
      <w:start w:val="0"/>
      <w:numFmt w:val="bullet"/>
      <w:lvlText w:val="•"/>
      <w:lvlJc w:val="left"/>
      <w:pPr>
        <w:ind w:left="1204" w:hanging="240"/>
      </w:pPr>
      <w:rPr>
        <w:rFonts w:hint="default"/>
        <w:lang w:val="en-US" w:eastAsia="en-US" w:bidi="ar-SA"/>
      </w:rPr>
    </w:lvl>
    <w:lvl w:ilvl="3">
      <w:start w:val="0"/>
      <w:numFmt w:val="bullet"/>
      <w:lvlText w:val="•"/>
      <w:lvlJc w:val="left"/>
      <w:pPr>
        <w:ind w:left="1586" w:hanging="240"/>
      </w:pPr>
      <w:rPr>
        <w:rFonts w:hint="default"/>
        <w:lang w:val="en-US" w:eastAsia="en-US" w:bidi="ar-SA"/>
      </w:rPr>
    </w:lvl>
    <w:lvl w:ilvl="4">
      <w:start w:val="0"/>
      <w:numFmt w:val="bullet"/>
      <w:lvlText w:val="•"/>
      <w:lvlJc w:val="left"/>
      <w:pPr>
        <w:ind w:left="1968" w:hanging="240"/>
      </w:pPr>
      <w:rPr>
        <w:rFonts w:hint="default"/>
        <w:lang w:val="en-US" w:eastAsia="en-US" w:bidi="ar-SA"/>
      </w:rPr>
    </w:lvl>
    <w:lvl w:ilvl="5">
      <w:start w:val="0"/>
      <w:numFmt w:val="bullet"/>
      <w:lvlText w:val="•"/>
      <w:lvlJc w:val="left"/>
      <w:pPr>
        <w:ind w:left="2350" w:hanging="240"/>
      </w:pPr>
      <w:rPr>
        <w:rFonts w:hint="default"/>
        <w:lang w:val="en-US" w:eastAsia="en-US" w:bidi="ar-SA"/>
      </w:rPr>
    </w:lvl>
    <w:lvl w:ilvl="6">
      <w:start w:val="0"/>
      <w:numFmt w:val="bullet"/>
      <w:lvlText w:val="•"/>
      <w:lvlJc w:val="left"/>
      <w:pPr>
        <w:ind w:left="2732" w:hanging="240"/>
      </w:pPr>
      <w:rPr>
        <w:rFonts w:hint="default"/>
        <w:lang w:val="en-US" w:eastAsia="en-US" w:bidi="ar-SA"/>
      </w:rPr>
    </w:lvl>
    <w:lvl w:ilvl="7">
      <w:start w:val="0"/>
      <w:numFmt w:val="bullet"/>
      <w:lvlText w:val="•"/>
      <w:lvlJc w:val="left"/>
      <w:pPr>
        <w:ind w:left="3114" w:hanging="240"/>
      </w:pPr>
      <w:rPr>
        <w:rFonts w:hint="default"/>
        <w:lang w:val="en-US" w:eastAsia="en-US" w:bidi="ar-SA"/>
      </w:rPr>
    </w:lvl>
    <w:lvl w:ilvl="8">
      <w:start w:val="0"/>
      <w:numFmt w:val="bullet"/>
      <w:lvlText w:val="•"/>
      <w:lvlJc w:val="left"/>
      <w:pPr>
        <w:ind w:left="3496" w:hanging="240"/>
      </w:pPr>
      <w:rPr>
        <w:rFonts w:hint="default"/>
        <w:lang w:val="en-US" w:eastAsia="en-US" w:bidi="ar-SA"/>
      </w:rPr>
    </w:lvl>
  </w:abstractNum>
  <w:abstractNum w:abstractNumId="20">
    <w:multiLevelType w:val="hybridMultilevel"/>
    <w:lvl w:ilvl="0">
      <w:start w:val="1"/>
      <w:numFmt w:val="lowerLetter"/>
      <w:lvlText w:val="(%1)"/>
      <w:lvlJc w:val="left"/>
      <w:pPr>
        <w:ind w:left="445" w:hanging="240"/>
        <w:jc w:val="left"/>
      </w:pPr>
      <w:rPr>
        <w:rFonts w:hint="default" w:ascii="Times New Roman" w:hAnsi="Times New Roman" w:eastAsia="Times New Roman" w:cs="Times New Roman"/>
        <w:spacing w:val="-14"/>
        <w:w w:val="100"/>
        <w:sz w:val="12"/>
        <w:szCs w:val="12"/>
        <w:lang w:val="en-US" w:eastAsia="en-US" w:bidi="ar-SA"/>
      </w:rPr>
    </w:lvl>
    <w:lvl w:ilvl="1">
      <w:start w:val="0"/>
      <w:numFmt w:val="bullet"/>
      <w:lvlText w:val="•"/>
      <w:lvlJc w:val="left"/>
      <w:pPr>
        <w:ind w:left="822" w:hanging="240"/>
      </w:pPr>
      <w:rPr>
        <w:rFonts w:hint="default"/>
        <w:lang w:val="en-US" w:eastAsia="en-US" w:bidi="ar-SA"/>
      </w:rPr>
    </w:lvl>
    <w:lvl w:ilvl="2">
      <w:start w:val="0"/>
      <w:numFmt w:val="bullet"/>
      <w:lvlText w:val="•"/>
      <w:lvlJc w:val="left"/>
      <w:pPr>
        <w:ind w:left="1204" w:hanging="240"/>
      </w:pPr>
      <w:rPr>
        <w:rFonts w:hint="default"/>
        <w:lang w:val="en-US" w:eastAsia="en-US" w:bidi="ar-SA"/>
      </w:rPr>
    </w:lvl>
    <w:lvl w:ilvl="3">
      <w:start w:val="0"/>
      <w:numFmt w:val="bullet"/>
      <w:lvlText w:val="•"/>
      <w:lvlJc w:val="left"/>
      <w:pPr>
        <w:ind w:left="1586" w:hanging="240"/>
      </w:pPr>
      <w:rPr>
        <w:rFonts w:hint="default"/>
        <w:lang w:val="en-US" w:eastAsia="en-US" w:bidi="ar-SA"/>
      </w:rPr>
    </w:lvl>
    <w:lvl w:ilvl="4">
      <w:start w:val="0"/>
      <w:numFmt w:val="bullet"/>
      <w:lvlText w:val="•"/>
      <w:lvlJc w:val="left"/>
      <w:pPr>
        <w:ind w:left="1968" w:hanging="240"/>
      </w:pPr>
      <w:rPr>
        <w:rFonts w:hint="default"/>
        <w:lang w:val="en-US" w:eastAsia="en-US" w:bidi="ar-SA"/>
      </w:rPr>
    </w:lvl>
    <w:lvl w:ilvl="5">
      <w:start w:val="0"/>
      <w:numFmt w:val="bullet"/>
      <w:lvlText w:val="•"/>
      <w:lvlJc w:val="left"/>
      <w:pPr>
        <w:ind w:left="2350" w:hanging="240"/>
      </w:pPr>
      <w:rPr>
        <w:rFonts w:hint="default"/>
        <w:lang w:val="en-US" w:eastAsia="en-US" w:bidi="ar-SA"/>
      </w:rPr>
    </w:lvl>
    <w:lvl w:ilvl="6">
      <w:start w:val="0"/>
      <w:numFmt w:val="bullet"/>
      <w:lvlText w:val="•"/>
      <w:lvlJc w:val="left"/>
      <w:pPr>
        <w:ind w:left="2732" w:hanging="240"/>
      </w:pPr>
      <w:rPr>
        <w:rFonts w:hint="default"/>
        <w:lang w:val="en-US" w:eastAsia="en-US" w:bidi="ar-SA"/>
      </w:rPr>
    </w:lvl>
    <w:lvl w:ilvl="7">
      <w:start w:val="0"/>
      <w:numFmt w:val="bullet"/>
      <w:lvlText w:val="•"/>
      <w:lvlJc w:val="left"/>
      <w:pPr>
        <w:ind w:left="3114" w:hanging="240"/>
      </w:pPr>
      <w:rPr>
        <w:rFonts w:hint="default"/>
        <w:lang w:val="en-US" w:eastAsia="en-US" w:bidi="ar-SA"/>
      </w:rPr>
    </w:lvl>
    <w:lvl w:ilvl="8">
      <w:start w:val="0"/>
      <w:numFmt w:val="bullet"/>
      <w:lvlText w:val="•"/>
      <w:lvlJc w:val="left"/>
      <w:pPr>
        <w:ind w:left="3496" w:hanging="240"/>
      </w:pPr>
      <w:rPr>
        <w:rFonts w:hint="default"/>
        <w:lang w:val="en-US" w:eastAsia="en-US" w:bidi="ar-SA"/>
      </w:rPr>
    </w:lvl>
  </w:abstractNum>
  <w:abstractNum w:abstractNumId="19">
    <w:multiLevelType w:val="hybridMultilevel"/>
    <w:lvl w:ilvl="0">
      <w:start w:val="1"/>
      <w:numFmt w:val="lowerLetter"/>
      <w:lvlText w:val="(%1)"/>
      <w:lvlJc w:val="left"/>
      <w:pPr>
        <w:ind w:left="405" w:hanging="240"/>
        <w:jc w:val="left"/>
      </w:pPr>
      <w:rPr>
        <w:rFonts w:hint="default" w:ascii="Times New Roman" w:hAnsi="Times New Roman" w:eastAsia="Times New Roman" w:cs="Times New Roman"/>
        <w:spacing w:val="-14"/>
        <w:w w:val="100"/>
        <w:sz w:val="12"/>
        <w:szCs w:val="12"/>
        <w:lang w:val="en-US" w:eastAsia="en-US" w:bidi="ar-SA"/>
      </w:rPr>
    </w:lvl>
    <w:lvl w:ilvl="1">
      <w:start w:val="1"/>
      <w:numFmt w:val="decimal"/>
      <w:lvlText w:val="(%2)"/>
      <w:lvlJc w:val="left"/>
      <w:pPr>
        <w:ind w:left="439" w:hanging="227"/>
        <w:jc w:val="left"/>
      </w:pPr>
      <w:rPr>
        <w:rFonts w:hint="default" w:ascii="Times New Roman" w:hAnsi="Times New Roman" w:eastAsia="Times New Roman" w:cs="Times New Roman"/>
        <w:spacing w:val="-5"/>
        <w:w w:val="100"/>
        <w:sz w:val="16"/>
        <w:szCs w:val="16"/>
        <w:lang w:val="en-US" w:eastAsia="en-US" w:bidi="ar-SA"/>
      </w:rPr>
    </w:lvl>
    <w:lvl w:ilvl="2">
      <w:start w:val="0"/>
      <w:numFmt w:val="bullet"/>
      <w:lvlText w:val="•"/>
      <w:lvlJc w:val="left"/>
      <w:pPr>
        <w:ind w:left="287" w:hanging="227"/>
      </w:pPr>
      <w:rPr>
        <w:rFonts w:hint="default"/>
        <w:lang w:val="en-US" w:eastAsia="en-US" w:bidi="ar-SA"/>
      </w:rPr>
    </w:lvl>
    <w:lvl w:ilvl="3">
      <w:start w:val="0"/>
      <w:numFmt w:val="bullet"/>
      <w:lvlText w:val="•"/>
      <w:lvlJc w:val="left"/>
      <w:pPr>
        <w:ind w:left="134" w:hanging="227"/>
      </w:pPr>
      <w:rPr>
        <w:rFonts w:hint="default"/>
        <w:lang w:val="en-US" w:eastAsia="en-US" w:bidi="ar-SA"/>
      </w:rPr>
    </w:lvl>
    <w:lvl w:ilvl="4">
      <w:start w:val="0"/>
      <w:numFmt w:val="bullet"/>
      <w:lvlText w:val="•"/>
      <w:lvlJc w:val="left"/>
      <w:pPr>
        <w:ind w:left="-19" w:hanging="227"/>
      </w:pPr>
      <w:rPr>
        <w:rFonts w:hint="default"/>
        <w:lang w:val="en-US" w:eastAsia="en-US" w:bidi="ar-SA"/>
      </w:rPr>
    </w:lvl>
    <w:lvl w:ilvl="5">
      <w:start w:val="0"/>
      <w:numFmt w:val="bullet"/>
      <w:lvlText w:val="•"/>
      <w:lvlJc w:val="left"/>
      <w:pPr>
        <w:ind w:left="-172" w:hanging="227"/>
      </w:pPr>
      <w:rPr>
        <w:rFonts w:hint="default"/>
        <w:lang w:val="en-US" w:eastAsia="en-US" w:bidi="ar-SA"/>
      </w:rPr>
    </w:lvl>
    <w:lvl w:ilvl="6">
      <w:start w:val="0"/>
      <w:numFmt w:val="bullet"/>
      <w:lvlText w:val="•"/>
      <w:lvlJc w:val="left"/>
      <w:pPr>
        <w:ind w:left="-325" w:hanging="227"/>
      </w:pPr>
      <w:rPr>
        <w:rFonts w:hint="default"/>
        <w:lang w:val="en-US" w:eastAsia="en-US" w:bidi="ar-SA"/>
      </w:rPr>
    </w:lvl>
    <w:lvl w:ilvl="7">
      <w:start w:val="0"/>
      <w:numFmt w:val="bullet"/>
      <w:lvlText w:val="•"/>
      <w:lvlJc w:val="left"/>
      <w:pPr>
        <w:ind w:left="-477" w:hanging="227"/>
      </w:pPr>
      <w:rPr>
        <w:rFonts w:hint="default"/>
        <w:lang w:val="en-US" w:eastAsia="en-US" w:bidi="ar-SA"/>
      </w:rPr>
    </w:lvl>
    <w:lvl w:ilvl="8">
      <w:start w:val="0"/>
      <w:numFmt w:val="bullet"/>
      <w:lvlText w:val="•"/>
      <w:lvlJc w:val="left"/>
      <w:pPr>
        <w:ind w:left="-630" w:hanging="227"/>
      </w:pPr>
      <w:rPr>
        <w:rFonts w:hint="default"/>
        <w:lang w:val="en-US" w:eastAsia="en-US" w:bidi="ar-SA"/>
      </w:rPr>
    </w:lvl>
  </w:abstractNum>
  <w:abstractNum w:abstractNumId="18">
    <w:multiLevelType w:val="hybridMultilevel"/>
    <w:lvl w:ilvl="0">
      <w:start w:val="3"/>
      <w:numFmt w:val="decimal"/>
      <w:lvlText w:val="%1"/>
      <w:lvlJc w:val="left"/>
      <w:pPr>
        <w:ind w:left="6342" w:hanging="1377"/>
        <w:jc w:val="left"/>
      </w:pPr>
      <w:rPr>
        <w:rFonts w:hint="default"/>
        <w:lang w:val="en-US" w:eastAsia="en-US" w:bidi="ar-SA"/>
      </w:rPr>
    </w:lvl>
    <w:lvl w:ilvl="1">
      <w:start w:val="2"/>
      <w:numFmt w:val="decimal"/>
      <w:lvlText w:val="%1.%2"/>
      <w:lvlJc w:val="left"/>
      <w:pPr>
        <w:ind w:left="6342" w:hanging="1377"/>
        <w:jc w:val="right"/>
      </w:pPr>
      <w:rPr>
        <w:rFonts w:hint="default" w:ascii="Times New Roman" w:hAnsi="Times New Roman" w:eastAsia="Times New Roman" w:cs="Times New Roman"/>
        <w:b/>
        <w:bCs/>
        <w:color w:val="009483"/>
        <w:w w:val="100"/>
        <w:sz w:val="28"/>
        <w:szCs w:val="28"/>
        <w:u w:val="thick" w:color="0093C1"/>
        <w:lang w:val="en-US" w:eastAsia="en-US" w:bidi="ar-SA"/>
      </w:rPr>
    </w:lvl>
    <w:lvl w:ilvl="2">
      <w:start w:val="0"/>
      <w:numFmt w:val="bullet"/>
      <w:lvlText w:val="•"/>
      <w:lvlJc w:val="left"/>
      <w:pPr>
        <w:ind w:left="7224" w:hanging="1377"/>
      </w:pPr>
      <w:rPr>
        <w:rFonts w:hint="default"/>
        <w:lang w:val="en-US" w:eastAsia="en-US" w:bidi="ar-SA"/>
      </w:rPr>
    </w:lvl>
    <w:lvl w:ilvl="3">
      <w:start w:val="0"/>
      <w:numFmt w:val="bullet"/>
      <w:lvlText w:val="•"/>
      <w:lvlJc w:val="left"/>
      <w:pPr>
        <w:ind w:left="7666" w:hanging="1377"/>
      </w:pPr>
      <w:rPr>
        <w:rFonts w:hint="default"/>
        <w:lang w:val="en-US" w:eastAsia="en-US" w:bidi="ar-SA"/>
      </w:rPr>
    </w:lvl>
    <w:lvl w:ilvl="4">
      <w:start w:val="0"/>
      <w:numFmt w:val="bullet"/>
      <w:lvlText w:val="•"/>
      <w:lvlJc w:val="left"/>
      <w:pPr>
        <w:ind w:left="8108" w:hanging="1377"/>
      </w:pPr>
      <w:rPr>
        <w:rFonts w:hint="default"/>
        <w:lang w:val="en-US" w:eastAsia="en-US" w:bidi="ar-SA"/>
      </w:rPr>
    </w:lvl>
    <w:lvl w:ilvl="5">
      <w:start w:val="0"/>
      <w:numFmt w:val="bullet"/>
      <w:lvlText w:val="•"/>
      <w:lvlJc w:val="left"/>
      <w:pPr>
        <w:ind w:left="8550" w:hanging="1377"/>
      </w:pPr>
      <w:rPr>
        <w:rFonts w:hint="default"/>
        <w:lang w:val="en-US" w:eastAsia="en-US" w:bidi="ar-SA"/>
      </w:rPr>
    </w:lvl>
    <w:lvl w:ilvl="6">
      <w:start w:val="0"/>
      <w:numFmt w:val="bullet"/>
      <w:lvlText w:val="•"/>
      <w:lvlJc w:val="left"/>
      <w:pPr>
        <w:ind w:left="8992" w:hanging="1377"/>
      </w:pPr>
      <w:rPr>
        <w:rFonts w:hint="default"/>
        <w:lang w:val="en-US" w:eastAsia="en-US" w:bidi="ar-SA"/>
      </w:rPr>
    </w:lvl>
    <w:lvl w:ilvl="7">
      <w:start w:val="0"/>
      <w:numFmt w:val="bullet"/>
      <w:lvlText w:val="•"/>
      <w:lvlJc w:val="left"/>
      <w:pPr>
        <w:ind w:left="9434" w:hanging="1377"/>
      </w:pPr>
      <w:rPr>
        <w:rFonts w:hint="default"/>
        <w:lang w:val="en-US" w:eastAsia="en-US" w:bidi="ar-SA"/>
      </w:rPr>
    </w:lvl>
    <w:lvl w:ilvl="8">
      <w:start w:val="0"/>
      <w:numFmt w:val="bullet"/>
      <w:lvlText w:val="•"/>
      <w:lvlJc w:val="left"/>
      <w:pPr>
        <w:ind w:left="9876" w:hanging="1377"/>
      </w:pPr>
      <w:rPr>
        <w:rFonts w:hint="default"/>
        <w:lang w:val="en-US" w:eastAsia="en-US" w:bidi="ar-SA"/>
      </w:rPr>
    </w:lvl>
  </w:abstractNum>
  <w:abstractNum w:abstractNumId="17">
    <w:multiLevelType w:val="hybridMultilevel"/>
    <w:lvl w:ilvl="0">
      <w:start w:val="1"/>
      <w:numFmt w:val="lowerLetter"/>
      <w:lvlText w:val="(%1)"/>
      <w:lvlJc w:val="left"/>
      <w:pPr>
        <w:ind w:left="430" w:hanging="240"/>
        <w:jc w:val="left"/>
      </w:pPr>
      <w:rPr>
        <w:rFonts w:hint="default" w:ascii="Times New Roman" w:hAnsi="Times New Roman" w:eastAsia="Times New Roman" w:cs="Times New Roman"/>
        <w:spacing w:val="-14"/>
        <w:w w:val="100"/>
        <w:sz w:val="12"/>
        <w:szCs w:val="12"/>
        <w:lang w:val="en-US" w:eastAsia="en-US" w:bidi="ar-SA"/>
      </w:rPr>
    </w:lvl>
    <w:lvl w:ilvl="1">
      <w:start w:val="1"/>
      <w:numFmt w:val="decimal"/>
      <w:lvlText w:val="(%2)"/>
      <w:lvlJc w:val="left"/>
      <w:pPr>
        <w:ind w:left="430" w:hanging="241"/>
        <w:jc w:val="left"/>
      </w:pPr>
      <w:rPr>
        <w:rFonts w:hint="default" w:ascii="Times New Roman" w:hAnsi="Times New Roman" w:eastAsia="Times New Roman" w:cs="Times New Roman"/>
        <w:w w:val="100"/>
        <w:sz w:val="16"/>
        <w:szCs w:val="16"/>
        <w:lang w:val="en-US" w:eastAsia="en-US" w:bidi="ar-SA"/>
      </w:rPr>
    </w:lvl>
    <w:lvl w:ilvl="2">
      <w:start w:val="0"/>
      <w:numFmt w:val="bullet"/>
      <w:lvlText w:val="•"/>
      <w:lvlJc w:val="left"/>
      <w:pPr>
        <w:ind w:left="264" w:hanging="241"/>
      </w:pPr>
      <w:rPr>
        <w:rFonts w:hint="default"/>
        <w:lang w:val="en-US" w:eastAsia="en-US" w:bidi="ar-SA"/>
      </w:rPr>
    </w:lvl>
    <w:lvl w:ilvl="3">
      <w:start w:val="0"/>
      <w:numFmt w:val="bullet"/>
      <w:lvlText w:val="•"/>
      <w:lvlJc w:val="left"/>
      <w:pPr>
        <w:ind w:left="177" w:hanging="241"/>
      </w:pPr>
      <w:rPr>
        <w:rFonts w:hint="default"/>
        <w:lang w:val="en-US" w:eastAsia="en-US" w:bidi="ar-SA"/>
      </w:rPr>
    </w:lvl>
    <w:lvl w:ilvl="4">
      <w:start w:val="0"/>
      <w:numFmt w:val="bullet"/>
      <w:lvlText w:val="•"/>
      <w:lvlJc w:val="left"/>
      <w:pPr>
        <w:ind w:left="89" w:hanging="241"/>
      </w:pPr>
      <w:rPr>
        <w:rFonts w:hint="default"/>
        <w:lang w:val="en-US" w:eastAsia="en-US" w:bidi="ar-SA"/>
      </w:rPr>
    </w:lvl>
    <w:lvl w:ilvl="5">
      <w:start w:val="0"/>
      <w:numFmt w:val="bullet"/>
      <w:lvlText w:val="•"/>
      <w:lvlJc w:val="left"/>
      <w:pPr>
        <w:ind w:left="1" w:hanging="241"/>
      </w:pPr>
      <w:rPr>
        <w:rFonts w:hint="default"/>
        <w:lang w:val="en-US" w:eastAsia="en-US" w:bidi="ar-SA"/>
      </w:rPr>
    </w:lvl>
    <w:lvl w:ilvl="6">
      <w:start w:val="0"/>
      <w:numFmt w:val="bullet"/>
      <w:lvlText w:val="•"/>
      <w:lvlJc w:val="left"/>
      <w:pPr>
        <w:ind w:left="-86" w:hanging="241"/>
      </w:pPr>
      <w:rPr>
        <w:rFonts w:hint="default"/>
        <w:lang w:val="en-US" w:eastAsia="en-US" w:bidi="ar-SA"/>
      </w:rPr>
    </w:lvl>
    <w:lvl w:ilvl="7">
      <w:start w:val="0"/>
      <w:numFmt w:val="bullet"/>
      <w:lvlText w:val="•"/>
      <w:lvlJc w:val="left"/>
      <w:pPr>
        <w:ind w:left="-174" w:hanging="241"/>
      </w:pPr>
      <w:rPr>
        <w:rFonts w:hint="default"/>
        <w:lang w:val="en-US" w:eastAsia="en-US" w:bidi="ar-SA"/>
      </w:rPr>
    </w:lvl>
    <w:lvl w:ilvl="8">
      <w:start w:val="0"/>
      <w:numFmt w:val="bullet"/>
      <w:lvlText w:val="•"/>
      <w:lvlJc w:val="left"/>
      <w:pPr>
        <w:ind w:left="-262" w:hanging="241"/>
      </w:pPr>
      <w:rPr>
        <w:rFonts w:hint="default"/>
        <w:lang w:val="en-US" w:eastAsia="en-US" w:bidi="ar-SA"/>
      </w:rPr>
    </w:lvl>
  </w:abstractNum>
  <w:abstractNum w:abstractNumId="16">
    <w:multiLevelType w:val="hybridMultilevel"/>
    <w:lvl w:ilvl="0">
      <w:start w:val="1"/>
      <w:numFmt w:val="lowerLetter"/>
      <w:lvlText w:val="(%1)"/>
      <w:lvlJc w:val="left"/>
      <w:pPr>
        <w:ind w:left="425" w:hanging="240"/>
        <w:jc w:val="left"/>
      </w:pPr>
      <w:rPr>
        <w:rFonts w:hint="default" w:ascii="Times New Roman" w:hAnsi="Times New Roman" w:eastAsia="Times New Roman" w:cs="Times New Roman"/>
        <w:spacing w:val="-14"/>
        <w:w w:val="100"/>
        <w:sz w:val="12"/>
        <w:szCs w:val="12"/>
        <w:lang w:val="en-US" w:eastAsia="en-US" w:bidi="ar-SA"/>
      </w:rPr>
    </w:lvl>
    <w:lvl w:ilvl="1">
      <w:start w:val="0"/>
      <w:numFmt w:val="bullet"/>
      <w:lvlText w:val="•"/>
      <w:lvlJc w:val="left"/>
      <w:pPr>
        <w:ind w:left="758" w:hanging="240"/>
      </w:pPr>
      <w:rPr>
        <w:rFonts w:hint="default"/>
        <w:lang w:val="en-US" w:eastAsia="en-US" w:bidi="ar-SA"/>
      </w:rPr>
    </w:lvl>
    <w:lvl w:ilvl="2">
      <w:start w:val="0"/>
      <w:numFmt w:val="bullet"/>
      <w:lvlText w:val="•"/>
      <w:lvlJc w:val="left"/>
      <w:pPr>
        <w:ind w:left="1097" w:hanging="240"/>
      </w:pPr>
      <w:rPr>
        <w:rFonts w:hint="default"/>
        <w:lang w:val="en-US" w:eastAsia="en-US" w:bidi="ar-SA"/>
      </w:rPr>
    </w:lvl>
    <w:lvl w:ilvl="3">
      <w:start w:val="0"/>
      <w:numFmt w:val="bullet"/>
      <w:lvlText w:val="•"/>
      <w:lvlJc w:val="left"/>
      <w:pPr>
        <w:ind w:left="1435" w:hanging="240"/>
      </w:pPr>
      <w:rPr>
        <w:rFonts w:hint="default"/>
        <w:lang w:val="en-US" w:eastAsia="en-US" w:bidi="ar-SA"/>
      </w:rPr>
    </w:lvl>
    <w:lvl w:ilvl="4">
      <w:start w:val="0"/>
      <w:numFmt w:val="bullet"/>
      <w:lvlText w:val="•"/>
      <w:lvlJc w:val="left"/>
      <w:pPr>
        <w:ind w:left="1774" w:hanging="240"/>
      </w:pPr>
      <w:rPr>
        <w:rFonts w:hint="default"/>
        <w:lang w:val="en-US" w:eastAsia="en-US" w:bidi="ar-SA"/>
      </w:rPr>
    </w:lvl>
    <w:lvl w:ilvl="5">
      <w:start w:val="0"/>
      <w:numFmt w:val="bullet"/>
      <w:lvlText w:val="•"/>
      <w:lvlJc w:val="left"/>
      <w:pPr>
        <w:ind w:left="2113" w:hanging="240"/>
      </w:pPr>
      <w:rPr>
        <w:rFonts w:hint="default"/>
        <w:lang w:val="en-US" w:eastAsia="en-US" w:bidi="ar-SA"/>
      </w:rPr>
    </w:lvl>
    <w:lvl w:ilvl="6">
      <w:start w:val="0"/>
      <w:numFmt w:val="bullet"/>
      <w:lvlText w:val="•"/>
      <w:lvlJc w:val="left"/>
      <w:pPr>
        <w:ind w:left="2451" w:hanging="240"/>
      </w:pPr>
      <w:rPr>
        <w:rFonts w:hint="default"/>
        <w:lang w:val="en-US" w:eastAsia="en-US" w:bidi="ar-SA"/>
      </w:rPr>
    </w:lvl>
    <w:lvl w:ilvl="7">
      <w:start w:val="0"/>
      <w:numFmt w:val="bullet"/>
      <w:lvlText w:val="•"/>
      <w:lvlJc w:val="left"/>
      <w:pPr>
        <w:ind w:left="2790" w:hanging="240"/>
      </w:pPr>
      <w:rPr>
        <w:rFonts w:hint="default"/>
        <w:lang w:val="en-US" w:eastAsia="en-US" w:bidi="ar-SA"/>
      </w:rPr>
    </w:lvl>
    <w:lvl w:ilvl="8">
      <w:start w:val="0"/>
      <w:numFmt w:val="bullet"/>
      <w:lvlText w:val="•"/>
      <w:lvlJc w:val="left"/>
      <w:pPr>
        <w:ind w:left="3129" w:hanging="240"/>
      </w:pPr>
      <w:rPr>
        <w:rFonts w:hint="default"/>
        <w:lang w:val="en-US" w:eastAsia="en-US" w:bidi="ar-SA"/>
      </w:rPr>
    </w:lvl>
  </w:abstractNum>
  <w:abstractNum w:abstractNumId="15">
    <w:multiLevelType w:val="hybridMultilevel"/>
    <w:lvl w:ilvl="0">
      <w:start w:val="1"/>
      <w:numFmt w:val="lowerLetter"/>
      <w:lvlText w:val="(%1)"/>
      <w:lvlJc w:val="left"/>
      <w:pPr>
        <w:ind w:left="425"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684" w:hanging="240"/>
      </w:pPr>
      <w:rPr>
        <w:rFonts w:hint="default"/>
        <w:lang w:val="en-US" w:eastAsia="en-US" w:bidi="ar-SA"/>
      </w:rPr>
    </w:lvl>
    <w:lvl w:ilvl="2">
      <w:start w:val="0"/>
      <w:numFmt w:val="bullet"/>
      <w:lvlText w:val="•"/>
      <w:lvlJc w:val="left"/>
      <w:pPr>
        <w:ind w:left="948" w:hanging="240"/>
      </w:pPr>
      <w:rPr>
        <w:rFonts w:hint="default"/>
        <w:lang w:val="en-US" w:eastAsia="en-US" w:bidi="ar-SA"/>
      </w:rPr>
    </w:lvl>
    <w:lvl w:ilvl="3">
      <w:start w:val="0"/>
      <w:numFmt w:val="bullet"/>
      <w:lvlText w:val="•"/>
      <w:lvlJc w:val="left"/>
      <w:pPr>
        <w:ind w:left="1212" w:hanging="240"/>
      </w:pPr>
      <w:rPr>
        <w:rFonts w:hint="default"/>
        <w:lang w:val="en-US" w:eastAsia="en-US" w:bidi="ar-SA"/>
      </w:rPr>
    </w:lvl>
    <w:lvl w:ilvl="4">
      <w:start w:val="0"/>
      <w:numFmt w:val="bullet"/>
      <w:lvlText w:val="•"/>
      <w:lvlJc w:val="left"/>
      <w:pPr>
        <w:ind w:left="1476" w:hanging="240"/>
      </w:pPr>
      <w:rPr>
        <w:rFonts w:hint="default"/>
        <w:lang w:val="en-US" w:eastAsia="en-US" w:bidi="ar-SA"/>
      </w:rPr>
    </w:lvl>
    <w:lvl w:ilvl="5">
      <w:start w:val="0"/>
      <w:numFmt w:val="bullet"/>
      <w:lvlText w:val="•"/>
      <w:lvlJc w:val="left"/>
      <w:pPr>
        <w:ind w:left="1740" w:hanging="240"/>
      </w:pPr>
      <w:rPr>
        <w:rFonts w:hint="default"/>
        <w:lang w:val="en-US" w:eastAsia="en-US" w:bidi="ar-SA"/>
      </w:rPr>
    </w:lvl>
    <w:lvl w:ilvl="6">
      <w:start w:val="0"/>
      <w:numFmt w:val="bullet"/>
      <w:lvlText w:val="•"/>
      <w:lvlJc w:val="left"/>
      <w:pPr>
        <w:ind w:left="2005" w:hanging="240"/>
      </w:pPr>
      <w:rPr>
        <w:rFonts w:hint="default"/>
        <w:lang w:val="en-US" w:eastAsia="en-US" w:bidi="ar-SA"/>
      </w:rPr>
    </w:lvl>
    <w:lvl w:ilvl="7">
      <w:start w:val="0"/>
      <w:numFmt w:val="bullet"/>
      <w:lvlText w:val="•"/>
      <w:lvlJc w:val="left"/>
      <w:pPr>
        <w:ind w:left="2269" w:hanging="240"/>
      </w:pPr>
      <w:rPr>
        <w:rFonts w:hint="default"/>
        <w:lang w:val="en-US" w:eastAsia="en-US" w:bidi="ar-SA"/>
      </w:rPr>
    </w:lvl>
    <w:lvl w:ilvl="8">
      <w:start w:val="0"/>
      <w:numFmt w:val="bullet"/>
      <w:lvlText w:val="•"/>
      <w:lvlJc w:val="left"/>
      <w:pPr>
        <w:ind w:left="2533" w:hanging="240"/>
      </w:pPr>
      <w:rPr>
        <w:rFonts w:hint="default"/>
        <w:lang w:val="en-US" w:eastAsia="en-US" w:bidi="ar-SA"/>
      </w:rPr>
    </w:lvl>
  </w:abstractNum>
  <w:abstractNum w:abstractNumId="14">
    <w:multiLevelType w:val="hybridMultilevel"/>
    <w:lvl w:ilvl="0">
      <w:start w:val="1"/>
      <w:numFmt w:val="lowerLetter"/>
      <w:lvlText w:val="(%1)"/>
      <w:lvlJc w:val="left"/>
      <w:pPr>
        <w:ind w:left="419"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1"/>
      <w:numFmt w:val="decimal"/>
      <w:lvlText w:val="(%2)"/>
      <w:lvlJc w:val="left"/>
      <w:pPr>
        <w:ind w:left="420" w:hanging="241"/>
        <w:jc w:val="left"/>
      </w:pPr>
      <w:rPr>
        <w:rFonts w:hint="default" w:ascii="Times New Roman" w:hAnsi="Times New Roman" w:eastAsia="Times New Roman" w:cs="Times New Roman"/>
        <w:color w:val="231F20"/>
        <w:w w:val="100"/>
        <w:sz w:val="16"/>
        <w:szCs w:val="16"/>
        <w:lang w:val="en-US" w:eastAsia="en-US" w:bidi="ar-SA"/>
      </w:rPr>
    </w:lvl>
    <w:lvl w:ilvl="2">
      <w:start w:val="0"/>
      <w:numFmt w:val="bullet"/>
      <w:lvlText w:val="•"/>
      <w:lvlJc w:val="left"/>
      <w:pPr>
        <w:ind w:left="191" w:hanging="241"/>
      </w:pPr>
      <w:rPr>
        <w:rFonts w:hint="default"/>
        <w:lang w:val="en-US" w:eastAsia="en-US" w:bidi="ar-SA"/>
      </w:rPr>
    </w:lvl>
    <w:lvl w:ilvl="3">
      <w:start w:val="0"/>
      <w:numFmt w:val="bullet"/>
      <w:lvlText w:val="•"/>
      <w:lvlJc w:val="left"/>
      <w:pPr>
        <w:ind w:left="76" w:hanging="241"/>
      </w:pPr>
      <w:rPr>
        <w:rFonts w:hint="default"/>
        <w:lang w:val="en-US" w:eastAsia="en-US" w:bidi="ar-SA"/>
      </w:rPr>
    </w:lvl>
    <w:lvl w:ilvl="4">
      <w:start w:val="0"/>
      <w:numFmt w:val="bullet"/>
      <w:lvlText w:val="•"/>
      <w:lvlJc w:val="left"/>
      <w:pPr>
        <w:ind w:left="-38" w:hanging="241"/>
      </w:pPr>
      <w:rPr>
        <w:rFonts w:hint="default"/>
        <w:lang w:val="en-US" w:eastAsia="en-US" w:bidi="ar-SA"/>
      </w:rPr>
    </w:lvl>
    <w:lvl w:ilvl="5">
      <w:start w:val="0"/>
      <w:numFmt w:val="bullet"/>
      <w:lvlText w:val="•"/>
      <w:lvlJc w:val="left"/>
      <w:pPr>
        <w:ind w:left="-153" w:hanging="241"/>
      </w:pPr>
      <w:rPr>
        <w:rFonts w:hint="default"/>
        <w:lang w:val="en-US" w:eastAsia="en-US" w:bidi="ar-SA"/>
      </w:rPr>
    </w:lvl>
    <w:lvl w:ilvl="6">
      <w:start w:val="0"/>
      <w:numFmt w:val="bullet"/>
      <w:lvlText w:val="•"/>
      <w:lvlJc w:val="left"/>
      <w:pPr>
        <w:ind w:left="-267" w:hanging="241"/>
      </w:pPr>
      <w:rPr>
        <w:rFonts w:hint="default"/>
        <w:lang w:val="en-US" w:eastAsia="en-US" w:bidi="ar-SA"/>
      </w:rPr>
    </w:lvl>
    <w:lvl w:ilvl="7">
      <w:start w:val="0"/>
      <w:numFmt w:val="bullet"/>
      <w:lvlText w:val="•"/>
      <w:lvlJc w:val="left"/>
      <w:pPr>
        <w:ind w:left="-382" w:hanging="241"/>
      </w:pPr>
      <w:rPr>
        <w:rFonts w:hint="default"/>
        <w:lang w:val="en-US" w:eastAsia="en-US" w:bidi="ar-SA"/>
      </w:rPr>
    </w:lvl>
    <w:lvl w:ilvl="8">
      <w:start w:val="0"/>
      <w:numFmt w:val="bullet"/>
      <w:lvlText w:val="•"/>
      <w:lvlJc w:val="left"/>
      <w:pPr>
        <w:ind w:left="-496" w:hanging="241"/>
      </w:pPr>
      <w:rPr>
        <w:rFonts w:hint="default"/>
        <w:lang w:val="en-US" w:eastAsia="en-US" w:bidi="ar-SA"/>
      </w:rPr>
    </w:lvl>
  </w:abstractNum>
  <w:abstractNum w:abstractNumId="13">
    <w:multiLevelType w:val="hybridMultilevel"/>
    <w:lvl w:ilvl="0">
      <w:start w:val="1"/>
      <w:numFmt w:val="lowerLetter"/>
      <w:lvlText w:val="(%1)"/>
      <w:lvlJc w:val="left"/>
      <w:pPr>
        <w:ind w:left="449"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1"/>
      <w:numFmt w:val="decimal"/>
      <w:lvlText w:val="(%2)"/>
      <w:lvlJc w:val="left"/>
      <w:pPr>
        <w:ind w:left="5240" w:hanging="241"/>
        <w:jc w:val="left"/>
      </w:pPr>
      <w:rPr>
        <w:rFonts w:hint="default" w:ascii="Times New Roman" w:hAnsi="Times New Roman" w:eastAsia="Times New Roman" w:cs="Times New Roman"/>
        <w:color w:val="231F20"/>
        <w:w w:val="100"/>
        <w:sz w:val="16"/>
        <w:szCs w:val="16"/>
        <w:lang w:val="en-US" w:eastAsia="en-US" w:bidi="ar-SA"/>
      </w:rPr>
    </w:lvl>
    <w:lvl w:ilvl="2">
      <w:start w:val="0"/>
      <w:numFmt w:val="bullet"/>
      <w:lvlText w:val="•"/>
      <w:lvlJc w:val="left"/>
      <w:pPr>
        <w:ind w:left="5078" w:hanging="241"/>
      </w:pPr>
      <w:rPr>
        <w:rFonts w:hint="default"/>
        <w:lang w:val="en-US" w:eastAsia="en-US" w:bidi="ar-SA"/>
      </w:rPr>
    </w:lvl>
    <w:lvl w:ilvl="3">
      <w:start w:val="0"/>
      <w:numFmt w:val="bullet"/>
      <w:lvlText w:val="•"/>
      <w:lvlJc w:val="left"/>
      <w:pPr>
        <w:ind w:left="4916" w:hanging="241"/>
      </w:pPr>
      <w:rPr>
        <w:rFonts w:hint="default"/>
        <w:lang w:val="en-US" w:eastAsia="en-US" w:bidi="ar-SA"/>
      </w:rPr>
    </w:lvl>
    <w:lvl w:ilvl="4">
      <w:start w:val="0"/>
      <w:numFmt w:val="bullet"/>
      <w:lvlText w:val="•"/>
      <w:lvlJc w:val="left"/>
      <w:pPr>
        <w:ind w:left="4754" w:hanging="241"/>
      </w:pPr>
      <w:rPr>
        <w:rFonts w:hint="default"/>
        <w:lang w:val="en-US" w:eastAsia="en-US" w:bidi="ar-SA"/>
      </w:rPr>
    </w:lvl>
    <w:lvl w:ilvl="5">
      <w:start w:val="0"/>
      <w:numFmt w:val="bullet"/>
      <w:lvlText w:val="•"/>
      <w:lvlJc w:val="left"/>
      <w:pPr>
        <w:ind w:left="4592" w:hanging="241"/>
      </w:pPr>
      <w:rPr>
        <w:rFonts w:hint="default"/>
        <w:lang w:val="en-US" w:eastAsia="en-US" w:bidi="ar-SA"/>
      </w:rPr>
    </w:lvl>
    <w:lvl w:ilvl="6">
      <w:start w:val="0"/>
      <w:numFmt w:val="bullet"/>
      <w:lvlText w:val="•"/>
      <w:lvlJc w:val="left"/>
      <w:pPr>
        <w:ind w:left="4430" w:hanging="241"/>
      </w:pPr>
      <w:rPr>
        <w:rFonts w:hint="default"/>
        <w:lang w:val="en-US" w:eastAsia="en-US" w:bidi="ar-SA"/>
      </w:rPr>
    </w:lvl>
    <w:lvl w:ilvl="7">
      <w:start w:val="0"/>
      <w:numFmt w:val="bullet"/>
      <w:lvlText w:val="•"/>
      <w:lvlJc w:val="left"/>
      <w:pPr>
        <w:ind w:left="4268" w:hanging="241"/>
      </w:pPr>
      <w:rPr>
        <w:rFonts w:hint="default"/>
        <w:lang w:val="en-US" w:eastAsia="en-US" w:bidi="ar-SA"/>
      </w:rPr>
    </w:lvl>
    <w:lvl w:ilvl="8">
      <w:start w:val="0"/>
      <w:numFmt w:val="bullet"/>
      <w:lvlText w:val="•"/>
      <w:lvlJc w:val="left"/>
      <w:pPr>
        <w:ind w:left="4107" w:hanging="241"/>
      </w:pPr>
      <w:rPr>
        <w:rFonts w:hint="default"/>
        <w:lang w:val="en-US" w:eastAsia="en-US" w:bidi="ar-SA"/>
      </w:rPr>
    </w:lvl>
  </w:abstractNum>
  <w:abstractNum w:abstractNumId="12">
    <w:multiLevelType w:val="hybridMultilevel"/>
    <w:lvl w:ilvl="0">
      <w:start w:val="1"/>
      <w:numFmt w:val="lowerLetter"/>
      <w:lvlText w:val="(%1)"/>
      <w:lvlJc w:val="left"/>
      <w:pPr>
        <w:ind w:left="409"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808" w:hanging="240"/>
      </w:pPr>
      <w:rPr>
        <w:rFonts w:hint="default"/>
        <w:lang w:val="en-US" w:eastAsia="en-US" w:bidi="ar-SA"/>
      </w:rPr>
    </w:lvl>
    <w:lvl w:ilvl="2">
      <w:start w:val="0"/>
      <w:numFmt w:val="bullet"/>
      <w:lvlText w:val="•"/>
      <w:lvlJc w:val="left"/>
      <w:pPr>
        <w:ind w:left="1217" w:hanging="240"/>
      </w:pPr>
      <w:rPr>
        <w:rFonts w:hint="default"/>
        <w:lang w:val="en-US" w:eastAsia="en-US" w:bidi="ar-SA"/>
      </w:rPr>
    </w:lvl>
    <w:lvl w:ilvl="3">
      <w:start w:val="0"/>
      <w:numFmt w:val="bullet"/>
      <w:lvlText w:val="•"/>
      <w:lvlJc w:val="left"/>
      <w:pPr>
        <w:ind w:left="1626" w:hanging="240"/>
      </w:pPr>
      <w:rPr>
        <w:rFonts w:hint="default"/>
        <w:lang w:val="en-US" w:eastAsia="en-US" w:bidi="ar-SA"/>
      </w:rPr>
    </w:lvl>
    <w:lvl w:ilvl="4">
      <w:start w:val="0"/>
      <w:numFmt w:val="bullet"/>
      <w:lvlText w:val="•"/>
      <w:lvlJc w:val="left"/>
      <w:pPr>
        <w:ind w:left="2035" w:hanging="240"/>
      </w:pPr>
      <w:rPr>
        <w:rFonts w:hint="default"/>
        <w:lang w:val="en-US" w:eastAsia="en-US" w:bidi="ar-SA"/>
      </w:rPr>
    </w:lvl>
    <w:lvl w:ilvl="5">
      <w:start w:val="0"/>
      <w:numFmt w:val="bullet"/>
      <w:lvlText w:val="•"/>
      <w:lvlJc w:val="left"/>
      <w:pPr>
        <w:ind w:left="2444" w:hanging="240"/>
      </w:pPr>
      <w:rPr>
        <w:rFonts w:hint="default"/>
        <w:lang w:val="en-US" w:eastAsia="en-US" w:bidi="ar-SA"/>
      </w:rPr>
    </w:lvl>
    <w:lvl w:ilvl="6">
      <w:start w:val="0"/>
      <w:numFmt w:val="bullet"/>
      <w:lvlText w:val="•"/>
      <w:lvlJc w:val="left"/>
      <w:pPr>
        <w:ind w:left="2853" w:hanging="240"/>
      </w:pPr>
      <w:rPr>
        <w:rFonts w:hint="default"/>
        <w:lang w:val="en-US" w:eastAsia="en-US" w:bidi="ar-SA"/>
      </w:rPr>
    </w:lvl>
    <w:lvl w:ilvl="7">
      <w:start w:val="0"/>
      <w:numFmt w:val="bullet"/>
      <w:lvlText w:val="•"/>
      <w:lvlJc w:val="left"/>
      <w:pPr>
        <w:ind w:left="3262" w:hanging="240"/>
      </w:pPr>
      <w:rPr>
        <w:rFonts w:hint="default"/>
        <w:lang w:val="en-US" w:eastAsia="en-US" w:bidi="ar-SA"/>
      </w:rPr>
    </w:lvl>
    <w:lvl w:ilvl="8">
      <w:start w:val="0"/>
      <w:numFmt w:val="bullet"/>
      <w:lvlText w:val="•"/>
      <w:lvlJc w:val="left"/>
      <w:pPr>
        <w:ind w:left="3671" w:hanging="240"/>
      </w:pPr>
      <w:rPr>
        <w:rFonts w:hint="default"/>
        <w:lang w:val="en-US" w:eastAsia="en-US" w:bidi="ar-SA"/>
      </w:rPr>
    </w:lvl>
  </w:abstractNum>
  <w:abstractNum w:abstractNumId="11">
    <w:multiLevelType w:val="hybridMultilevel"/>
    <w:lvl w:ilvl="0">
      <w:start w:val="1"/>
      <w:numFmt w:val="lowerLetter"/>
      <w:lvlText w:val="(%1)"/>
      <w:lvlJc w:val="left"/>
      <w:pPr>
        <w:ind w:left="434"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831" w:hanging="240"/>
      </w:pPr>
      <w:rPr>
        <w:rFonts w:hint="default"/>
        <w:lang w:val="en-US" w:eastAsia="en-US" w:bidi="ar-SA"/>
      </w:rPr>
    </w:lvl>
    <w:lvl w:ilvl="2">
      <w:start w:val="0"/>
      <w:numFmt w:val="bullet"/>
      <w:lvlText w:val="•"/>
      <w:lvlJc w:val="left"/>
      <w:pPr>
        <w:ind w:left="1222" w:hanging="240"/>
      </w:pPr>
      <w:rPr>
        <w:rFonts w:hint="default"/>
        <w:lang w:val="en-US" w:eastAsia="en-US" w:bidi="ar-SA"/>
      </w:rPr>
    </w:lvl>
    <w:lvl w:ilvl="3">
      <w:start w:val="0"/>
      <w:numFmt w:val="bullet"/>
      <w:lvlText w:val="•"/>
      <w:lvlJc w:val="left"/>
      <w:pPr>
        <w:ind w:left="1613" w:hanging="240"/>
      </w:pPr>
      <w:rPr>
        <w:rFonts w:hint="default"/>
        <w:lang w:val="en-US" w:eastAsia="en-US" w:bidi="ar-SA"/>
      </w:rPr>
    </w:lvl>
    <w:lvl w:ilvl="4">
      <w:start w:val="0"/>
      <w:numFmt w:val="bullet"/>
      <w:lvlText w:val="•"/>
      <w:lvlJc w:val="left"/>
      <w:pPr>
        <w:ind w:left="2004" w:hanging="240"/>
      </w:pPr>
      <w:rPr>
        <w:rFonts w:hint="default"/>
        <w:lang w:val="en-US" w:eastAsia="en-US" w:bidi="ar-SA"/>
      </w:rPr>
    </w:lvl>
    <w:lvl w:ilvl="5">
      <w:start w:val="0"/>
      <w:numFmt w:val="bullet"/>
      <w:lvlText w:val="•"/>
      <w:lvlJc w:val="left"/>
      <w:pPr>
        <w:ind w:left="2396" w:hanging="240"/>
      </w:pPr>
      <w:rPr>
        <w:rFonts w:hint="default"/>
        <w:lang w:val="en-US" w:eastAsia="en-US" w:bidi="ar-SA"/>
      </w:rPr>
    </w:lvl>
    <w:lvl w:ilvl="6">
      <w:start w:val="0"/>
      <w:numFmt w:val="bullet"/>
      <w:lvlText w:val="•"/>
      <w:lvlJc w:val="left"/>
      <w:pPr>
        <w:ind w:left="2787" w:hanging="240"/>
      </w:pPr>
      <w:rPr>
        <w:rFonts w:hint="default"/>
        <w:lang w:val="en-US" w:eastAsia="en-US" w:bidi="ar-SA"/>
      </w:rPr>
    </w:lvl>
    <w:lvl w:ilvl="7">
      <w:start w:val="0"/>
      <w:numFmt w:val="bullet"/>
      <w:lvlText w:val="•"/>
      <w:lvlJc w:val="left"/>
      <w:pPr>
        <w:ind w:left="3178" w:hanging="240"/>
      </w:pPr>
      <w:rPr>
        <w:rFonts w:hint="default"/>
        <w:lang w:val="en-US" w:eastAsia="en-US" w:bidi="ar-SA"/>
      </w:rPr>
    </w:lvl>
    <w:lvl w:ilvl="8">
      <w:start w:val="0"/>
      <w:numFmt w:val="bullet"/>
      <w:lvlText w:val="•"/>
      <w:lvlJc w:val="left"/>
      <w:pPr>
        <w:ind w:left="3569" w:hanging="240"/>
      </w:pPr>
      <w:rPr>
        <w:rFonts w:hint="default"/>
        <w:lang w:val="en-US" w:eastAsia="en-US" w:bidi="ar-SA"/>
      </w:rPr>
    </w:lvl>
  </w:abstractNum>
  <w:abstractNum w:abstractNumId="10">
    <w:multiLevelType w:val="hybridMultilevel"/>
    <w:lvl w:ilvl="0">
      <w:start w:val="1"/>
      <w:numFmt w:val="lowerLetter"/>
      <w:lvlText w:val="(%1)"/>
      <w:lvlJc w:val="left"/>
      <w:pPr>
        <w:ind w:left="259"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447" w:hanging="240"/>
      </w:pPr>
      <w:rPr>
        <w:rFonts w:hint="default"/>
        <w:lang w:val="en-US" w:eastAsia="en-US" w:bidi="ar-SA"/>
      </w:rPr>
    </w:lvl>
    <w:lvl w:ilvl="2">
      <w:start w:val="0"/>
      <w:numFmt w:val="bullet"/>
      <w:lvlText w:val="•"/>
      <w:lvlJc w:val="left"/>
      <w:pPr>
        <w:ind w:left="634" w:hanging="240"/>
      </w:pPr>
      <w:rPr>
        <w:rFonts w:hint="default"/>
        <w:lang w:val="en-US" w:eastAsia="en-US" w:bidi="ar-SA"/>
      </w:rPr>
    </w:lvl>
    <w:lvl w:ilvl="3">
      <w:start w:val="0"/>
      <w:numFmt w:val="bullet"/>
      <w:lvlText w:val="•"/>
      <w:lvlJc w:val="left"/>
      <w:pPr>
        <w:ind w:left="821" w:hanging="240"/>
      </w:pPr>
      <w:rPr>
        <w:rFonts w:hint="default"/>
        <w:lang w:val="en-US" w:eastAsia="en-US" w:bidi="ar-SA"/>
      </w:rPr>
    </w:lvl>
    <w:lvl w:ilvl="4">
      <w:start w:val="0"/>
      <w:numFmt w:val="bullet"/>
      <w:lvlText w:val="•"/>
      <w:lvlJc w:val="left"/>
      <w:pPr>
        <w:ind w:left="1008" w:hanging="240"/>
      </w:pPr>
      <w:rPr>
        <w:rFonts w:hint="default"/>
        <w:lang w:val="en-US" w:eastAsia="en-US" w:bidi="ar-SA"/>
      </w:rPr>
    </w:lvl>
    <w:lvl w:ilvl="5">
      <w:start w:val="0"/>
      <w:numFmt w:val="bullet"/>
      <w:lvlText w:val="•"/>
      <w:lvlJc w:val="left"/>
      <w:pPr>
        <w:ind w:left="1195" w:hanging="240"/>
      </w:pPr>
      <w:rPr>
        <w:rFonts w:hint="default"/>
        <w:lang w:val="en-US" w:eastAsia="en-US" w:bidi="ar-SA"/>
      </w:rPr>
    </w:lvl>
    <w:lvl w:ilvl="6">
      <w:start w:val="0"/>
      <w:numFmt w:val="bullet"/>
      <w:lvlText w:val="•"/>
      <w:lvlJc w:val="left"/>
      <w:pPr>
        <w:ind w:left="1382" w:hanging="240"/>
      </w:pPr>
      <w:rPr>
        <w:rFonts w:hint="default"/>
        <w:lang w:val="en-US" w:eastAsia="en-US" w:bidi="ar-SA"/>
      </w:rPr>
    </w:lvl>
    <w:lvl w:ilvl="7">
      <w:start w:val="0"/>
      <w:numFmt w:val="bullet"/>
      <w:lvlText w:val="•"/>
      <w:lvlJc w:val="left"/>
      <w:pPr>
        <w:ind w:left="1569" w:hanging="240"/>
      </w:pPr>
      <w:rPr>
        <w:rFonts w:hint="default"/>
        <w:lang w:val="en-US" w:eastAsia="en-US" w:bidi="ar-SA"/>
      </w:rPr>
    </w:lvl>
    <w:lvl w:ilvl="8">
      <w:start w:val="0"/>
      <w:numFmt w:val="bullet"/>
      <w:lvlText w:val="•"/>
      <w:lvlJc w:val="left"/>
      <w:pPr>
        <w:ind w:left="1756" w:hanging="240"/>
      </w:pPr>
      <w:rPr>
        <w:rFonts w:hint="default"/>
        <w:lang w:val="en-US" w:eastAsia="en-US" w:bidi="ar-SA"/>
      </w:rPr>
    </w:lvl>
  </w:abstractNum>
  <w:abstractNum w:abstractNumId="9">
    <w:multiLevelType w:val="hybridMultilevel"/>
    <w:lvl w:ilvl="0">
      <w:start w:val="1"/>
      <w:numFmt w:val="lowerLetter"/>
      <w:lvlText w:val="(%1)"/>
      <w:lvlJc w:val="left"/>
      <w:pPr>
        <w:ind w:left="399"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860" w:hanging="360"/>
      </w:pPr>
      <w:rPr>
        <w:rFonts w:hint="default" w:ascii="Wingdings" w:hAnsi="Wingdings" w:eastAsia="Wingdings" w:cs="Wingdings"/>
        <w:color w:val="231F20"/>
        <w:sz w:val="18"/>
        <w:szCs w:val="18"/>
        <w:lang w:val="en-US" w:eastAsia="en-US" w:bidi="ar-SA"/>
      </w:rPr>
    </w:lvl>
    <w:lvl w:ilvl="2">
      <w:start w:val="0"/>
      <w:numFmt w:val="bullet"/>
      <w:lvlText w:val="•"/>
      <w:lvlJc w:val="left"/>
      <w:pPr>
        <w:ind w:left="1263" w:hanging="360"/>
      </w:pPr>
      <w:rPr>
        <w:rFonts w:hint="default"/>
        <w:lang w:val="en-US" w:eastAsia="en-US" w:bidi="ar-SA"/>
      </w:rPr>
    </w:lvl>
    <w:lvl w:ilvl="3">
      <w:start w:val="0"/>
      <w:numFmt w:val="bullet"/>
      <w:lvlText w:val="•"/>
      <w:lvlJc w:val="left"/>
      <w:pPr>
        <w:ind w:left="1667" w:hanging="360"/>
      </w:pPr>
      <w:rPr>
        <w:rFonts w:hint="default"/>
        <w:lang w:val="en-US" w:eastAsia="en-US" w:bidi="ar-SA"/>
      </w:rPr>
    </w:lvl>
    <w:lvl w:ilvl="4">
      <w:start w:val="0"/>
      <w:numFmt w:val="bullet"/>
      <w:lvlText w:val="•"/>
      <w:lvlJc w:val="left"/>
      <w:pPr>
        <w:ind w:left="2071" w:hanging="360"/>
      </w:pPr>
      <w:rPr>
        <w:rFonts w:hint="default"/>
        <w:lang w:val="en-US" w:eastAsia="en-US" w:bidi="ar-SA"/>
      </w:rPr>
    </w:lvl>
    <w:lvl w:ilvl="5">
      <w:start w:val="0"/>
      <w:numFmt w:val="bullet"/>
      <w:lvlText w:val="•"/>
      <w:lvlJc w:val="left"/>
      <w:pPr>
        <w:ind w:left="2475" w:hanging="360"/>
      </w:pPr>
      <w:rPr>
        <w:rFonts w:hint="default"/>
        <w:lang w:val="en-US" w:eastAsia="en-US" w:bidi="ar-SA"/>
      </w:rPr>
    </w:lvl>
    <w:lvl w:ilvl="6">
      <w:start w:val="0"/>
      <w:numFmt w:val="bullet"/>
      <w:lvlText w:val="•"/>
      <w:lvlJc w:val="left"/>
      <w:pPr>
        <w:ind w:left="2879" w:hanging="360"/>
      </w:pPr>
      <w:rPr>
        <w:rFonts w:hint="default"/>
        <w:lang w:val="en-US" w:eastAsia="en-US" w:bidi="ar-SA"/>
      </w:rPr>
    </w:lvl>
    <w:lvl w:ilvl="7">
      <w:start w:val="0"/>
      <w:numFmt w:val="bullet"/>
      <w:lvlText w:val="•"/>
      <w:lvlJc w:val="left"/>
      <w:pPr>
        <w:ind w:left="3283" w:hanging="360"/>
      </w:pPr>
      <w:rPr>
        <w:rFonts w:hint="default"/>
        <w:lang w:val="en-US" w:eastAsia="en-US" w:bidi="ar-SA"/>
      </w:rPr>
    </w:lvl>
    <w:lvl w:ilvl="8">
      <w:start w:val="0"/>
      <w:numFmt w:val="bullet"/>
      <w:lvlText w:val="•"/>
      <w:lvlJc w:val="left"/>
      <w:pPr>
        <w:ind w:left="3687" w:hanging="360"/>
      </w:pPr>
      <w:rPr>
        <w:rFonts w:hint="default"/>
        <w:lang w:val="en-US" w:eastAsia="en-US" w:bidi="ar-SA"/>
      </w:rPr>
    </w:lvl>
  </w:abstractNum>
  <w:abstractNum w:abstractNumId="8">
    <w:multiLevelType w:val="hybridMultilevel"/>
    <w:lvl w:ilvl="0">
      <w:start w:val="1"/>
      <w:numFmt w:val="decimal"/>
      <w:lvlText w:val="(%1)"/>
      <w:lvlJc w:val="left"/>
      <w:pPr>
        <w:ind w:left="434" w:hanging="241"/>
        <w:jc w:val="left"/>
      </w:pPr>
      <w:rPr>
        <w:rFonts w:hint="default" w:ascii="Times New Roman" w:hAnsi="Times New Roman" w:eastAsia="Times New Roman" w:cs="Times New Roman"/>
        <w:color w:val="231F20"/>
        <w:w w:val="100"/>
        <w:sz w:val="16"/>
        <w:szCs w:val="16"/>
        <w:lang w:val="en-US" w:eastAsia="en-US" w:bidi="ar-SA"/>
      </w:rPr>
    </w:lvl>
    <w:lvl w:ilvl="1">
      <w:start w:val="0"/>
      <w:numFmt w:val="bullet"/>
      <w:lvlText w:val="•"/>
      <w:lvlJc w:val="left"/>
      <w:pPr>
        <w:ind w:left="991" w:hanging="241"/>
      </w:pPr>
      <w:rPr>
        <w:rFonts w:hint="default"/>
        <w:lang w:val="en-US" w:eastAsia="en-US" w:bidi="ar-SA"/>
      </w:rPr>
    </w:lvl>
    <w:lvl w:ilvl="2">
      <w:start w:val="0"/>
      <w:numFmt w:val="bullet"/>
      <w:lvlText w:val="•"/>
      <w:lvlJc w:val="left"/>
      <w:pPr>
        <w:ind w:left="1542" w:hanging="241"/>
      </w:pPr>
      <w:rPr>
        <w:rFonts w:hint="default"/>
        <w:lang w:val="en-US" w:eastAsia="en-US" w:bidi="ar-SA"/>
      </w:rPr>
    </w:lvl>
    <w:lvl w:ilvl="3">
      <w:start w:val="0"/>
      <w:numFmt w:val="bullet"/>
      <w:lvlText w:val="•"/>
      <w:lvlJc w:val="left"/>
      <w:pPr>
        <w:ind w:left="2094" w:hanging="241"/>
      </w:pPr>
      <w:rPr>
        <w:rFonts w:hint="default"/>
        <w:lang w:val="en-US" w:eastAsia="en-US" w:bidi="ar-SA"/>
      </w:rPr>
    </w:lvl>
    <w:lvl w:ilvl="4">
      <w:start w:val="0"/>
      <w:numFmt w:val="bullet"/>
      <w:lvlText w:val="•"/>
      <w:lvlJc w:val="left"/>
      <w:pPr>
        <w:ind w:left="2645" w:hanging="241"/>
      </w:pPr>
      <w:rPr>
        <w:rFonts w:hint="default"/>
        <w:lang w:val="en-US" w:eastAsia="en-US" w:bidi="ar-SA"/>
      </w:rPr>
    </w:lvl>
    <w:lvl w:ilvl="5">
      <w:start w:val="0"/>
      <w:numFmt w:val="bullet"/>
      <w:lvlText w:val="•"/>
      <w:lvlJc w:val="left"/>
      <w:pPr>
        <w:ind w:left="3197" w:hanging="241"/>
      </w:pPr>
      <w:rPr>
        <w:rFonts w:hint="default"/>
        <w:lang w:val="en-US" w:eastAsia="en-US" w:bidi="ar-SA"/>
      </w:rPr>
    </w:lvl>
    <w:lvl w:ilvl="6">
      <w:start w:val="0"/>
      <w:numFmt w:val="bullet"/>
      <w:lvlText w:val="•"/>
      <w:lvlJc w:val="left"/>
      <w:pPr>
        <w:ind w:left="3748" w:hanging="241"/>
      </w:pPr>
      <w:rPr>
        <w:rFonts w:hint="default"/>
        <w:lang w:val="en-US" w:eastAsia="en-US" w:bidi="ar-SA"/>
      </w:rPr>
    </w:lvl>
    <w:lvl w:ilvl="7">
      <w:start w:val="0"/>
      <w:numFmt w:val="bullet"/>
      <w:lvlText w:val="•"/>
      <w:lvlJc w:val="left"/>
      <w:pPr>
        <w:ind w:left="4300" w:hanging="241"/>
      </w:pPr>
      <w:rPr>
        <w:rFonts w:hint="default"/>
        <w:lang w:val="en-US" w:eastAsia="en-US" w:bidi="ar-SA"/>
      </w:rPr>
    </w:lvl>
    <w:lvl w:ilvl="8">
      <w:start w:val="0"/>
      <w:numFmt w:val="bullet"/>
      <w:lvlText w:val="•"/>
      <w:lvlJc w:val="left"/>
      <w:pPr>
        <w:ind w:left="4851" w:hanging="241"/>
      </w:pPr>
      <w:rPr>
        <w:rFonts w:hint="default"/>
        <w:lang w:val="en-US" w:eastAsia="en-US" w:bidi="ar-SA"/>
      </w:rPr>
    </w:lvl>
  </w:abstractNum>
  <w:abstractNum w:abstractNumId="7">
    <w:multiLevelType w:val="hybridMultilevel"/>
    <w:lvl w:ilvl="0">
      <w:start w:val="2"/>
      <w:numFmt w:val="decimal"/>
      <w:lvlText w:val="%1"/>
      <w:lvlJc w:val="left"/>
      <w:pPr>
        <w:ind w:left="3191" w:hanging="3022"/>
        <w:jc w:val="left"/>
      </w:pPr>
      <w:rPr>
        <w:rFonts w:hint="default"/>
        <w:lang w:val="en-US" w:eastAsia="en-US" w:bidi="ar-SA"/>
      </w:rPr>
    </w:lvl>
    <w:lvl w:ilvl="1">
      <w:start w:val="1"/>
      <w:numFmt w:val="decimal"/>
      <w:lvlText w:val="%1.%2"/>
      <w:lvlJc w:val="left"/>
      <w:pPr>
        <w:ind w:left="3191" w:hanging="3022"/>
        <w:jc w:val="right"/>
      </w:pPr>
      <w:rPr>
        <w:rFonts w:hint="default"/>
        <w:b/>
        <w:bCs/>
        <w:spacing w:val="-5"/>
        <w:w w:val="100"/>
        <w:u w:val="thick" w:color="0093C1"/>
        <w:lang w:val="en-US" w:eastAsia="en-US" w:bidi="ar-SA"/>
      </w:rPr>
    </w:lvl>
    <w:lvl w:ilvl="2">
      <w:start w:val="1"/>
      <w:numFmt w:val="decimal"/>
      <w:lvlText w:val="(%3)"/>
      <w:lvlJc w:val="left"/>
      <w:pPr>
        <w:ind w:left="715" w:hanging="241"/>
        <w:jc w:val="left"/>
      </w:pPr>
      <w:rPr>
        <w:rFonts w:hint="default" w:ascii="Times New Roman" w:hAnsi="Times New Roman" w:eastAsia="Times New Roman" w:cs="Times New Roman"/>
        <w:color w:val="231F20"/>
        <w:w w:val="100"/>
        <w:sz w:val="16"/>
        <w:szCs w:val="16"/>
        <w:lang w:val="en-US" w:eastAsia="en-US" w:bidi="ar-SA"/>
      </w:rPr>
    </w:lvl>
    <w:lvl w:ilvl="3">
      <w:start w:val="0"/>
      <w:numFmt w:val="bullet"/>
      <w:lvlText w:val="•"/>
      <w:lvlJc w:val="left"/>
      <w:pPr>
        <w:ind w:left="3806" w:hanging="241"/>
      </w:pPr>
      <w:rPr>
        <w:rFonts w:hint="default"/>
        <w:lang w:val="en-US" w:eastAsia="en-US" w:bidi="ar-SA"/>
      </w:rPr>
    </w:lvl>
    <w:lvl w:ilvl="4">
      <w:start w:val="0"/>
      <w:numFmt w:val="bullet"/>
      <w:lvlText w:val="•"/>
      <w:lvlJc w:val="left"/>
      <w:pPr>
        <w:ind w:left="4110" w:hanging="241"/>
      </w:pPr>
      <w:rPr>
        <w:rFonts w:hint="default"/>
        <w:lang w:val="en-US" w:eastAsia="en-US" w:bidi="ar-SA"/>
      </w:rPr>
    </w:lvl>
    <w:lvl w:ilvl="5">
      <w:start w:val="0"/>
      <w:numFmt w:val="bullet"/>
      <w:lvlText w:val="•"/>
      <w:lvlJc w:val="left"/>
      <w:pPr>
        <w:ind w:left="4413" w:hanging="241"/>
      </w:pPr>
      <w:rPr>
        <w:rFonts w:hint="default"/>
        <w:lang w:val="en-US" w:eastAsia="en-US" w:bidi="ar-SA"/>
      </w:rPr>
    </w:lvl>
    <w:lvl w:ilvl="6">
      <w:start w:val="0"/>
      <w:numFmt w:val="bullet"/>
      <w:lvlText w:val="•"/>
      <w:lvlJc w:val="left"/>
      <w:pPr>
        <w:ind w:left="4716" w:hanging="241"/>
      </w:pPr>
      <w:rPr>
        <w:rFonts w:hint="default"/>
        <w:lang w:val="en-US" w:eastAsia="en-US" w:bidi="ar-SA"/>
      </w:rPr>
    </w:lvl>
    <w:lvl w:ilvl="7">
      <w:start w:val="0"/>
      <w:numFmt w:val="bullet"/>
      <w:lvlText w:val="•"/>
      <w:lvlJc w:val="left"/>
      <w:pPr>
        <w:ind w:left="5020" w:hanging="241"/>
      </w:pPr>
      <w:rPr>
        <w:rFonts w:hint="default"/>
        <w:lang w:val="en-US" w:eastAsia="en-US" w:bidi="ar-SA"/>
      </w:rPr>
    </w:lvl>
    <w:lvl w:ilvl="8">
      <w:start w:val="0"/>
      <w:numFmt w:val="bullet"/>
      <w:lvlText w:val="•"/>
      <w:lvlJc w:val="left"/>
      <w:pPr>
        <w:ind w:left="5323" w:hanging="241"/>
      </w:pPr>
      <w:rPr>
        <w:rFonts w:hint="default"/>
        <w:lang w:val="en-US" w:eastAsia="en-US" w:bidi="ar-SA"/>
      </w:rPr>
    </w:lvl>
  </w:abstractNum>
  <w:abstractNum w:abstractNumId="6">
    <w:multiLevelType w:val="hybridMultilevel"/>
    <w:lvl w:ilvl="0">
      <w:start w:val="1"/>
      <w:numFmt w:val="lowerLetter"/>
      <w:lvlText w:val="(%1)"/>
      <w:lvlJc w:val="left"/>
      <w:pPr>
        <w:ind w:left="459"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824" w:hanging="240"/>
      </w:pPr>
      <w:rPr>
        <w:rFonts w:hint="default"/>
        <w:lang w:val="en-US" w:eastAsia="en-US" w:bidi="ar-SA"/>
      </w:rPr>
    </w:lvl>
    <w:lvl w:ilvl="2">
      <w:start w:val="0"/>
      <w:numFmt w:val="bullet"/>
      <w:lvlText w:val="•"/>
      <w:lvlJc w:val="left"/>
      <w:pPr>
        <w:ind w:left="1188" w:hanging="240"/>
      </w:pPr>
      <w:rPr>
        <w:rFonts w:hint="default"/>
        <w:lang w:val="en-US" w:eastAsia="en-US" w:bidi="ar-SA"/>
      </w:rPr>
    </w:lvl>
    <w:lvl w:ilvl="3">
      <w:start w:val="0"/>
      <w:numFmt w:val="bullet"/>
      <w:lvlText w:val="•"/>
      <w:lvlJc w:val="left"/>
      <w:pPr>
        <w:ind w:left="1552" w:hanging="240"/>
      </w:pPr>
      <w:rPr>
        <w:rFonts w:hint="default"/>
        <w:lang w:val="en-US" w:eastAsia="en-US" w:bidi="ar-SA"/>
      </w:rPr>
    </w:lvl>
    <w:lvl w:ilvl="4">
      <w:start w:val="0"/>
      <w:numFmt w:val="bullet"/>
      <w:lvlText w:val="•"/>
      <w:lvlJc w:val="left"/>
      <w:pPr>
        <w:ind w:left="1917" w:hanging="240"/>
      </w:pPr>
      <w:rPr>
        <w:rFonts w:hint="default"/>
        <w:lang w:val="en-US" w:eastAsia="en-US" w:bidi="ar-SA"/>
      </w:rPr>
    </w:lvl>
    <w:lvl w:ilvl="5">
      <w:start w:val="0"/>
      <w:numFmt w:val="bullet"/>
      <w:lvlText w:val="•"/>
      <w:lvlJc w:val="left"/>
      <w:pPr>
        <w:ind w:left="2281" w:hanging="240"/>
      </w:pPr>
      <w:rPr>
        <w:rFonts w:hint="default"/>
        <w:lang w:val="en-US" w:eastAsia="en-US" w:bidi="ar-SA"/>
      </w:rPr>
    </w:lvl>
    <w:lvl w:ilvl="6">
      <w:start w:val="0"/>
      <w:numFmt w:val="bullet"/>
      <w:lvlText w:val="•"/>
      <w:lvlJc w:val="left"/>
      <w:pPr>
        <w:ind w:left="2645" w:hanging="240"/>
      </w:pPr>
      <w:rPr>
        <w:rFonts w:hint="default"/>
        <w:lang w:val="en-US" w:eastAsia="en-US" w:bidi="ar-SA"/>
      </w:rPr>
    </w:lvl>
    <w:lvl w:ilvl="7">
      <w:start w:val="0"/>
      <w:numFmt w:val="bullet"/>
      <w:lvlText w:val="•"/>
      <w:lvlJc w:val="left"/>
      <w:pPr>
        <w:ind w:left="3010" w:hanging="240"/>
      </w:pPr>
      <w:rPr>
        <w:rFonts w:hint="default"/>
        <w:lang w:val="en-US" w:eastAsia="en-US" w:bidi="ar-SA"/>
      </w:rPr>
    </w:lvl>
    <w:lvl w:ilvl="8">
      <w:start w:val="0"/>
      <w:numFmt w:val="bullet"/>
      <w:lvlText w:val="•"/>
      <w:lvlJc w:val="left"/>
      <w:pPr>
        <w:ind w:left="3374" w:hanging="240"/>
      </w:pPr>
      <w:rPr>
        <w:rFonts w:hint="default"/>
        <w:lang w:val="en-US" w:eastAsia="en-US" w:bidi="ar-SA"/>
      </w:rPr>
    </w:lvl>
  </w:abstractNum>
  <w:abstractNum w:abstractNumId="5">
    <w:multiLevelType w:val="hybridMultilevel"/>
    <w:lvl w:ilvl="0">
      <w:start w:val="1"/>
      <w:numFmt w:val="lowerLetter"/>
      <w:lvlText w:val="(%1)"/>
      <w:lvlJc w:val="left"/>
      <w:pPr>
        <w:ind w:left="399" w:hanging="240"/>
        <w:jc w:val="left"/>
      </w:pPr>
      <w:rPr>
        <w:rFonts w:hint="default" w:ascii="Times New Roman" w:hAnsi="Times New Roman" w:eastAsia="Times New Roman" w:cs="Times New Roman"/>
        <w:spacing w:val="-14"/>
        <w:w w:val="100"/>
        <w:sz w:val="12"/>
        <w:szCs w:val="12"/>
        <w:lang w:val="en-US" w:eastAsia="en-US" w:bidi="ar-SA"/>
      </w:rPr>
    </w:lvl>
    <w:lvl w:ilvl="1">
      <w:start w:val="0"/>
      <w:numFmt w:val="bullet"/>
      <w:lvlText w:val="•"/>
      <w:lvlJc w:val="left"/>
      <w:pPr>
        <w:ind w:left="805" w:hanging="240"/>
      </w:pPr>
      <w:rPr>
        <w:rFonts w:hint="default"/>
        <w:lang w:val="en-US" w:eastAsia="en-US" w:bidi="ar-SA"/>
      </w:rPr>
    </w:lvl>
    <w:lvl w:ilvl="2">
      <w:start w:val="0"/>
      <w:numFmt w:val="bullet"/>
      <w:lvlText w:val="•"/>
      <w:lvlJc w:val="left"/>
      <w:pPr>
        <w:ind w:left="1211" w:hanging="240"/>
      </w:pPr>
      <w:rPr>
        <w:rFonts w:hint="default"/>
        <w:lang w:val="en-US" w:eastAsia="en-US" w:bidi="ar-SA"/>
      </w:rPr>
    </w:lvl>
    <w:lvl w:ilvl="3">
      <w:start w:val="0"/>
      <w:numFmt w:val="bullet"/>
      <w:lvlText w:val="•"/>
      <w:lvlJc w:val="left"/>
      <w:pPr>
        <w:ind w:left="1616" w:hanging="240"/>
      </w:pPr>
      <w:rPr>
        <w:rFonts w:hint="default"/>
        <w:lang w:val="en-US" w:eastAsia="en-US" w:bidi="ar-SA"/>
      </w:rPr>
    </w:lvl>
    <w:lvl w:ilvl="4">
      <w:start w:val="0"/>
      <w:numFmt w:val="bullet"/>
      <w:lvlText w:val="•"/>
      <w:lvlJc w:val="left"/>
      <w:pPr>
        <w:ind w:left="2022" w:hanging="240"/>
      </w:pPr>
      <w:rPr>
        <w:rFonts w:hint="default"/>
        <w:lang w:val="en-US" w:eastAsia="en-US" w:bidi="ar-SA"/>
      </w:rPr>
    </w:lvl>
    <w:lvl w:ilvl="5">
      <w:start w:val="0"/>
      <w:numFmt w:val="bullet"/>
      <w:lvlText w:val="•"/>
      <w:lvlJc w:val="left"/>
      <w:pPr>
        <w:ind w:left="2427" w:hanging="240"/>
      </w:pPr>
      <w:rPr>
        <w:rFonts w:hint="default"/>
        <w:lang w:val="en-US" w:eastAsia="en-US" w:bidi="ar-SA"/>
      </w:rPr>
    </w:lvl>
    <w:lvl w:ilvl="6">
      <w:start w:val="0"/>
      <w:numFmt w:val="bullet"/>
      <w:lvlText w:val="•"/>
      <w:lvlJc w:val="left"/>
      <w:pPr>
        <w:ind w:left="2833" w:hanging="240"/>
      </w:pPr>
      <w:rPr>
        <w:rFonts w:hint="default"/>
        <w:lang w:val="en-US" w:eastAsia="en-US" w:bidi="ar-SA"/>
      </w:rPr>
    </w:lvl>
    <w:lvl w:ilvl="7">
      <w:start w:val="0"/>
      <w:numFmt w:val="bullet"/>
      <w:lvlText w:val="•"/>
      <w:lvlJc w:val="left"/>
      <w:pPr>
        <w:ind w:left="3239" w:hanging="240"/>
      </w:pPr>
      <w:rPr>
        <w:rFonts w:hint="default"/>
        <w:lang w:val="en-US" w:eastAsia="en-US" w:bidi="ar-SA"/>
      </w:rPr>
    </w:lvl>
    <w:lvl w:ilvl="8">
      <w:start w:val="0"/>
      <w:numFmt w:val="bullet"/>
      <w:lvlText w:val="•"/>
      <w:lvlJc w:val="left"/>
      <w:pPr>
        <w:ind w:left="3644" w:hanging="240"/>
      </w:pPr>
      <w:rPr>
        <w:rFonts w:hint="default"/>
        <w:lang w:val="en-US" w:eastAsia="en-US" w:bidi="ar-SA"/>
      </w:rPr>
    </w:lvl>
  </w:abstractNum>
  <w:abstractNum w:abstractNumId="4">
    <w:multiLevelType w:val="hybridMultilevel"/>
    <w:lvl w:ilvl="0">
      <w:start w:val="1"/>
      <w:numFmt w:val="lowerLetter"/>
      <w:lvlText w:val="(%1)"/>
      <w:lvlJc w:val="left"/>
      <w:pPr>
        <w:ind w:left="480" w:hanging="240"/>
        <w:jc w:val="left"/>
      </w:pPr>
      <w:rPr>
        <w:rFonts w:hint="default" w:ascii="Times New Roman" w:hAnsi="Times New Roman" w:eastAsia="Times New Roman" w:cs="Times New Roman"/>
        <w:spacing w:val="-14"/>
        <w:w w:val="100"/>
        <w:sz w:val="12"/>
        <w:szCs w:val="12"/>
        <w:lang w:val="en-US" w:eastAsia="en-US" w:bidi="ar-SA"/>
      </w:rPr>
    </w:lvl>
    <w:lvl w:ilvl="1">
      <w:start w:val="1"/>
      <w:numFmt w:val="decimal"/>
      <w:lvlText w:val="(%2)"/>
      <w:lvlJc w:val="left"/>
      <w:pPr>
        <w:ind w:left="5224" w:hanging="227"/>
        <w:jc w:val="left"/>
      </w:pPr>
      <w:rPr>
        <w:rFonts w:hint="default" w:ascii="Times New Roman" w:hAnsi="Times New Roman" w:eastAsia="Times New Roman" w:cs="Times New Roman"/>
        <w:spacing w:val="-9"/>
        <w:w w:val="100"/>
        <w:sz w:val="16"/>
        <w:szCs w:val="16"/>
        <w:lang w:val="en-US" w:eastAsia="en-US" w:bidi="ar-SA"/>
      </w:rPr>
    </w:lvl>
    <w:lvl w:ilvl="2">
      <w:start w:val="0"/>
      <w:numFmt w:val="bullet"/>
      <w:lvlText w:val="•"/>
      <w:lvlJc w:val="left"/>
      <w:pPr>
        <w:ind w:left="5050" w:hanging="227"/>
      </w:pPr>
      <w:rPr>
        <w:rFonts w:hint="default"/>
        <w:lang w:val="en-US" w:eastAsia="en-US" w:bidi="ar-SA"/>
      </w:rPr>
    </w:lvl>
    <w:lvl w:ilvl="3">
      <w:start w:val="0"/>
      <w:numFmt w:val="bullet"/>
      <w:lvlText w:val="•"/>
      <w:lvlJc w:val="left"/>
      <w:pPr>
        <w:ind w:left="4880" w:hanging="227"/>
      </w:pPr>
      <w:rPr>
        <w:rFonts w:hint="default"/>
        <w:lang w:val="en-US" w:eastAsia="en-US" w:bidi="ar-SA"/>
      </w:rPr>
    </w:lvl>
    <w:lvl w:ilvl="4">
      <w:start w:val="0"/>
      <w:numFmt w:val="bullet"/>
      <w:lvlText w:val="•"/>
      <w:lvlJc w:val="left"/>
      <w:pPr>
        <w:ind w:left="4710" w:hanging="227"/>
      </w:pPr>
      <w:rPr>
        <w:rFonts w:hint="default"/>
        <w:lang w:val="en-US" w:eastAsia="en-US" w:bidi="ar-SA"/>
      </w:rPr>
    </w:lvl>
    <w:lvl w:ilvl="5">
      <w:start w:val="0"/>
      <w:numFmt w:val="bullet"/>
      <w:lvlText w:val="•"/>
      <w:lvlJc w:val="left"/>
      <w:pPr>
        <w:ind w:left="4541" w:hanging="227"/>
      </w:pPr>
      <w:rPr>
        <w:rFonts w:hint="default"/>
        <w:lang w:val="en-US" w:eastAsia="en-US" w:bidi="ar-SA"/>
      </w:rPr>
    </w:lvl>
    <w:lvl w:ilvl="6">
      <w:start w:val="0"/>
      <w:numFmt w:val="bullet"/>
      <w:lvlText w:val="•"/>
      <w:lvlJc w:val="left"/>
      <w:pPr>
        <w:ind w:left="4371" w:hanging="227"/>
      </w:pPr>
      <w:rPr>
        <w:rFonts w:hint="default"/>
        <w:lang w:val="en-US" w:eastAsia="en-US" w:bidi="ar-SA"/>
      </w:rPr>
    </w:lvl>
    <w:lvl w:ilvl="7">
      <w:start w:val="0"/>
      <w:numFmt w:val="bullet"/>
      <w:lvlText w:val="•"/>
      <w:lvlJc w:val="left"/>
      <w:pPr>
        <w:ind w:left="4201" w:hanging="227"/>
      </w:pPr>
      <w:rPr>
        <w:rFonts w:hint="default"/>
        <w:lang w:val="en-US" w:eastAsia="en-US" w:bidi="ar-SA"/>
      </w:rPr>
    </w:lvl>
    <w:lvl w:ilvl="8">
      <w:start w:val="0"/>
      <w:numFmt w:val="bullet"/>
      <w:lvlText w:val="•"/>
      <w:lvlJc w:val="left"/>
      <w:pPr>
        <w:ind w:left="4032" w:hanging="227"/>
      </w:pPr>
      <w:rPr>
        <w:rFonts w:hint="default"/>
        <w:lang w:val="en-US" w:eastAsia="en-US" w:bidi="ar-SA"/>
      </w:rPr>
    </w:lvl>
  </w:abstractNum>
  <w:abstractNum w:abstractNumId="3">
    <w:multiLevelType w:val="hybridMultilevel"/>
    <w:lvl w:ilvl="0">
      <w:start w:val="1"/>
      <w:numFmt w:val="lowerLetter"/>
      <w:lvlText w:val="(%1)"/>
      <w:lvlJc w:val="left"/>
      <w:pPr>
        <w:ind w:left="405" w:hanging="240"/>
        <w:jc w:val="left"/>
      </w:pPr>
      <w:rPr>
        <w:rFonts w:hint="default" w:ascii="Times New Roman" w:hAnsi="Times New Roman" w:eastAsia="Times New Roman" w:cs="Times New Roman"/>
        <w:spacing w:val="-14"/>
        <w:w w:val="100"/>
        <w:sz w:val="12"/>
        <w:szCs w:val="12"/>
        <w:lang w:val="en-US" w:eastAsia="en-US" w:bidi="ar-SA"/>
      </w:rPr>
    </w:lvl>
    <w:lvl w:ilvl="1">
      <w:start w:val="0"/>
      <w:numFmt w:val="bullet"/>
      <w:lvlText w:val="•"/>
      <w:lvlJc w:val="left"/>
      <w:pPr>
        <w:ind w:left="721" w:hanging="240"/>
      </w:pPr>
      <w:rPr>
        <w:rFonts w:hint="default"/>
        <w:lang w:val="en-US" w:eastAsia="en-US" w:bidi="ar-SA"/>
      </w:rPr>
    </w:lvl>
    <w:lvl w:ilvl="2">
      <w:start w:val="0"/>
      <w:numFmt w:val="bullet"/>
      <w:lvlText w:val="•"/>
      <w:lvlJc w:val="left"/>
      <w:pPr>
        <w:ind w:left="1043" w:hanging="240"/>
      </w:pPr>
      <w:rPr>
        <w:rFonts w:hint="default"/>
        <w:lang w:val="en-US" w:eastAsia="en-US" w:bidi="ar-SA"/>
      </w:rPr>
    </w:lvl>
    <w:lvl w:ilvl="3">
      <w:start w:val="0"/>
      <w:numFmt w:val="bullet"/>
      <w:lvlText w:val="•"/>
      <w:lvlJc w:val="left"/>
      <w:pPr>
        <w:ind w:left="1365" w:hanging="240"/>
      </w:pPr>
      <w:rPr>
        <w:rFonts w:hint="default"/>
        <w:lang w:val="en-US" w:eastAsia="en-US" w:bidi="ar-SA"/>
      </w:rPr>
    </w:lvl>
    <w:lvl w:ilvl="4">
      <w:start w:val="0"/>
      <w:numFmt w:val="bullet"/>
      <w:lvlText w:val="•"/>
      <w:lvlJc w:val="left"/>
      <w:pPr>
        <w:ind w:left="1687" w:hanging="240"/>
      </w:pPr>
      <w:rPr>
        <w:rFonts w:hint="default"/>
        <w:lang w:val="en-US" w:eastAsia="en-US" w:bidi="ar-SA"/>
      </w:rPr>
    </w:lvl>
    <w:lvl w:ilvl="5">
      <w:start w:val="0"/>
      <w:numFmt w:val="bullet"/>
      <w:lvlText w:val="•"/>
      <w:lvlJc w:val="left"/>
      <w:pPr>
        <w:ind w:left="2009" w:hanging="240"/>
      </w:pPr>
      <w:rPr>
        <w:rFonts w:hint="default"/>
        <w:lang w:val="en-US" w:eastAsia="en-US" w:bidi="ar-SA"/>
      </w:rPr>
    </w:lvl>
    <w:lvl w:ilvl="6">
      <w:start w:val="0"/>
      <w:numFmt w:val="bullet"/>
      <w:lvlText w:val="•"/>
      <w:lvlJc w:val="left"/>
      <w:pPr>
        <w:ind w:left="2330" w:hanging="240"/>
      </w:pPr>
      <w:rPr>
        <w:rFonts w:hint="default"/>
        <w:lang w:val="en-US" w:eastAsia="en-US" w:bidi="ar-SA"/>
      </w:rPr>
    </w:lvl>
    <w:lvl w:ilvl="7">
      <w:start w:val="0"/>
      <w:numFmt w:val="bullet"/>
      <w:lvlText w:val="•"/>
      <w:lvlJc w:val="left"/>
      <w:pPr>
        <w:ind w:left="2652" w:hanging="240"/>
      </w:pPr>
      <w:rPr>
        <w:rFonts w:hint="default"/>
        <w:lang w:val="en-US" w:eastAsia="en-US" w:bidi="ar-SA"/>
      </w:rPr>
    </w:lvl>
    <w:lvl w:ilvl="8">
      <w:start w:val="0"/>
      <w:numFmt w:val="bullet"/>
      <w:lvlText w:val="•"/>
      <w:lvlJc w:val="left"/>
      <w:pPr>
        <w:ind w:left="2974" w:hanging="240"/>
      </w:pPr>
      <w:rPr>
        <w:rFonts w:hint="default"/>
        <w:lang w:val="en-US" w:eastAsia="en-US" w:bidi="ar-SA"/>
      </w:rPr>
    </w:lvl>
  </w:abstractNum>
  <w:abstractNum w:abstractNumId="2">
    <w:multiLevelType w:val="hybridMultilevel"/>
    <w:lvl w:ilvl="0">
      <w:start w:val="1"/>
      <w:numFmt w:val="lowerLetter"/>
      <w:lvlText w:val="(%1)"/>
      <w:lvlJc w:val="left"/>
      <w:pPr>
        <w:ind w:left="420" w:hanging="240"/>
        <w:jc w:val="left"/>
      </w:pPr>
      <w:rPr>
        <w:rFonts w:hint="default" w:ascii="Times New Roman" w:hAnsi="Times New Roman" w:eastAsia="Times New Roman" w:cs="Times New Roman"/>
        <w:spacing w:val="-14"/>
        <w:w w:val="100"/>
        <w:sz w:val="12"/>
        <w:szCs w:val="12"/>
        <w:lang w:val="en-US" w:eastAsia="en-US" w:bidi="ar-SA"/>
      </w:rPr>
    </w:lvl>
    <w:lvl w:ilvl="1">
      <w:start w:val="0"/>
      <w:numFmt w:val="bullet"/>
      <w:lvlText w:val="•"/>
      <w:lvlJc w:val="left"/>
      <w:pPr>
        <w:ind w:left="815" w:hanging="240"/>
      </w:pPr>
      <w:rPr>
        <w:rFonts w:hint="default"/>
        <w:lang w:val="en-US" w:eastAsia="en-US" w:bidi="ar-SA"/>
      </w:rPr>
    </w:lvl>
    <w:lvl w:ilvl="2">
      <w:start w:val="0"/>
      <w:numFmt w:val="bullet"/>
      <w:lvlText w:val="•"/>
      <w:lvlJc w:val="left"/>
      <w:pPr>
        <w:ind w:left="1211" w:hanging="240"/>
      </w:pPr>
      <w:rPr>
        <w:rFonts w:hint="default"/>
        <w:lang w:val="en-US" w:eastAsia="en-US" w:bidi="ar-SA"/>
      </w:rPr>
    </w:lvl>
    <w:lvl w:ilvl="3">
      <w:start w:val="0"/>
      <w:numFmt w:val="bullet"/>
      <w:lvlText w:val="•"/>
      <w:lvlJc w:val="left"/>
      <w:pPr>
        <w:ind w:left="1607" w:hanging="240"/>
      </w:pPr>
      <w:rPr>
        <w:rFonts w:hint="default"/>
        <w:lang w:val="en-US" w:eastAsia="en-US" w:bidi="ar-SA"/>
      </w:rPr>
    </w:lvl>
    <w:lvl w:ilvl="4">
      <w:start w:val="0"/>
      <w:numFmt w:val="bullet"/>
      <w:lvlText w:val="•"/>
      <w:lvlJc w:val="left"/>
      <w:pPr>
        <w:ind w:left="2003" w:hanging="240"/>
      </w:pPr>
      <w:rPr>
        <w:rFonts w:hint="default"/>
        <w:lang w:val="en-US" w:eastAsia="en-US" w:bidi="ar-SA"/>
      </w:rPr>
    </w:lvl>
    <w:lvl w:ilvl="5">
      <w:start w:val="0"/>
      <w:numFmt w:val="bullet"/>
      <w:lvlText w:val="•"/>
      <w:lvlJc w:val="left"/>
      <w:pPr>
        <w:ind w:left="2399" w:hanging="240"/>
      </w:pPr>
      <w:rPr>
        <w:rFonts w:hint="default"/>
        <w:lang w:val="en-US" w:eastAsia="en-US" w:bidi="ar-SA"/>
      </w:rPr>
    </w:lvl>
    <w:lvl w:ilvl="6">
      <w:start w:val="0"/>
      <w:numFmt w:val="bullet"/>
      <w:lvlText w:val="•"/>
      <w:lvlJc w:val="left"/>
      <w:pPr>
        <w:ind w:left="2795" w:hanging="240"/>
      </w:pPr>
      <w:rPr>
        <w:rFonts w:hint="default"/>
        <w:lang w:val="en-US" w:eastAsia="en-US" w:bidi="ar-SA"/>
      </w:rPr>
    </w:lvl>
    <w:lvl w:ilvl="7">
      <w:start w:val="0"/>
      <w:numFmt w:val="bullet"/>
      <w:lvlText w:val="•"/>
      <w:lvlJc w:val="left"/>
      <w:pPr>
        <w:ind w:left="3191" w:hanging="240"/>
      </w:pPr>
      <w:rPr>
        <w:rFonts w:hint="default"/>
        <w:lang w:val="en-US" w:eastAsia="en-US" w:bidi="ar-SA"/>
      </w:rPr>
    </w:lvl>
    <w:lvl w:ilvl="8">
      <w:start w:val="0"/>
      <w:numFmt w:val="bullet"/>
      <w:lvlText w:val="•"/>
      <w:lvlJc w:val="left"/>
      <w:pPr>
        <w:ind w:left="3587" w:hanging="240"/>
      </w:pPr>
      <w:rPr>
        <w:rFonts w:hint="default"/>
        <w:lang w:val="en-US" w:eastAsia="en-US" w:bidi="ar-SA"/>
      </w:rPr>
    </w:lvl>
  </w:abstractNum>
  <w:abstractNum w:abstractNumId="1">
    <w:multiLevelType w:val="hybridMultilevel"/>
    <w:lvl w:ilvl="0">
      <w:start w:val="1"/>
      <w:numFmt w:val="decimal"/>
      <w:lvlText w:val="%1"/>
      <w:lvlJc w:val="left"/>
      <w:pPr>
        <w:ind w:left="4655" w:hanging="4456"/>
        <w:jc w:val="left"/>
      </w:pPr>
      <w:rPr>
        <w:rFonts w:hint="default"/>
        <w:lang w:val="en-US" w:eastAsia="en-US" w:bidi="ar-SA"/>
      </w:rPr>
    </w:lvl>
    <w:lvl w:ilvl="1">
      <w:start w:val="1"/>
      <w:numFmt w:val="decimal"/>
      <w:lvlText w:val="%1.%2"/>
      <w:lvlJc w:val="left"/>
      <w:pPr>
        <w:ind w:left="4655" w:hanging="4456"/>
        <w:jc w:val="right"/>
      </w:pPr>
      <w:rPr>
        <w:rFonts w:hint="default" w:ascii="Times New Roman" w:hAnsi="Times New Roman" w:eastAsia="Times New Roman" w:cs="Times New Roman"/>
        <w:b/>
        <w:bCs/>
        <w:color w:val="009483"/>
        <w:w w:val="100"/>
        <w:sz w:val="28"/>
        <w:szCs w:val="28"/>
        <w:u w:val="thick" w:color="0093C1"/>
        <w:lang w:val="en-US" w:eastAsia="en-US" w:bidi="ar-SA"/>
      </w:rPr>
    </w:lvl>
    <w:lvl w:ilvl="2">
      <w:start w:val="0"/>
      <w:numFmt w:val="bullet"/>
      <w:lvlText w:val="•"/>
      <w:lvlJc w:val="left"/>
      <w:pPr>
        <w:ind w:left="4924" w:hanging="4456"/>
      </w:pPr>
      <w:rPr>
        <w:rFonts w:hint="default"/>
        <w:lang w:val="en-US" w:eastAsia="en-US" w:bidi="ar-SA"/>
      </w:rPr>
    </w:lvl>
    <w:lvl w:ilvl="3">
      <w:start w:val="0"/>
      <w:numFmt w:val="bullet"/>
      <w:lvlText w:val="•"/>
      <w:lvlJc w:val="left"/>
      <w:pPr>
        <w:ind w:left="5056" w:hanging="4456"/>
      </w:pPr>
      <w:rPr>
        <w:rFonts w:hint="default"/>
        <w:lang w:val="en-US" w:eastAsia="en-US" w:bidi="ar-SA"/>
      </w:rPr>
    </w:lvl>
    <w:lvl w:ilvl="4">
      <w:start w:val="0"/>
      <w:numFmt w:val="bullet"/>
      <w:lvlText w:val="•"/>
      <w:lvlJc w:val="left"/>
      <w:pPr>
        <w:ind w:left="5188" w:hanging="4456"/>
      </w:pPr>
      <w:rPr>
        <w:rFonts w:hint="default"/>
        <w:lang w:val="en-US" w:eastAsia="en-US" w:bidi="ar-SA"/>
      </w:rPr>
    </w:lvl>
    <w:lvl w:ilvl="5">
      <w:start w:val="0"/>
      <w:numFmt w:val="bullet"/>
      <w:lvlText w:val="•"/>
      <w:lvlJc w:val="left"/>
      <w:pPr>
        <w:ind w:left="5320" w:hanging="4456"/>
      </w:pPr>
      <w:rPr>
        <w:rFonts w:hint="default"/>
        <w:lang w:val="en-US" w:eastAsia="en-US" w:bidi="ar-SA"/>
      </w:rPr>
    </w:lvl>
    <w:lvl w:ilvl="6">
      <w:start w:val="0"/>
      <w:numFmt w:val="bullet"/>
      <w:lvlText w:val="•"/>
      <w:lvlJc w:val="left"/>
      <w:pPr>
        <w:ind w:left="5452" w:hanging="4456"/>
      </w:pPr>
      <w:rPr>
        <w:rFonts w:hint="default"/>
        <w:lang w:val="en-US" w:eastAsia="en-US" w:bidi="ar-SA"/>
      </w:rPr>
    </w:lvl>
    <w:lvl w:ilvl="7">
      <w:start w:val="0"/>
      <w:numFmt w:val="bullet"/>
      <w:lvlText w:val="•"/>
      <w:lvlJc w:val="left"/>
      <w:pPr>
        <w:ind w:left="5584" w:hanging="4456"/>
      </w:pPr>
      <w:rPr>
        <w:rFonts w:hint="default"/>
        <w:lang w:val="en-US" w:eastAsia="en-US" w:bidi="ar-SA"/>
      </w:rPr>
    </w:lvl>
    <w:lvl w:ilvl="8">
      <w:start w:val="0"/>
      <w:numFmt w:val="bullet"/>
      <w:lvlText w:val="•"/>
      <w:lvlJc w:val="left"/>
      <w:pPr>
        <w:ind w:left="5716" w:hanging="4456"/>
      </w:pPr>
      <w:rPr>
        <w:rFonts w:hint="default"/>
        <w:lang w:val="en-US" w:eastAsia="en-US" w:bidi="ar-SA"/>
      </w:rPr>
    </w:lvl>
  </w:abstractNum>
  <w:abstractNum w:abstractNumId="0">
    <w:multiLevelType w:val="hybridMultilevel"/>
    <w:lvl w:ilvl="0">
      <w:start w:val="1"/>
      <w:numFmt w:val="decimal"/>
      <w:lvlText w:val="%1"/>
      <w:lvlJc w:val="left"/>
      <w:pPr>
        <w:ind w:left="5389" w:hanging="380"/>
        <w:jc w:val="left"/>
      </w:pPr>
      <w:rPr>
        <w:rFonts w:hint="default" w:ascii="Times New Roman" w:hAnsi="Times New Roman" w:eastAsia="Times New Roman" w:cs="Times New Roman"/>
        <w:b/>
        <w:bCs/>
        <w:color w:val="0093C1"/>
        <w:spacing w:val="-6"/>
        <w:w w:val="100"/>
        <w:sz w:val="24"/>
        <w:szCs w:val="24"/>
        <w:lang w:val="en-US" w:eastAsia="en-US" w:bidi="ar-SA"/>
      </w:rPr>
    </w:lvl>
    <w:lvl w:ilvl="1">
      <w:start w:val="1"/>
      <w:numFmt w:val="decimal"/>
      <w:lvlText w:val="%1.%2"/>
      <w:lvlJc w:val="left"/>
      <w:pPr>
        <w:ind w:left="5949" w:hanging="560"/>
        <w:jc w:val="left"/>
      </w:pPr>
      <w:rPr>
        <w:rFonts w:hint="default" w:ascii="Times New Roman" w:hAnsi="Times New Roman" w:eastAsia="Times New Roman" w:cs="Times New Roman"/>
        <w:b/>
        <w:bCs/>
        <w:color w:val="231F20"/>
        <w:spacing w:val="-4"/>
        <w:w w:val="100"/>
        <w:sz w:val="24"/>
        <w:szCs w:val="24"/>
        <w:lang w:val="en-US" w:eastAsia="en-US" w:bidi="ar-SA"/>
      </w:rPr>
    </w:lvl>
    <w:lvl w:ilvl="2">
      <w:start w:val="0"/>
      <w:numFmt w:val="bullet"/>
      <w:lvlText w:val="•"/>
      <w:lvlJc w:val="left"/>
      <w:pPr>
        <w:ind w:left="6475" w:hanging="560"/>
      </w:pPr>
      <w:rPr>
        <w:rFonts w:hint="default"/>
        <w:lang w:val="en-US" w:eastAsia="en-US" w:bidi="ar-SA"/>
      </w:rPr>
    </w:lvl>
    <w:lvl w:ilvl="3">
      <w:start w:val="0"/>
      <w:numFmt w:val="bullet"/>
      <w:lvlText w:val="•"/>
      <w:lvlJc w:val="left"/>
      <w:pPr>
        <w:ind w:left="7011" w:hanging="560"/>
      </w:pPr>
      <w:rPr>
        <w:rFonts w:hint="default"/>
        <w:lang w:val="en-US" w:eastAsia="en-US" w:bidi="ar-SA"/>
      </w:rPr>
    </w:lvl>
    <w:lvl w:ilvl="4">
      <w:start w:val="0"/>
      <w:numFmt w:val="bullet"/>
      <w:lvlText w:val="•"/>
      <w:lvlJc w:val="left"/>
      <w:pPr>
        <w:ind w:left="7546" w:hanging="560"/>
      </w:pPr>
      <w:rPr>
        <w:rFonts w:hint="default"/>
        <w:lang w:val="en-US" w:eastAsia="en-US" w:bidi="ar-SA"/>
      </w:rPr>
    </w:lvl>
    <w:lvl w:ilvl="5">
      <w:start w:val="0"/>
      <w:numFmt w:val="bullet"/>
      <w:lvlText w:val="•"/>
      <w:lvlJc w:val="left"/>
      <w:pPr>
        <w:ind w:left="8082" w:hanging="560"/>
      </w:pPr>
      <w:rPr>
        <w:rFonts w:hint="default"/>
        <w:lang w:val="en-US" w:eastAsia="en-US" w:bidi="ar-SA"/>
      </w:rPr>
    </w:lvl>
    <w:lvl w:ilvl="6">
      <w:start w:val="0"/>
      <w:numFmt w:val="bullet"/>
      <w:lvlText w:val="•"/>
      <w:lvlJc w:val="left"/>
      <w:pPr>
        <w:ind w:left="8617" w:hanging="560"/>
      </w:pPr>
      <w:rPr>
        <w:rFonts w:hint="default"/>
        <w:lang w:val="en-US" w:eastAsia="en-US" w:bidi="ar-SA"/>
      </w:rPr>
    </w:lvl>
    <w:lvl w:ilvl="7">
      <w:start w:val="0"/>
      <w:numFmt w:val="bullet"/>
      <w:lvlText w:val="•"/>
      <w:lvlJc w:val="left"/>
      <w:pPr>
        <w:ind w:left="9153" w:hanging="560"/>
      </w:pPr>
      <w:rPr>
        <w:rFonts w:hint="default"/>
        <w:lang w:val="en-US" w:eastAsia="en-US" w:bidi="ar-SA"/>
      </w:rPr>
    </w:lvl>
    <w:lvl w:ilvl="8">
      <w:start w:val="0"/>
      <w:numFmt w:val="bullet"/>
      <w:lvlText w:val="•"/>
      <w:lvlJc w:val="left"/>
      <w:pPr>
        <w:ind w:left="9688" w:hanging="560"/>
      </w:pPr>
      <w:rPr>
        <w:rFonts w:hint="default"/>
        <w:lang w:val="en-US" w:eastAsia="en-US" w:bidi="ar-SA"/>
      </w:rPr>
    </w:lvl>
  </w:abstract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55"/>
      <w:ind w:left="5389" w:hanging="381"/>
    </w:pPr>
    <w:rPr>
      <w:rFonts w:ascii="Times New Roman" w:hAnsi="Times New Roman" w:eastAsia="Times New Roman" w:cs="Times New Roman"/>
      <w:b/>
      <w:bCs/>
      <w:sz w:val="24"/>
      <w:szCs w:val="24"/>
      <w:lang w:val="en-US" w:eastAsia="en-US" w:bidi="ar-SA"/>
    </w:rPr>
  </w:style>
  <w:style w:styleId="TOC2" w:type="paragraph">
    <w:name w:val="TOC 2"/>
    <w:basedOn w:val="Normal"/>
    <w:uiPriority w:val="1"/>
    <w:qFormat/>
    <w:pPr>
      <w:spacing w:before="44"/>
      <w:ind w:left="5949" w:hanging="561"/>
    </w:pPr>
    <w:rPr>
      <w:rFonts w:ascii="Times New Roman" w:hAnsi="Times New Roman" w:eastAsia="Times New Roman" w:cs="Times New Roman"/>
      <w:b/>
      <w:bCs/>
      <w:sz w:val="24"/>
      <w:szCs w:val="24"/>
      <w:lang w:val="en-US" w:eastAsia="en-US" w:bidi="ar-SA"/>
    </w:rPr>
  </w:style>
  <w:style w:styleId="TOC3" w:type="paragraph">
    <w:name w:val="TOC 3"/>
    <w:basedOn w:val="Normal"/>
    <w:uiPriority w:val="1"/>
    <w:qFormat/>
    <w:pPr>
      <w:spacing w:before="24"/>
      <w:ind w:left="5389"/>
    </w:pPr>
    <w:rPr>
      <w:rFonts w:ascii="Times New Roman" w:hAnsi="Times New Roman" w:eastAsia="Times New Roman" w:cs="Times New Roman"/>
      <w:i/>
      <w:sz w:val="24"/>
      <w:szCs w:val="24"/>
      <w:lang w:val="en-US" w:eastAsia="en-US" w:bidi="ar-SA"/>
    </w:rPr>
  </w:style>
  <w:style w:styleId="TOC4" w:type="paragraph">
    <w:name w:val="TOC 4"/>
    <w:basedOn w:val="Normal"/>
    <w:uiPriority w:val="1"/>
    <w:qFormat/>
    <w:pPr>
      <w:spacing w:before="24"/>
      <w:ind w:left="5949" w:hanging="561"/>
    </w:pPr>
    <w:rPr>
      <w:rFonts w:ascii="Times New Roman" w:hAnsi="Times New Roman" w:eastAsia="Times New Roman" w:cs="Times New Roman"/>
      <w:b/>
      <w:bCs/>
      <w:i/>
      <w:lang w:val="en-US" w:eastAsia="en-US" w:bidi="ar-SA"/>
    </w:rPr>
  </w:style>
  <w:style w:styleId="TOC5" w:type="paragraph">
    <w:name w:val="TOC 5"/>
    <w:basedOn w:val="Normal"/>
    <w:uiPriority w:val="1"/>
    <w:qFormat/>
    <w:pPr>
      <w:spacing w:before="44"/>
      <w:ind w:left="6249"/>
    </w:pPr>
    <w:rPr>
      <w:rFonts w:ascii="Times New Roman" w:hAnsi="Times New Roman" w:eastAsia="Times New Roman" w:cs="Times New Roman"/>
      <w:sz w:val="24"/>
      <w:szCs w:val="24"/>
      <w:lang w:val="en-US" w:eastAsia="en-US" w:bidi="ar-SA"/>
    </w:rPr>
  </w:style>
  <w:style w:styleId="TOC6" w:type="paragraph">
    <w:name w:val="TOC 6"/>
    <w:basedOn w:val="Normal"/>
    <w:uiPriority w:val="1"/>
    <w:qFormat/>
    <w:pPr>
      <w:spacing w:before="24"/>
      <w:ind w:left="6249"/>
    </w:pPr>
    <w:rPr>
      <w:rFonts w:ascii="Times New Roman" w:hAnsi="Times New Roman" w:eastAsia="Times New Roman" w:cs="Times New Roman"/>
      <w:i/>
      <w:sz w:val="24"/>
      <w:szCs w:val="24"/>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Heading1" w:type="paragraph">
    <w:name w:val="Heading 1"/>
    <w:basedOn w:val="Normal"/>
    <w:uiPriority w:val="1"/>
    <w:qFormat/>
    <w:pPr>
      <w:spacing w:before="86"/>
      <w:ind w:left="199"/>
      <w:outlineLvl w:val="1"/>
    </w:pPr>
    <w:rPr>
      <w:rFonts w:ascii="Times New Roman" w:hAnsi="Times New Roman" w:eastAsia="Times New Roman" w:cs="Times New Roman"/>
      <w:b/>
      <w:bCs/>
      <w:sz w:val="32"/>
      <w:szCs w:val="32"/>
      <w:lang w:val="en-US" w:eastAsia="en-US" w:bidi="ar-SA"/>
    </w:rPr>
  </w:style>
  <w:style w:styleId="Heading2" w:type="paragraph">
    <w:name w:val="Heading 2"/>
    <w:basedOn w:val="Normal"/>
    <w:uiPriority w:val="1"/>
    <w:qFormat/>
    <w:pPr>
      <w:ind w:left="174"/>
      <w:outlineLvl w:val="2"/>
    </w:pPr>
    <w:rPr>
      <w:rFonts w:ascii="Times New Roman" w:hAnsi="Times New Roman" w:eastAsia="Times New Roman" w:cs="Times New Roman"/>
      <w:b/>
      <w:bCs/>
      <w:sz w:val="28"/>
      <w:szCs w:val="28"/>
      <w:lang w:val="en-US" w:eastAsia="en-US" w:bidi="ar-SA"/>
    </w:rPr>
  </w:style>
  <w:style w:styleId="Heading3" w:type="paragraph">
    <w:name w:val="Heading 3"/>
    <w:basedOn w:val="Normal"/>
    <w:uiPriority w:val="1"/>
    <w:qFormat/>
    <w:pPr>
      <w:ind w:left="600"/>
      <w:outlineLvl w:val="3"/>
    </w:pPr>
    <w:rPr>
      <w:rFonts w:ascii="Times New Roman" w:hAnsi="Times New Roman" w:eastAsia="Times New Roman" w:cs="Times New Roman"/>
      <w:b/>
      <w:bCs/>
      <w:sz w:val="24"/>
      <w:szCs w:val="24"/>
      <w:lang w:val="en-US" w:eastAsia="en-US" w:bidi="ar-SA"/>
    </w:rPr>
  </w:style>
  <w:style w:styleId="Heading4" w:type="paragraph">
    <w:name w:val="Heading 4"/>
    <w:basedOn w:val="Normal"/>
    <w:uiPriority w:val="1"/>
    <w:qFormat/>
    <w:pPr>
      <w:ind w:left="200"/>
      <w:outlineLvl w:val="4"/>
    </w:pPr>
    <w:rPr>
      <w:rFonts w:ascii="Times New Roman" w:hAnsi="Times New Roman" w:eastAsia="Times New Roman" w:cs="Times New Roman"/>
      <w:sz w:val="24"/>
      <w:szCs w:val="24"/>
      <w:lang w:val="en-US" w:eastAsia="en-US" w:bidi="ar-SA"/>
    </w:rPr>
  </w:style>
  <w:style w:styleId="Heading5" w:type="paragraph">
    <w:name w:val="Heading 5"/>
    <w:basedOn w:val="Normal"/>
    <w:uiPriority w:val="1"/>
    <w:qFormat/>
    <w:pPr>
      <w:ind w:left="180"/>
      <w:outlineLvl w:val="5"/>
    </w:pPr>
    <w:rPr>
      <w:rFonts w:ascii="Times New Roman" w:hAnsi="Times New Roman" w:eastAsia="Times New Roman" w:cs="Times New Roman"/>
      <w:i/>
      <w:sz w:val="24"/>
      <w:szCs w:val="24"/>
      <w:lang w:val="en-US" w:eastAsia="en-US" w:bidi="ar-SA"/>
    </w:rPr>
  </w:style>
  <w:style w:styleId="Heading6" w:type="paragraph">
    <w:name w:val="Heading 6"/>
    <w:basedOn w:val="Normal"/>
    <w:uiPriority w:val="1"/>
    <w:qFormat/>
    <w:pPr>
      <w:ind w:left="200"/>
      <w:outlineLvl w:val="6"/>
    </w:pPr>
    <w:rPr>
      <w:rFonts w:ascii="Times New Roman" w:hAnsi="Times New Roman" w:eastAsia="Times New Roman" w:cs="Times New Roman"/>
      <w:b/>
      <w:bCs/>
      <w:sz w:val="22"/>
      <w:szCs w:val="22"/>
      <w:lang w:val="en-US" w:eastAsia="en-US" w:bidi="ar-SA"/>
    </w:rPr>
  </w:style>
  <w:style w:styleId="Heading7" w:type="paragraph">
    <w:name w:val="Heading 7"/>
    <w:basedOn w:val="Normal"/>
    <w:uiPriority w:val="1"/>
    <w:qFormat/>
    <w:pPr>
      <w:spacing w:before="10"/>
      <w:ind w:left="200"/>
      <w:outlineLvl w:val="7"/>
    </w:pPr>
    <w:rPr>
      <w:rFonts w:ascii="Times New Roman" w:hAnsi="Times New Roman" w:eastAsia="Times New Roman" w:cs="Times New Roman"/>
      <w:b/>
      <w:bCs/>
      <w:sz w:val="20"/>
      <w:szCs w:val="20"/>
      <w:lang w:val="en-US" w:eastAsia="en-US" w:bidi="ar-SA"/>
    </w:rPr>
  </w:style>
  <w:style w:styleId="Heading8" w:type="paragraph">
    <w:name w:val="Heading 8"/>
    <w:basedOn w:val="Normal"/>
    <w:uiPriority w:val="1"/>
    <w:qFormat/>
    <w:pPr>
      <w:spacing w:before="10"/>
      <w:ind w:left="589"/>
      <w:outlineLvl w:val="8"/>
    </w:pPr>
    <w:rPr>
      <w:rFonts w:ascii="Times New Roman" w:hAnsi="Times New Roman" w:eastAsia="Times New Roman" w:cs="Times New Roman"/>
      <w:sz w:val="20"/>
      <w:szCs w:val="20"/>
      <w:lang w:val="en-US" w:eastAsia="en-US" w:bidi="ar-SA"/>
    </w:rPr>
  </w:style>
  <w:style w:styleId="Title" w:type="paragraph">
    <w:name w:val="Title"/>
    <w:basedOn w:val="Normal"/>
    <w:uiPriority w:val="1"/>
    <w:qFormat/>
    <w:pPr>
      <w:spacing w:before="59"/>
      <w:ind w:left="3800"/>
    </w:pPr>
    <w:rPr>
      <w:rFonts w:ascii="Times New Roman" w:hAnsi="Times New Roman" w:eastAsia="Times New Roman" w:cs="Times New Roman"/>
      <w:b/>
      <w:bCs/>
      <w:sz w:val="72"/>
      <w:szCs w:val="72"/>
      <w:lang w:val="en-US" w:eastAsia="en-US" w:bidi="ar-SA"/>
    </w:rPr>
  </w:style>
  <w:style w:styleId="ListParagraph" w:type="paragraph">
    <w:name w:val="List Paragraph"/>
    <w:basedOn w:val="Normal"/>
    <w:uiPriority w:val="1"/>
    <w:qFormat/>
    <w:pPr>
      <w:ind w:left="18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infrep.htm" TargetMode="External"/><Relationship Id="rId6" Type="http://schemas.openxmlformats.org/officeDocument/2006/relationships/hyperlink" Target="http://www.bankofengland.co.uk/ir.htm"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footer" Target="footer7.xm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8.xml"/><Relationship Id="rId17" Type="http://schemas.openxmlformats.org/officeDocument/2006/relationships/footer" Target="footer9.xml"/><Relationship Id="rId18" Type="http://schemas.openxmlformats.org/officeDocument/2006/relationships/image" Target="media/image1.png"/><Relationship Id="rId19" Type="http://schemas.openxmlformats.org/officeDocument/2006/relationships/header" Target="header3.xml"/><Relationship Id="rId20" Type="http://schemas.openxmlformats.org/officeDocument/2006/relationships/header" Target="header4.xml"/><Relationship Id="rId21" Type="http://schemas.openxmlformats.org/officeDocument/2006/relationships/image" Target="media/image2.png"/><Relationship Id="rId22" Type="http://schemas.openxmlformats.org/officeDocument/2006/relationships/image" Target="media/image3.png"/><Relationship Id="rId23" Type="http://schemas.openxmlformats.org/officeDocument/2006/relationships/image" Target="media/image4.png"/><Relationship Id="rId24" Type="http://schemas.openxmlformats.org/officeDocument/2006/relationships/header" Target="header5.xml"/><Relationship Id="rId25" Type="http://schemas.openxmlformats.org/officeDocument/2006/relationships/header" Target="header6.xml"/><Relationship Id="rId26" Type="http://schemas.openxmlformats.org/officeDocument/2006/relationships/footer" Target="footer10.xml"/><Relationship Id="rId27" Type="http://schemas.openxmlformats.org/officeDocument/2006/relationships/footer" Target="footer11.xml"/><Relationship Id="rId28" Type="http://schemas.openxmlformats.org/officeDocument/2006/relationships/image" Target="media/image5.png"/><Relationship Id="rId29" Type="http://schemas.openxmlformats.org/officeDocument/2006/relationships/image" Target="media/image6.png"/><Relationship Id="rId30" Type="http://schemas.openxmlformats.org/officeDocument/2006/relationships/image" Target="media/image7.png"/><Relationship Id="rId31" Type="http://schemas.openxmlformats.org/officeDocument/2006/relationships/image" Target="media/image8.png"/><Relationship Id="rId32" Type="http://schemas.openxmlformats.org/officeDocument/2006/relationships/header" Target="header7.xml"/><Relationship Id="rId33" Type="http://schemas.openxmlformats.org/officeDocument/2006/relationships/footer" Target="footer12.xml"/><Relationship Id="rId34" Type="http://schemas.openxmlformats.org/officeDocument/2006/relationships/footer" Target="footer13.xml"/><Relationship Id="rId35" Type="http://schemas.openxmlformats.org/officeDocument/2006/relationships/image" Target="media/image9.png"/><Relationship Id="rId36" Type="http://schemas.openxmlformats.org/officeDocument/2006/relationships/image" Target="media/image10.png"/><Relationship Id="rId37" Type="http://schemas.openxmlformats.org/officeDocument/2006/relationships/header" Target="header8.xml"/><Relationship Id="rId38" Type="http://schemas.openxmlformats.org/officeDocument/2006/relationships/header" Target="header9.xml"/><Relationship Id="rId39" Type="http://schemas.openxmlformats.org/officeDocument/2006/relationships/footer" Target="footer14.xml"/><Relationship Id="rId40" Type="http://schemas.openxmlformats.org/officeDocument/2006/relationships/footer" Target="footer15.xml"/><Relationship Id="rId41" Type="http://schemas.openxmlformats.org/officeDocument/2006/relationships/image" Target="media/image11.png"/><Relationship Id="rId42" Type="http://schemas.openxmlformats.org/officeDocument/2006/relationships/image" Target="media/image12.png"/><Relationship Id="rId43" Type="http://schemas.openxmlformats.org/officeDocument/2006/relationships/image" Target="media/image13.png"/><Relationship Id="rId44" Type="http://schemas.openxmlformats.org/officeDocument/2006/relationships/header" Target="header10.xml"/><Relationship Id="rId45" Type="http://schemas.openxmlformats.org/officeDocument/2006/relationships/header" Target="header11.xml"/><Relationship Id="rId46" Type="http://schemas.openxmlformats.org/officeDocument/2006/relationships/footer" Target="footer16.xml"/><Relationship Id="rId47" Type="http://schemas.openxmlformats.org/officeDocument/2006/relationships/footer" Target="footer17.xml"/><Relationship Id="rId48" Type="http://schemas.openxmlformats.org/officeDocument/2006/relationships/image" Target="media/image14.png"/><Relationship Id="rId49" Type="http://schemas.openxmlformats.org/officeDocument/2006/relationships/image" Target="media/image15.png"/><Relationship Id="rId50" Type="http://schemas.openxmlformats.org/officeDocument/2006/relationships/image" Target="media/image16.png"/><Relationship Id="rId51" Type="http://schemas.openxmlformats.org/officeDocument/2006/relationships/image" Target="media/image17.png"/><Relationship Id="rId52" Type="http://schemas.openxmlformats.org/officeDocument/2006/relationships/image" Target="media/image18.png"/><Relationship Id="rId53" Type="http://schemas.openxmlformats.org/officeDocument/2006/relationships/header" Target="header12.xml"/><Relationship Id="rId54" Type="http://schemas.openxmlformats.org/officeDocument/2006/relationships/header" Target="header13.xml"/><Relationship Id="rId55" Type="http://schemas.openxmlformats.org/officeDocument/2006/relationships/footer" Target="footer18.xml"/><Relationship Id="rId56" Type="http://schemas.openxmlformats.org/officeDocument/2006/relationships/footer" Target="footer19.xml"/><Relationship Id="rId57" Type="http://schemas.openxmlformats.org/officeDocument/2006/relationships/image" Target="media/image19.png"/><Relationship Id="rId58" Type="http://schemas.openxmlformats.org/officeDocument/2006/relationships/header" Target="header14.xml"/><Relationship Id="rId59" Type="http://schemas.openxmlformats.org/officeDocument/2006/relationships/header" Target="header15.xml"/><Relationship Id="rId60" Type="http://schemas.openxmlformats.org/officeDocument/2006/relationships/footer" Target="footer20.xml"/><Relationship Id="rId61" Type="http://schemas.openxmlformats.org/officeDocument/2006/relationships/footer" Target="footer21.xml"/><Relationship Id="rId62" Type="http://schemas.openxmlformats.org/officeDocument/2006/relationships/header" Target="header16.xml"/><Relationship Id="rId63" Type="http://schemas.openxmlformats.org/officeDocument/2006/relationships/footer" Target="footer22.xml"/><Relationship Id="rId64" Type="http://schemas.openxmlformats.org/officeDocument/2006/relationships/footer" Target="footer23.xml"/><Relationship Id="rId65" Type="http://schemas.openxmlformats.org/officeDocument/2006/relationships/header" Target="header17.xml"/><Relationship Id="rId66" Type="http://schemas.openxmlformats.org/officeDocument/2006/relationships/header" Target="header18.xml"/><Relationship Id="rId67" Type="http://schemas.openxmlformats.org/officeDocument/2006/relationships/header" Target="header19.xml"/><Relationship Id="rId68" Type="http://schemas.openxmlformats.org/officeDocument/2006/relationships/footer" Target="footer24.xml"/><Relationship Id="rId69" Type="http://schemas.openxmlformats.org/officeDocument/2006/relationships/footer" Target="footer25.xml"/><Relationship Id="rId70" Type="http://schemas.openxmlformats.org/officeDocument/2006/relationships/image" Target="media/image20.png"/><Relationship Id="rId71" Type="http://schemas.openxmlformats.org/officeDocument/2006/relationships/image" Target="media/image21.png"/><Relationship Id="rId72" Type="http://schemas.openxmlformats.org/officeDocument/2006/relationships/image" Target="media/image22.png"/><Relationship Id="rId73" Type="http://schemas.openxmlformats.org/officeDocument/2006/relationships/image" Target="media/image23.png"/><Relationship Id="rId74" Type="http://schemas.openxmlformats.org/officeDocument/2006/relationships/header" Target="header20.xml"/><Relationship Id="rId75" Type="http://schemas.openxmlformats.org/officeDocument/2006/relationships/header" Target="header21.xml"/><Relationship Id="rId76" Type="http://schemas.openxmlformats.org/officeDocument/2006/relationships/footer" Target="footer26.xml"/><Relationship Id="rId77" Type="http://schemas.openxmlformats.org/officeDocument/2006/relationships/footer" Target="footer27.xml"/><Relationship Id="rId78" Type="http://schemas.openxmlformats.org/officeDocument/2006/relationships/header" Target="header22.xml"/><Relationship Id="rId79" Type="http://schemas.openxmlformats.org/officeDocument/2006/relationships/footer" Target="footer28.xml"/><Relationship Id="rId80" Type="http://schemas.openxmlformats.org/officeDocument/2006/relationships/footer" Target="footer29.xml"/><Relationship Id="rId81" Type="http://schemas.openxmlformats.org/officeDocument/2006/relationships/header" Target="header23.xml"/><Relationship Id="rId82" Type="http://schemas.openxmlformats.org/officeDocument/2006/relationships/header" Target="header24.xml"/><Relationship Id="rId83" Type="http://schemas.openxmlformats.org/officeDocument/2006/relationships/image" Target="media/image24.png"/><Relationship Id="rId84" Type="http://schemas.openxmlformats.org/officeDocument/2006/relationships/image" Target="media/image25.png"/><Relationship Id="rId85" Type="http://schemas.openxmlformats.org/officeDocument/2006/relationships/image" Target="media/image26.png"/><Relationship Id="rId86" Type="http://schemas.openxmlformats.org/officeDocument/2006/relationships/footer" Target="footer30.xml"/><Relationship Id="rId87" Type="http://schemas.openxmlformats.org/officeDocument/2006/relationships/footer" Target="footer31.xml"/><Relationship Id="rId88" Type="http://schemas.openxmlformats.org/officeDocument/2006/relationships/image" Target="media/image27.png"/><Relationship Id="rId89" Type="http://schemas.openxmlformats.org/officeDocument/2006/relationships/image" Target="media/image28.png"/><Relationship Id="rId90" Type="http://schemas.openxmlformats.org/officeDocument/2006/relationships/image" Target="media/image29.png"/><Relationship Id="rId91" Type="http://schemas.openxmlformats.org/officeDocument/2006/relationships/image" Target="media/image30.png"/><Relationship Id="rId92" Type="http://schemas.openxmlformats.org/officeDocument/2006/relationships/header" Target="header25.xml"/><Relationship Id="rId93" Type="http://schemas.openxmlformats.org/officeDocument/2006/relationships/footer" Target="footer32.xml"/><Relationship Id="rId94" Type="http://schemas.openxmlformats.org/officeDocument/2006/relationships/footer" Target="footer33.xml"/><Relationship Id="rId95" Type="http://schemas.openxmlformats.org/officeDocument/2006/relationships/header" Target="header26.xml"/><Relationship Id="rId96" Type="http://schemas.openxmlformats.org/officeDocument/2006/relationships/header" Target="header27.xml"/><Relationship Id="rId97" Type="http://schemas.openxmlformats.org/officeDocument/2006/relationships/footer" Target="footer34.xml"/><Relationship Id="rId98" Type="http://schemas.openxmlformats.org/officeDocument/2006/relationships/footer" Target="footer35.xml"/><Relationship Id="rId99" Type="http://schemas.openxmlformats.org/officeDocument/2006/relationships/header" Target="header28.xml"/><Relationship Id="rId100" Type="http://schemas.openxmlformats.org/officeDocument/2006/relationships/header" Target="header29.xml"/><Relationship Id="rId101" Type="http://schemas.openxmlformats.org/officeDocument/2006/relationships/header" Target="header30.xml"/><Relationship Id="rId102" Type="http://schemas.openxmlformats.org/officeDocument/2006/relationships/footer" Target="footer36.xml"/><Relationship Id="rId103" Type="http://schemas.openxmlformats.org/officeDocument/2006/relationships/footer" Target="footer37.xml"/><Relationship Id="rId104" Type="http://schemas.openxmlformats.org/officeDocument/2006/relationships/header" Target="header31.xml"/><Relationship Id="rId105" Type="http://schemas.openxmlformats.org/officeDocument/2006/relationships/header" Target="header32.xml"/><Relationship Id="rId106" Type="http://schemas.openxmlformats.org/officeDocument/2006/relationships/footer" Target="footer38.xml"/><Relationship Id="rId107" Type="http://schemas.openxmlformats.org/officeDocument/2006/relationships/footer" Target="footer39.xml"/><Relationship Id="rId108" Type="http://schemas.openxmlformats.org/officeDocument/2006/relationships/header" Target="header33.xml"/><Relationship Id="rId109" Type="http://schemas.openxmlformats.org/officeDocument/2006/relationships/footer" Target="footer40.xml"/><Relationship Id="rId110" Type="http://schemas.openxmlformats.org/officeDocument/2006/relationships/footer" Target="footer41.xml"/><Relationship Id="rId111" Type="http://schemas.openxmlformats.org/officeDocument/2006/relationships/image" Target="media/image31.png"/><Relationship Id="rId112" Type="http://schemas.openxmlformats.org/officeDocument/2006/relationships/header" Target="header34.xml"/><Relationship Id="rId113" Type="http://schemas.openxmlformats.org/officeDocument/2006/relationships/header" Target="header35.xml"/><Relationship Id="rId114" Type="http://schemas.openxmlformats.org/officeDocument/2006/relationships/footer" Target="footer42.xml"/><Relationship Id="rId115" Type="http://schemas.openxmlformats.org/officeDocument/2006/relationships/footer" Target="footer43.xml"/><Relationship Id="rId116" Type="http://schemas.openxmlformats.org/officeDocument/2006/relationships/header" Target="header36.xml"/><Relationship Id="rId117" Type="http://schemas.openxmlformats.org/officeDocument/2006/relationships/footer" Target="footer44.xml"/><Relationship Id="rId118" Type="http://schemas.openxmlformats.org/officeDocument/2006/relationships/header" Target="header37.xml"/><Relationship Id="rId119" Type="http://schemas.openxmlformats.org/officeDocument/2006/relationships/footer" Target="footer45.xml"/><Relationship Id="rId120" Type="http://schemas.openxmlformats.org/officeDocument/2006/relationships/hyperlink" Target="mailto:mapublications@bankofengland.co.uk" TargetMode="External"/><Relationship Id="rId121" Type="http://schemas.openxmlformats.org/officeDocument/2006/relationships/hyperlink" Target="http://www.bankofengland.co.uk/" TargetMode="External"/><Relationship Id="rId122" Type="http://schemas.openxmlformats.org/officeDocument/2006/relationships/header" Target="header38.xml"/><Relationship Id="rId123" Type="http://schemas.openxmlformats.org/officeDocument/2006/relationships/footer" Target="footer46.xml"/><Relationship Id="rId1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Pompilii</dc:creator>
  <dc:title>First page</dc:title>
  <dcterms:created xsi:type="dcterms:W3CDTF">2020-06-03T00:01:40Z</dcterms:created>
  <dcterms:modified xsi:type="dcterms:W3CDTF">2020-06-03T00:01:40Z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1998-11-10T00:00:00Z</vt:filetime>
  </property>
  <property fmtid="{D5CDD505-2E9C-101B-9397-08002B2CF9AE}" pid="3" name="Creator">
    <vt:lpwstr>QuarkXPressª: PSPrinter 8.3.1</vt:lpwstr>
  </property>
  <property fmtid="{D5CDD505-2E9C-101B-9397-08002B2CF9AE}" pid="4" name="LastSaved">
    <vt:filetime>2020-06-03T00:00:00Z</vt:filetime>
  </property>
</Properties>
</file>